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lang w:val="en-US" w:eastAsia="zh-CN"/>
        </w:rPr>
      </w:pPr>
      <w:r>
        <w:rPr>
          <w:rFonts w:hint="eastAsia" w:ascii="黑体" w:hAnsi="黑体" w:eastAsia="黑体" w:cs="黑体"/>
          <w:lang w:eastAsia="zh-CN"/>
        </w:rPr>
        <w:t>附件</w:t>
      </w:r>
      <w:r>
        <w:rPr>
          <w:rFonts w:hint="eastAsia" w:ascii="黑体" w:hAnsi="黑体" w:eastAsia="黑体" w:cs="黑体"/>
          <w:lang w:val="en-US" w:eastAsia="zh-CN"/>
        </w:rPr>
        <w:t>2</w:t>
      </w:r>
    </w:p>
    <w:p>
      <w:pPr>
        <w:spacing w:beforeLines="0" w:afterLines="0" w:line="7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从化大道（一期）</w:t>
      </w:r>
      <w:r>
        <w:rPr>
          <w:rFonts w:hint="eastAsia" w:ascii="方正小标宋简体" w:hAnsi="方正小标宋简体" w:eastAsia="方正小标宋简体" w:cs="方正小标宋简体"/>
          <w:sz w:val="44"/>
          <w:szCs w:val="44"/>
        </w:rPr>
        <w:t>项目集体土地上房屋</w:t>
      </w:r>
    </w:p>
    <w:p>
      <w:pPr>
        <w:spacing w:beforeLines="0" w:afterLines="0" w:line="7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征收补偿安置方案</w:t>
      </w:r>
    </w:p>
    <w:p>
      <w:pPr>
        <w:rPr>
          <w:rFonts w:hint="default" w:eastAsia="仿宋_GB2312"/>
          <w:lang w:eastAsia="zh-CN"/>
        </w:rPr>
      </w:pPr>
    </w:p>
    <w:p>
      <w:pPr>
        <w:numPr>
          <w:ilvl w:val="0"/>
          <w:numId w:val="0"/>
        </w:numPr>
        <w:tabs>
          <w:tab w:val="left" w:pos="1125"/>
        </w:tabs>
        <w:autoSpaceDE/>
        <w:autoSpaceDN/>
        <w:spacing w:beforeLines="0" w:afterLines="0" w:line="240" w:lineRule="auto"/>
        <w:ind w:firstLine="0" w:firstLineChars="0"/>
        <w:jc w:val="center"/>
        <w:rPr>
          <w:rFonts w:hint="eastAsia" w:ascii="黑体" w:hAnsi="黑体" w:eastAsia="黑体" w:cs="黑体"/>
          <w:sz w:val="32"/>
          <w:szCs w:val="32"/>
          <w:lang w:val="zh-CN"/>
        </w:rPr>
      </w:pPr>
      <w:r>
        <w:rPr>
          <w:rFonts w:hint="eastAsia" w:ascii="黑体" w:hAnsi="黑体" w:eastAsia="黑体" w:cs="黑体"/>
          <w:sz w:val="32"/>
          <w:szCs w:val="32"/>
          <w:lang w:val="zh-CN"/>
        </w:rPr>
        <w:t>第一章</w:t>
      </w:r>
      <w:r>
        <w:rPr>
          <w:rFonts w:hint="eastAsia" w:ascii="黑体" w:hAnsi="黑体" w:eastAsia="黑体" w:cs="黑体"/>
          <w:sz w:val="32"/>
          <w:szCs w:val="32"/>
          <w:lang w:val="en-US" w:eastAsia="zh-CN"/>
        </w:rPr>
        <w:t xml:space="preserve"> </w:t>
      </w:r>
      <w:r>
        <w:rPr>
          <w:rFonts w:hint="eastAsia" w:ascii="黑体" w:hAnsi="黑体" w:eastAsia="黑体" w:cs="黑体"/>
          <w:color w:val="auto"/>
          <w:sz w:val="32"/>
          <w:szCs w:val="32"/>
          <w:lang w:val="zh-CN"/>
        </w:rPr>
        <w:t xml:space="preserve"> 总则</w:t>
      </w:r>
    </w:p>
    <w:p>
      <w:pPr>
        <w:numPr>
          <w:ilvl w:val="0"/>
          <w:numId w:val="0"/>
        </w:numPr>
        <w:tabs>
          <w:tab w:val="left" w:pos="1125"/>
        </w:tabs>
        <w:autoSpaceDE/>
        <w:autoSpaceDN/>
        <w:spacing w:beforeLines="0" w:afterLines="0" w:line="240" w:lineRule="auto"/>
        <w:ind w:firstLine="0" w:firstLineChars="0"/>
        <w:jc w:val="both"/>
        <w:rPr>
          <w:rFonts w:hint="eastAsia" w:ascii="黑体" w:hAnsi="黑体" w:eastAsia="黑体" w:cs="黑体"/>
          <w:color w:val="auto"/>
          <w:sz w:val="32"/>
          <w:szCs w:val="32"/>
          <w:lang w:val="zh-CN"/>
        </w:rPr>
      </w:pPr>
    </w:p>
    <w:p>
      <w:pPr>
        <w:autoSpaceDE/>
        <w:autoSpaceDN/>
        <w:spacing w:beforeLines="0" w:afterLines="0" w:line="240" w:lineRule="auto"/>
        <w:ind w:firstLine="632" w:firstLineChars="200"/>
        <w:rPr>
          <w:rFonts w:ascii="Times New Roman" w:eastAsia="仿宋_GB2312" w:cs="Times New Roman"/>
          <w:color w:val="auto"/>
          <w:sz w:val="32"/>
          <w:szCs w:val="32"/>
          <w:lang w:val="zh-CN"/>
        </w:rPr>
      </w:pPr>
      <w:r>
        <w:rPr>
          <w:rFonts w:hint="eastAsia" w:ascii="黑体" w:hAnsi="黑体" w:eastAsia="黑体" w:cs="黑体"/>
          <w:color w:val="auto"/>
          <w:sz w:val="32"/>
          <w:szCs w:val="32"/>
          <w:lang w:val="zh-CN"/>
        </w:rPr>
        <w:t xml:space="preserve">第一条 </w:t>
      </w:r>
      <w:r>
        <w:rPr>
          <w:rFonts w:ascii="Times New Roman" w:eastAsia="仿宋_GB2312" w:cs="Times New Roman"/>
          <w:color w:val="auto"/>
          <w:sz w:val="32"/>
          <w:szCs w:val="32"/>
          <w:lang w:val="zh-CN"/>
        </w:rPr>
        <w:t xml:space="preserve"> </w:t>
      </w:r>
      <w:r>
        <w:rPr>
          <w:rFonts w:hint="default" w:ascii="Times New Roman" w:eastAsia="仿宋_GB2312" w:cs="Times New Roman"/>
          <w:color w:val="auto"/>
          <w:sz w:val="32"/>
          <w:szCs w:val="32"/>
          <w:lang w:val="zh-CN"/>
        </w:rPr>
        <w:t>为建设从化大道（一期），完善城市功能，从化区人民政府依法对城郊街东风村、江埔街联星社区、江埔村、禾仓村地段规划红线范围（见附图）内的集体土地、集体土地上建（构）筑物及附属设施进行征收。广州市人民政府已于</w:t>
      </w:r>
      <w:r>
        <w:rPr>
          <w:rFonts w:hint="default" w:ascii="Times New Roman" w:eastAsia="仿宋_GB2312" w:cs="Times New Roman"/>
          <w:color w:val="auto"/>
          <w:sz w:val="32"/>
          <w:szCs w:val="32"/>
        </w:rPr>
        <w:t>2017年</w:t>
      </w:r>
      <w:r>
        <w:rPr>
          <w:rFonts w:hint="default" w:ascii="Times New Roman" w:eastAsia="仿宋_GB2312" w:cs="Times New Roman"/>
          <w:color w:val="auto"/>
          <w:sz w:val="32"/>
          <w:szCs w:val="32"/>
          <w:lang w:val="en-US" w:eastAsia="zh-CN"/>
        </w:rPr>
        <w:t>8</w:t>
      </w:r>
      <w:r>
        <w:rPr>
          <w:rFonts w:hint="default" w:ascii="Times New Roman" w:eastAsia="仿宋_GB2312" w:cs="Times New Roman"/>
          <w:color w:val="auto"/>
          <w:sz w:val="32"/>
          <w:szCs w:val="32"/>
        </w:rPr>
        <w:t>月</w:t>
      </w:r>
      <w:r>
        <w:rPr>
          <w:rFonts w:hint="default" w:ascii="Times New Roman" w:eastAsia="仿宋_GB2312" w:cs="Times New Roman"/>
          <w:color w:val="auto"/>
          <w:sz w:val="32"/>
          <w:szCs w:val="32"/>
          <w:lang w:val="en-US" w:eastAsia="zh-CN"/>
        </w:rPr>
        <w:t>30</w:t>
      </w:r>
      <w:r>
        <w:rPr>
          <w:rFonts w:hint="default" w:ascii="Times New Roman" w:eastAsia="仿宋_GB2312" w:cs="Times New Roman"/>
          <w:color w:val="auto"/>
          <w:sz w:val="32"/>
          <w:szCs w:val="32"/>
        </w:rPr>
        <w:t>日</w:t>
      </w:r>
      <w:r>
        <w:rPr>
          <w:rFonts w:hint="default" w:ascii="Times New Roman" w:eastAsia="仿宋_GB2312" w:cs="Times New Roman"/>
          <w:color w:val="auto"/>
          <w:sz w:val="32"/>
          <w:szCs w:val="32"/>
          <w:lang w:val="zh-CN"/>
        </w:rPr>
        <w:t>发布了《广州市人民政府征收土地公告》（穗府〔</w:t>
      </w:r>
      <w:r>
        <w:rPr>
          <w:rFonts w:ascii="Times New Roman" w:eastAsia="仿宋_GB2312" w:cs="Times New Roman"/>
          <w:color w:val="auto"/>
          <w:sz w:val="32"/>
          <w:szCs w:val="32"/>
          <w:lang w:val="zh-CN"/>
        </w:rPr>
        <w:t>201</w:t>
      </w:r>
      <w:r>
        <w:rPr>
          <w:rFonts w:hint="default" w:ascii="Times New Roman" w:eastAsia="仿宋_GB2312" w:cs="Times New Roman"/>
          <w:color w:val="auto"/>
          <w:sz w:val="32"/>
          <w:szCs w:val="32"/>
        </w:rPr>
        <w:t>7</w:t>
      </w:r>
      <w:r>
        <w:rPr>
          <w:rFonts w:hint="default" w:ascii="Times New Roman" w:eastAsia="仿宋_GB2312" w:cs="Times New Roman"/>
          <w:color w:val="auto"/>
          <w:sz w:val="32"/>
          <w:szCs w:val="32"/>
          <w:lang w:val="zh-CN"/>
        </w:rPr>
        <w:t>〕</w:t>
      </w:r>
      <w:r>
        <w:rPr>
          <w:rFonts w:hint="default" w:ascii="Times New Roman" w:eastAsia="仿宋_GB2312" w:cs="Times New Roman"/>
          <w:color w:val="auto"/>
          <w:sz w:val="32"/>
          <w:szCs w:val="32"/>
          <w:lang w:val="en-US" w:eastAsia="zh-CN"/>
        </w:rPr>
        <w:t>143</w:t>
      </w:r>
      <w:r>
        <w:rPr>
          <w:rFonts w:hint="default" w:ascii="Times New Roman" w:eastAsia="仿宋_GB2312" w:cs="Times New Roman"/>
          <w:color w:val="auto"/>
          <w:sz w:val="32"/>
          <w:szCs w:val="32"/>
        </w:rPr>
        <w:t>号</w:t>
      </w:r>
      <w:r>
        <w:rPr>
          <w:rFonts w:hint="default" w:ascii="Times New Roman" w:eastAsia="仿宋_GB2312" w:cs="Times New Roman"/>
          <w:color w:val="auto"/>
          <w:sz w:val="32"/>
          <w:szCs w:val="32"/>
          <w:lang w:eastAsia="zh-CN"/>
        </w:rPr>
        <w:t>、</w:t>
      </w:r>
      <w:r>
        <w:rPr>
          <w:rFonts w:hint="default" w:ascii="Times New Roman" w:eastAsia="仿宋_GB2312" w:cs="Times New Roman"/>
          <w:color w:val="auto"/>
          <w:sz w:val="32"/>
          <w:szCs w:val="32"/>
          <w:lang w:val="en-US" w:eastAsia="zh-CN"/>
        </w:rPr>
        <w:t>144号</w:t>
      </w:r>
      <w:r>
        <w:rPr>
          <w:rFonts w:hint="default" w:ascii="Times New Roman" w:eastAsia="仿宋_GB2312" w:cs="Times New Roman"/>
          <w:color w:val="auto"/>
          <w:sz w:val="32"/>
          <w:szCs w:val="32"/>
          <w:lang w:val="zh-CN"/>
        </w:rPr>
        <w:t>）。现根据相关法律法规政策规定，按照</w:t>
      </w:r>
      <w:r>
        <w:rPr>
          <w:rFonts w:hint="eastAsia" w:cs="Times New Roman"/>
          <w:sz w:val="32"/>
          <w:szCs w:val="32"/>
          <w:lang w:val="zh-CN"/>
        </w:rPr>
        <w:t>“</w:t>
      </w:r>
      <w:r>
        <w:rPr>
          <w:rFonts w:hint="default" w:ascii="Times New Roman" w:eastAsia="仿宋_GB2312" w:cs="Times New Roman"/>
          <w:color w:val="auto"/>
          <w:sz w:val="32"/>
          <w:szCs w:val="32"/>
          <w:lang w:val="zh-CN"/>
        </w:rPr>
        <w:t>公开、公平、公正</w:t>
      </w:r>
      <w:r>
        <w:rPr>
          <w:rFonts w:hint="eastAsia" w:cs="Times New Roman"/>
          <w:sz w:val="32"/>
          <w:szCs w:val="32"/>
          <w:lang w:val="zh-CN"/>
        </w:rPr>
        <w:t>”</w:t>
      </w:r>
      <w:r>
        <w:rPr>
          <w:rFonts w:hint="default" w:ascii="Times New Roman" w:eastAsia="仿宋_GB2312" w:cs="Times New Roman"/>
          <w:color w:val="auto"/>
          <w:sz w:val="32"/>
          <w:szCs w:val="32"/>
          <w:lang w:val="zh-CN"/>
        </w:rPr>
        <w:t>原则，结合我区实际，制定本方案。</w:t>
      </w:r>
    </w:p>
    <w:p>
      <w:pPr>
        <w:autoSpaceDE/>
        <w:autoSpaceDN/>
        <w:spacing w:beforeLines="0" w:afterLines="0" w:line="240" w:lineRule="auto"/>
        <w:ind w:firstLine="632" w:firstLineChars="200"/>
        <w:rPr>
          <w:rFonts w:ascii="Times New Roman" w:eastAsia="仿宋_GB2312" w:cs="Times New Roman"/>
          <w:color w:val="auto"/>
          <w:sz w:val="32"/>
          <w:szCs w:val="32"/>
          <w:lang w:val="zh-CN"/>
        </w:rPr>
      </w:pPr>
      <w:r>
        <w:rPr>
          <w:rFonts w:hint="eastAsia" w:ascii="黑体" w:hAnsi="黑体" w:eastAsia="黑体" w:cs="黑体"/>
          <w:b w:val="0"/>
          <w:bCs w:val="0"/>
          <w:color w:val="auto"/>
          <w:sz w:val="32"/>
          <w:szCs w:val="32"/>
          <w:lang w:val="zh-CN"/>
        </w:rPr>
        <w:t>第二条</w:t>
      </w:r>
      <w:r>
        <w:rPr>
          <w:rFonts w:ascii="Times New Roman" w:eastAsia="仿宋_GB2312" w:cs="Times New Roman"/>
          <w:color w:val="auto"/>
          <w:sz w:val="32"/>
          <w:szCs w:val="32"/>
          <w:lang w:val="zh-CN"/>
        </w:rPr>
        <w:t xml:space="preserve"> </w:t>
      </w:r>
      <w:r>
        <w:rPr>
          <w:rFonts w:hint="eastAsia" w:cs="Times New Roman"/>
          <w:sz w:val="32"/>
          <w:szCs w:val="32"/>
          <w:lang w:val="en-US" w:eastAsia="zh-CN"/>
        </w:rPr>
        <w:t xml:space="preserve"> </w:t>
      </w:r>
      <w:r>
        <w:rPr>
          <w:rFonts w:hint="default" w:ascii="Times New Roman" w:eastAsia="仿宋_GB2312" w:cs="Times New Roman"/>
          <w:color w:val="auto"/>
          <w:sz w:val="32"/>
          <w:szCs w:val="32"/>
          <w:lang w:val="zh-CN"/>
        </w:rPr>
        <w:t>征收范围及征收安置机构</w:t>
      </w:r>
    </w:p>
    <w:p>
      <w:pPr>
        <w:autoSpaceDE/>
        <w:autoSpaceDN/>
        <w:spacing w:beforeLines="0" w:afterLines="0" w:line="240" w:lineRule="auto"/>
        <w:ind w:firstLine="632" w:firstLineChars="200"/>
        <w:rPr>
          <w:rFonts w:ascii="Times New Roman" w:eastAsia="仿宋_GB2312" w:cs="Times New Roman"/>
          <w:color w:val="auto"/>
          <w:sz w:val="32"/>
          <w:szCs w:val="32"/>
          <w:lang w:val="zh-CN"/>
        </w:rPr>
      </w:pPr>
      <w:r>
        <w:rPr>
          <w:rFonts w:hint="default" w:ascii="Times New Roman" w:eastAsia="仿宋_GB2312" w:cs="Times New Roman"/>
          <w:color w:val="auto"/>
          <w:sz w:val="32"/>
          <w:szCs w:val="32"/>
          <w:lang w:val="zh-CN"/>
        </w:rPr>
        <w:t>（一）集体土地上房屋征收范围：</w:t>
      </w:r>
    </w:p>
    <w:p>
      <w:pPr>
        <w:autoSpaceDE/>
        <w:autoSpaceDN/>
        <w:spacing w:beforeLines="0" w:afterLines="0" w:line="240" w:lineRule="auto"/>
        <w:ind w:firstLine="632" w:firstLineChars="200"/>
        <w:rPr>
          <w:rFonts w:ascii="Times New Roman" w:eastAsia="仿宋_GB2312" w:cs="Times New Roman"/>
          <w:color w:val="auto"/>
          <w:sz w:val="32"/>
          <w:szCs w:val="32"/>
          <w:lang w:val="zh-CN"/>
        </w:rPr>
      </w:pPr>
      <w:r>
        <w:rPr>
          <w:rFonts w:hint="default" w:ascii="Times New Roman" w:eastAsia="仿宋_GB2312" w:cs="Times New Roman"/>
          <w:color w:val="auto"/>
          <w:sz w:val="32"/>
          <w:szCs w:val="32"/>
          <w:lang w:val="zh-CN"/>
        </w:rPr>
        <w:t>从化大道（一期）项目规划红线范围内的集体土地上房屋、建（构）筑物、附属设施等，其中，城郊街范围：南至地铁十四号线街口站，北至环城北路（规划）；江埔街范围：南至</w:t>
      </w:r>
      <w:r>
        <w:rPr>
          <w:rFonts w:hint="default" w:ascii="Times New Roman" w:eastAsia="仿宋_GB2312" w:cs="Times New Roman"/>
          <w:color w:val="auto"/>
          <w:sz w:val="32"/>
          <w:szCs w:val="32"/>
          <w:lang w:val="en-US" w:eastAsia="zh-CN"/>
        </w:rPr>
        <w:t>S355线</w:t>
      </w:r>
      <w:r>
        <w:rPr>
          <w:rFonts w:hint="default" w:ascii="Times New Roman" w:eastAsia="仿宋_GB2312" w:cs="Times New Roman"/>
          <w:color w:val="auto"/>
          <w:sz w:val="32"/>
          <w:szCs w:val="32"/>
          <w:lang w:val="zh-CN"/>
        </w:rPr>
        <w:t>，北至河东北路。</w:t>
      </w:r>
    </w:p>
    <w:p>
      <w:pPr>
        <w:autoSpaceDE/>
        <w:autoSpaceDN/>
        <w:spacing w:beforeLines="0" w:afterLines="0" w:line="240" w:lineRule="auto"/>
        <w:ind w:firstLine="632" w:firstLineChars="200"/>
        <w:rPr>
          <w:rFonts w:ascii="Times New Roman" w:eastAsia="仿宋_GB2312" w:cs="Times New Roman"/>
          <w:color w:val="auto"/>
          <w:sz w:val="32"/>
          <w:szCs w:val="32"/>
          <w:lang w:val="zh-CN"/>
        </w:rPr>
      </w:pPr>
      <w:r>
        <w:rPr>
          <w:rFonts w:hint="default" w:ascii="Times New Roman" w:eastAsia="仿宋_GB2312" w:cs="Times New Roman"/>
          <w:color w:val="auto"/>
          <w:sz w:val="32"/>
          <w:szCs w:val="32"/>
          <w:lang w:val="zh-CN"/>
        </w:rPr>
        <w:t>（二）征收主体：从化区人民政府。</w:t>
      </w:r>
    </w:p>
    <w:p>
      <w:pPr>
        <w:autoSpaceDE/>
        <w:autoSpaceDN/>
        <w:spacing w:beforeLines="0" w:afterLines="0" w:line="240" w:lineRule="auto"/>
        <w:ind w:firstLine="632" w:firstLineChars="200"/>
        <w:rPr>
          <w:rFonts w:ascii="Times New Roman" w:eastAsia="仿宋_GB2312" w:cs="Times New Roman"/>
          <w:color w:val="auto"/>
          <w:sz w:val="32"/>
          <w:szCs w:val="32"/>
          <w:lang w:val="zh-CN"/>
        </w:rPr>
      </w:pPr>
      <w:r>
        <w:rPr>
          <w:rFonts w:hint="default" w:ascii="Times New Roman" w:eastAsia="仿宋_GB2312" w:cs="Times New Roman"/>
          <w:color w:val="auto"/>
          <w:sz w:val="32"/>
          <w:szCs w:val="32"/>
          <w:lang w:val="zh-CN"/>
        </w:rPr>
        <w:t>（三）征收部门：广州市从化区国土资源和规划局。</w:t>
      </w:r>
    </w:p>
    <w:p>
      <w:pPr>
        <w:autoSpaceDE/>
        <w:autoSpaceDN/>
        <w:spacing w:beforeLines="0" w:afterLines="0" w:line="240" w:lineRule="auto"/>
        <w:ind w:firstLine="632" w:firstLineChars="200"/>
        <w:rPr>
          <w:rFonts w:ascii="Times New Roman" w:eastAsia="仿宋_GB2312" w:cs="Times New Roman"/>
          <w:color w:val="auto"/>
          <w:sz w:val="32"/>
          <w:szCs w:val="32"/>
          <w:lang w:val="zh-CN"/>
        </w:rPr>
      </w:pPr>
      <w:r>
        <w:rPr>
          <w:rFonts w:hint="default" w:ascii="Times New Roman" w:eastAsia="仿宋_GB2312" w:cs="Times New Roman"/>
          <w:color w:val="auto"/>
          <w:sz w:val="32"/>
          <w:szCs w:val="32"/>
          <w:lang w:val="zh-CN"/>
        </w:rPr>
        <w:t>（四）征收实施单位：从化区江埔街道办事处、从化区城郊街道办事处。</w:t>
      </w:r>
    </w:p>
    <w:p>
      <w:pPr>
        <w:autoSpaceDE/>
        <w:autoSpaceDN/>
        <w:spacing w:beforeLines="0" w:afterLines="0" w:line="240" w:lineRule="auto"/>
        <w:ind w:firstLine="632" w:firstLineChars="200"/>
        <w:rPr>
          <w:rFonts w:ascii="Times New Roman" w:eastAsia="仿宋_GB2312" w:cs="Times New Roman"/>
          <w:color w:val="auto"/>
          <w:sz w:val="32"/>
          <w:szCs w:val="32"/>
          <w:lang w:val="zh-CN"/>
        </w:rPr>
      </w:pPr>
      <w:r>
        <w:rPr>
          <w:rFonts w:hint="default" w:ascii="Times New Roman" w:eastAsia="仿宋_GB2312" w:cs="Times New Roman"/>
          <w:color w:val="auto"/>
          <w:sz w:val="32"/>
          <w:szCs w:val="32"/>
          <w:lang w:val="zh-CN"/>
        </w:rPr>
        <w:t>（五）</w:t>
      </w:r>
      <w:r>
        <w:rPr>
          <w:rFonts w:hint="default" w:eastAsia="仿宋_GB2312"/>
          <w:color w:val="auto"/>
          <w:sz w:val="32"/>
          <w:szCs w:val="32"/>
        </w:rPr>
        <w:t>区</w:t>
      </w:r>
      <w:r>
        <w:rPr>
          <w:rFonts w:hint="eastAsia"/>
          <w:sz w:val="32"/>
          <w:szCs w:val="32"/>
          <w:lang w:eastAsia="zh-CN"/>
        </w:rPr>
        <w:t>“</w:t>
      </w:r>
      <w:r>
        <w:rPr>
          <w:rFonts w:hint="default" w:eastAsia="仿宋_GB2312"/>
          <w:color w:val="auto"/>
          <w:sz w:val="32"/>
          <w:szCs w:val="32"/>
        </w:rPr>
        <w:t>三纵三横</w:t>
      </w:r>
      <w:r>
        <w:rPr>
          <w:rFonts w:hint="eastAsia"/>
          <w:sz w:val="32"/>
          <w:szCs w:val="32"/>
          <w:lang w:eastAsia="zh-CN"/>
        </w:rPr>
        <w:t>”</w:t>
      </w:r>
      <w:r>
        <w:rPr>
          <w:rFonts w:hint="default" w:eastAsia="仿宋_GB2312"/>
          <w:color w:val="auto"/>
          <w:sz w:val="32"/>
          <w:szCs w:val="32"/>
        </w:rPr>
        <w:t>重要市政设施工程建设指挥部、</w:t>
      </w:r>
      <w:r>
        <w:rPr>
          <w:rFonts w:hint="default" w:ascii="Times New Roman" w:eastAsia="仿宋_GB2312" w:cs="Times New Roman"/>
          <w:color w:val="auto"/>
          <w:sz w:val="32"/>
          <w:szCs w:val="32"/>
          <w:lang w:val="zh-CN"/>
        </w:rPr>
        <w:t>从化区住房和建设局、从化区土地储备开发中心及相关单位对从化大道（一期）项目实施集体土地上房屋征收补偿安置工作予以协助。</w:t>
      </w:r>
    </w:p>
    <w:p>
      <w:pPr>
        <w:autoSpaceDE/>
        <w:autoSpaceDN/>
        <w:spacing w:beforeLines="0" w:afterLines="0" w:line="240" w:lineRule="auto"/>
        <w:ind w:firstLine="632" w:firstLineChars="200"/>
        <w:rPr>
          <w:rFonts w:hint="eastAsia" w:ascii="Times New Roman" w:eastAsia="仿宋_GB2312" w:cs="Times New Roman"/>
          <w:color w:val="auto"/>
          <w:sz w:val="32"/>
          <w:szCs w:val="32"/>
          <w:lang w:val="zh-CN"/>
        </w:rPr>
      </w:pPr>
      <w:r>
        <w:rPr>
          <w:rFonts w:hint="eastAsia" w:ascii="黑体" w:hAnsi="黑体" w:eastAsia="黑体" w:cs="黑体"/>
          <w:color w:val="auto"/>
          <w:sz w:val="32"/>
          <w:szCs w:val="32"/>
          <w:lang w:val="zh-CN"/>
        </w:rPr>
        <w:t xml:space="preserve">第三条  </w:t>
      </w:r>
      <w:r>
        <w:rPr>
          <w:rFonts w:hint="eastAsia" w:ascii="Times New Roman" w:eastAsia="仿宋_GB2312" w:cs="Times New Roman"/>
          <w:color w:val="auto"/>
          <w:sz w:val="32"/>
          <w:szCs w:val="32"/>
          <w:lang w:val="zh-CN"/>
        </w:rPr>
        <w:t>相关法律法规政策依据</w:t>
      </w:r>
    </w:p>
    <w:p>
      <w:pPr>
        <w:autoSpaceDE/>
        <w:autoSpaceDN/>
        <w:spacing w:beforeLines="0" w:afterLines="0" w:line="240" w:lineRule="auto"/>
        <w:ind w:firstLine="632" w:firstLineChars="200"/>
        <w:rPr>
          <w:rFonts w:hint="default" w:ascii="Times New Roman" w:eastAsia="仿宋_GB2312" w:cs="Times New Roman"/>
          <w:color w:val="auto"/>
          <w:sz w:val="32"/>
          <w:szCs w:val="32"/>
          <w:lang w:val="zh-CN"/>
        </w:rPr>
      </w:pPr>
      <w:r>
        <w:rPr>
          <w:rFonts w:hint="default" w:ascii="Times New Roman" w:eastAsia="仿宋_GB2312" w:cs="Times New Roman"/>
          <w:color w:val="auto"/>
          <w:sz w:val="32"/>
          <w:szCs w:val="32"/>
          <w:lang w:val="zh-CN"/>
        </w:rPr>
        <w:t>（一）《中华人民共和国物权法》。</w:t>
      </w:r>
    </w:p>
    <w:p>
      <w:pPr>
        <w:autoSpaceDE/>
        <w:autoSpaceDN/>
        <w:spacing w:beforeLines="0" w:afterLines="0" w:line="240" w:lineRule="auto"/>
        <w:ind w:firstLine="632" w:firstLineChars="200"/>
        <w:rPr>
          <w:rFonts w:hint="default" w:ascii="Times New Roman" w:eastAsia="仿宋_GB2312" w:cs="Times New Roman"/>
          <w:color w:val="auto"/>
          <w:sz w:val="32"/>
          <w:szCs w:val="32"/>
          <w:lang w:val="zh-CN"/>
        </w:rPr>
      </w:pPr>
      <w:r>
        <w:rPr>
          <w:rFonts w:hint="default" w:ascii="Times New Roman" w:eastAsia="仿宋_GB2312" w:cs="Times New Roman"/>
          <w:color w:val="auto"/>
          <w:sz w:val="32"/>
          <w:szCs w:val="32"/>
          <w:lang w:val="zh-CN"/>
        </w:rPr>
        <w:t>（二）《中华人民共和国土地管理法》。</w:t>
      </w:r>
    </w:p>
    <w:p>
      <w:pPr>
        <w:autoSpaceDE/>
        <w:autoSpaceDN/>
        <w:spacing w:beforeLines="0" w:afterLines="0" w:line="240" w:lineRule="auto"/>
        <w:ind w:firstLine="632" w:firstLineChars="200"/>
        <w:rPr>
          <w:rFonts w:hint="default" w:ascii="Times New Roman" w:eastAsia="仿宋_GB2312" w:cs="Times New Roman"/>
          <w:color w:val="auto"/>
          <w:sz w:val="32"/>
          <w:szCs w:val="32"/>
          <w:lang w:val="zh-CN"/>
        </w:rPr>
      </w:pPr>
      <w:r>
        <w:rPr>
          <w:rFonts w:hint="default" w:ascii="Times New Roman" w:eastAsia="仿宋_GB2312" w:cs="Times New Roman"/>
          <w:color w:val="auto"/>
          <w:sz w:val="32"/>
          <w:szCs w:val="32"/>
          <w:lang w:val="zh-CN"/>
        </w:rPr>
        <w:t>（三）《中华人民共和国土地管理法实施条例》（国务院第</w:t>
      </w:r>
      <w:r>
        <w:rPr>
          <w:rFonts w:ascii="Times New Roman" w:eastAsia="仿宋_GB2312" w:cs="Times New Roman"/>
          <w:color w:val="auto"/>
          <w:sz w:val="32"/>
          <w:szCs w:val="32"/>
          <w:lang w:val="zh-CN"/>
        </w:rPr>
        <w:t>256</w:t>
      </w:r>
      <w:r>
        <w:rPr>
          <w:rFonts w:hint="default" w:ascii="Times New Roman" w:eastAsia="仿宋_GB2312" w:cs="Times New Roman"/>
          <w:color w:val="auto"/>
          <w:sz w:val="32"/>
          <w:szCs w:val="32"/>
          <w:lang w:val="zh-CN"/>
        </w:rPr>
        <w:t>号令）。</w:t>
      </w:r>
    </w:p>
    <w:p>
      <w:pPr>
        <w:autoSpaceDE/>
        <w:autoSpaceDN/>
        <w:spacing w:beforeLines="0" w:afterLines="0" w:line="240" w:lineRule="auto"/>
        <w:ind w:firstLine="632" w:firstLineChars="200"/>
        <w:rPr>
          <w:rFonts w:hint="default" w:ascii="Times New Roman" w:eastAsia="仿宋_GB2312" w:cs="Times New Roman"/>
          <w:color w:val="auto"/>
          <w:sz w:val="32"/>
          <w:szCs w:val="32"/>
          <w:lang w:val="zh-CN"/>
        </w:rPr>
      </w:pPr>
      <w:r>
        <w:rPr>
          <w:rFonts w:hint="default" w:ascii="Times New Roman" w:eastAsia="仿宋_GB2312" w:cs="Times New Roman"/>
          <w:color w:val="auto"/>
          <w:sz w:val="32"/>
          <w:szCs w:val="32"/>
          <w:lang w:val="zh-CN"/>
        </w:rPr>
        <w:t>（四）《国有土地上房屋征收与补偿条例》（国务院第</w:t>
      </w:r>
      <w:r>
        <w:rPr>
          <w:rFonts w:ascii="Times New Roman" w:eastAsia="仿宋_GB2312" w:cs="Times New Roman"/>
          <w:color w:val="auto"/>
          <w:sz w:val="32"/>
          <w:szCs w:val="32"/>
          <w:lang w:val="zh-CN"/>
        </w:rPr>
        <w:t>590</w:t>
      </w:r>
      <w:r>
        <w:rPr>
          <w:rFonts w:hint="default" w:ascii="Times New Roman" w:eastAsia="仿宋_GB2312" w:cs="Times New Roman"/>
          <w:color w:val="auto"/>
          <w:sz w:val="32"/>
          <w:szCs w:val="32"/>
          <w:lang w:val="zh-CN"/>
        </w:rPr>
        <w:t>号令）。</w:t>
      </w:r>
    </w:p>
    <w:p>
      <w:pPr>
        <w:autoSpaceDE/>
        <w:autoSpaceDN/>
        <w:spacing w:beforeLines="0" w:afterLines="0" w:line="240" w:lineRule="auto"/>
        <w:ind w:firstLine="632" w:firstLineChars="200"/>
        <w:rPr>
          <w:rFonts w:hint="default" w:ascii="Times New Roman" w:eastAsia="仿宋_GB2312" w:cs="Times New Roman"/>
          <w:color w:val="auto"/>
          <w:sz w:val="32"/>
          <w:szCs w:val="32"/>
          <w:lang w:val="zh-CN"/>
        </w:rPr>
      </w:pPr>
      <w:r>
        <w:rPr>
          <w:rFonts w:hint="default" w:ascii="Times New Roman" w:eastAsia="仿宋_GB2312" w:cs="Times New Roman"/>
          <w:color w:val="auto"/>
          <w:sz w:val="32"/>
          <w:szCs w:val="32"/>
          <w:lang w:val="zh-CN"/>
        </w:rPr>
        <w:t>（五）《国有土地上房屋征收评估办法》（建房〔</w:t>
      </w:r>
      <w:r>
        <w:rPr>
          <w:rFonts w:ascii="Times New Roman" w:eastAsia="仿宋_GB2312" w:cs="Times New Roman"/>
          <w:color w:val="auto"/>
          <w:sz w:val="32"/>
          <w:szCs w:val="32"/>
          <w:lang w:val="zh-CN"/>
        </w:rPr>
        <w:t>2011</w:t>
      </w:r>
      <w:r>
        <w:rPr>
          <w:rFonts w:hint="default" w:ascii="Times New Roman" w:eastAsia="仿宋_GB2312" w:cs="Times New Roman"/>
          <w:color w:val="auto"/>
          <w:sz w:val="32"/>
          <w:szCs w:val="32"/>
          <w:lang w:val="zh-CN"/>
        </w:rPr>
        <w:t>〕</w:t>
      </w:r>
      <w:r>
        <w:rPr>
          <w:rFonts w:ascii="Times New Roman" w:eastAsia="仿宋_GB2312" w:cs="Times New Roman"/>
          <w:color w:val="auto"/>
          <w:sz w:val="32"/>
          <w:szCs w:val="32"/>
          <w:lang w:val="zh-CN"/>
        </w:rPr>
        <w:t>77</w:t>
      </w:r>
      <w:r>
        <w:rPr>
          <w:rFonts w:hint="default" w:ascii="Times New Roman" w:eastAsia="仿宋_GB2312" w:cs="Times New Roman"/>
          <w:color w:val="auto"/>
          <w:sz w:val="32"/>
          <w:szCs w:val="32"/>
          <w:lang w:val="zh-CN"/>
        </w:rPr>
        <w:t>号)。</w:t>
      </w:r>
    </w:p>
    <w:p>
      <w:pPr>
        <w:autoSpaceDE/>
        <w:autoSpaceDN/>
        <w:spacing w:beforeLines="0" w:afterLines="0" w:line="240" w:lineRule="auto"/>
        <w:ind w:firstLine="632" w:firstLineChars="200"/>
        <w:rPr>
          <w:rFonts w:hint="default" w:ascii="Times New Roman" w:eastAsia="仿宋_GB2312" w:cs="Times New Roman"/>
          <w:color w:val="auto"/>
          <w:sz w:val="32"/>
          <w:szCs w:val="32"/>
          <w:lang w:val="zh-CN"/>
        </w:rPr>
      </w:pPr>
      <w:r>
        <w:rPr>
          <w:rFonts w:hint="default" w:ascii="Times New Roman" w:eastAsia="仿宋_GB2312" w:cs="Times New Roman"/>
          <w:color w:val="auto"/>
          <w:sz w:val="32"/>
          <w:szCs w:val="32"/>
          <w:lang w:val="zh-CN"/>
        </w:rPr>
        <w:t>（六）《广州市城乡规划技术规定》（广州市人民政府令第</w:t>
      </w:r>
      <w:r>
        <w:rPr>
          <w:rFonts w:ascii="Times New Roman" w:eastAsia="仿宋_GB2312" w:cs="Times New Roman"/>
          <w:color w:val="auto"/>
          <w:sz w:val="32"/>
          <w:szCs w:val="32"/>
          <w:lang w:val="zh-CN"/>
        </w:rPr>
        <w:t>1</w:t>
      </w:r>
      <w:r>
        <w:rPr>
          <w:rFonts w:hint="default" w:ascii="Times New Roman" w:eastAsia="仿宋_GB2312" w:cs="Times New Roman"/>
          <w:color w:val="auto"/>
          <w:sz w:val="32"/>
          <w:szCs w:val="32"/>
          <w:lang w:val="zh-CN"/>
        </w:rPr>
        <w:t>33号）。</w:t>
      </w:r>
    </w:p>
    <w:p>
      <w:pPr>
        <w:autoSpaceDE/>
        <w:autoSpaceDN/>
        <w:spacing w:beforeLines="0" w:afterLines="0" w:line="240" w:lineRule="auto"/>
        <w:ind w:firstLine="632" w:firstLineChars="200"/>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rPr>
        <w:t>（七）《</w:t>
      </w:r>
      <w:r>
        <w:rPr>
          <w:rFonts w:ascii="Times New Roman" w:hAnsi="Times New Roman" w:eastAsia="仿宋_GB2312" w:cs="Times New Roman"/>
          <w:color w:val="auto"/>
          <w:sz w:val="32"/>
          <w:szCs w:val="32"/>
        </w:rPr>
        <w:t>广州市人民政府关于印发广州市国有土地上房屋征收与补偿实施办法的通知</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穗府</w:t>
      </w:r>
      <w:r>
        <w:rPr>
          <w:rFonts w:hint="default" w:ascii="Times New Roman" w:hAnsi="Times New Roman" w:eastAsia="仿宋_GB2312" w:cs="Times New Roman"/>
          <w:color w:val="auto"/>
          <w:sz w:val="32"/>
          <w:szCs w:val="32"/>
          <w:lang w:eastAsia="zh-CN"/>
        </w:rPr>
        <w:t>规</w:t>
      </w:r>
      <w:r>
        <w:rPr>
          <w:rFonts w:ascii="Times New Roman" w:hAnsi="Times New Roman" w:eastAsia="仿宋_GB2312" w:cs="Times New Roman"/>
          <w:color w:val="auto"/>
          <w:sz w:val="32"/>
          <w:szCs w:val="32"/>
        </w:rPr>
        <w:t>〔201</w:t>
      </w:r>
      <w:r>
        <w:rPr>
          <w:rFonts w:hint="default" w:ascii="Times New Roman" w:hAnsi="Times New Roman" w:eastAsia="仿宋_GB2312" w:cs="Times New Roman"/>
          <w:color w:val="auto"/>
          <w:sz w:val="32"/>
          <w:szCs w:val="32"/>
          <w:lang w:val="en-US" w:eastAsia="zh-CN"/>
        </w:rPr>
        <w:t>7</w:t>
      </w:r>
      <w:r>
        <w:rPr>
          <w:rFonts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1</w:t>
      </w:r>
      <w:r>
        <w:rPr>
          <w:rFonts w:ascii="Times New Roman" w:hAnsi="Times New Roman" w:eastAsia="仿宋_GB2312" w:cs="Times New Roman"/>
          <w:color w:val="auto"/>
          <w:sz w:val="32"/>
          <w:szCs w:val="32"/>
        </w:rPr>
        <w:t>8号</w:t>
      </w:r>
      <w:r>
        <w:rPr>
          <w:rFonts w:hint="default" w:ascii="Times New Roman" w:hAnsi="Times New Roman" w:eastAsia="仿宋_GB2312" w:cs="Times New Roman"/>
          <w:color w:val="auto"/>
          <w:sz w:val="32"/>
          <w:szCs w:val="32"/>
        </w:rPr>
        <w:t>）。</w:t>
      </w:r>
    </w:p>
    <w:p>
      <w:pPr>
        <w:autoSpaceDE/>
        <w:autoSpaceDN/>
        <w:spacing w:beforeLines="0" w:afterLines="0" w:line="240" w:lineRule="auto"/>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zh-CN"/>
        </w:rPr>
        <w:t>（八）</w:t>
      </w:r>
      <w:r>
        <w:rPr>
          <w:rFonts w:hint="default" w:ascii="Times New Roman" w:hAnsi="Times New Roman" w:eastAsia="仿宋_GB2312" w:cs="Times New Roman"/>
          <w:color w:val="auto"/>
          <w:sz w:val="32"/>
          <w:szCs w:val="32"/>
        </w:rPr>
        <w:t>《广州市人民政府办公厅关于印发广州市农民集体所有土地征收补偿试行办法的通知》（穗府办规〔201</w:t>
      </w: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号）。</w:t>
      </w:r>
    </w:p>
    <w:p>
      <w:pPr>
        <w:spacing w:before="0" w:beforeLines="0" w:beforeAutospacing="0" w:after="0" w:afterLines="0" w:afterAutospacing="0" w:line="240" w:lineRule="auto"/>
        <w:ind w:firstLine="632" w:firstLineChars="200"/>
        <w:rPr>
          <w:rFonts w:hint="default" w:ascii="Times New Roman" w:hAnsi="Times New Roman" w:eastAsia="仿宋_GB2312" w:cs="Times New Roman"/>
          <w:color w:val="auto"/>
          <w:kern w:val="2"/>
          <w:sz w:val="32"/>
          <w:szCs w:val="32"/>
          <w:lang w:bidi="ar-SA"/>
        </w:rPr>
      </w:pPr>
      <w:r>
        <w:rPr>
          <w:rFonts w:hint="default" w:ascii="Times New Roman" w:hAnsi="Times New Roman" w:eastAsia="仿宋_GB2312" w:cs="Times New Roman"/>
          <w:color w:val="auto"/>
          <w:kern w:val="2"/>
          <w:sz w:val="32"/>
          <w:szCs w:val="32"/>
          <w:lang w:bidi="ar-SA"/>
        </w:rPr>
        <w:t>（九）《从化市人民政府关于加强土地征收和管护工作的意见》（从府〔</w:t>
      </w:r>
      <w:r>
        <w:rPr>
          <w:rFonts w:ascii="Times New Roman" w:hAnsi="Times New Roman" w:eastAsia="仿宋_GB2312" w:cs="Times New Roman"/>
          <w:color w:val="auto"/>
          <w:kern w:val="2"/>
          <w:sz w:val="32"/>
          <w:szCs w:val="32"/>
          <w:lang w:bidi="ar-SA"/>
        </w:rPr>
        <w:t>201</w:t>
      </w:r>
      <w:r>
        <w:rPr>
          <w:rFonts w:hint="default" w:ascii="Times New Roman" w:hAnsi="Times New Roman" w:eastAsia="仿宋_GB2312" w:cs="Times New Roman"/>
          <w:color w:val="auto"/>
          <w:kern w:val="2"/>
          <w:sz w:val="32"/>
          <w:szCs w:val="32"/>
          <w:lang w:bidi="ar-SA"/>
        </w:rPr>
        <w:t>4〕</w:t>
      </w:r>
      <w:r>
        <w:rPr>
          <w:rFonts w:ascii="Times New Roman" w:hAnsi="Times New Roman" w:eastAsia="仿宋_GB2312" w:cs="Times New Roman"/>
          <w:color w:val="auto"/>
          <w:kern w:val="2"/>
          <w:sz w:val="32"/>
          <w:szCs w:val="32"/>
          <w:lang w:bidi="ar-SA"/>
        </w:rPr>
        <w:t>2</w:t>
      </w:r>
      <w:r>
        <w:rPr>
          <w:rFonts w:hint="default" w:ascii="Times New Roman" w:hAnsi="Times New Roman" w:eastAsia="仿宋_GB2312" w:cs="Times New Roman"/>
          <w:color w:val="auto"/>
          <w:kern w:val="2"/>
          <w:sz w:val="32"/>
          <w:szCs w:val="32"/>
          <w:lang w:bidi="ar-SA"/>
        </w:rPr>
        <w:t>8号）</w:t>
      </w:r>
    </w:p>
    <w:p>
      <w:pPr>
        <w:autoSpaceDE/>
        <w:autoSpaceDN/>
        <w:spacing w:beforeLines="0" w:afterLines="0" w:line="240" w:lineRule="auto"/>
        <w:ind w:firstLine="632" w:firstLineChars="200"/>
        <w:rPr>
          <w:rFonts w:hint="default" w:ascii="Times New Roman" w:eastAsia="仿宋_GB2312" w:cs="Times New Roman"/>
          <w:color w:val="auto"/>
          <w:sz w:val="32"/>
          <w:szCs w:val="32"/>
          <w:lang w:val="zh-CN"/>
        </w:rPr>
      </w:pPr>
      <w:r>
        <w:rPr>
          <w:rFonts w:hint="default" w:ascii="Times New Roman" w:eastAsia="仿宋_GB2312" w:cs="Times New Roman"/>
          <w:color w:val="auto"/>
          <w:sz w:val="32"/>
          <w:szCs w:val="32"/>
          <w:lang w:val="zh-CN"/>
        </w:rPr>
        <w:t>（十）其他相关法律法规政策规定。</w:t>
      </w:r>
    </w:p>
    <w:p>
      <w:pPr>
        <w:tabs>
          <w:tab w:val="left" w:pos="1275"/>
        </w:tabs>
        <w:autoSpaceDE/>
        <w:autoSpaceDN/>
        <w:spacing w:beforeLines="0" w:afterLines="0" w:line="240" w:lineRule="auto"/>
        <w:ind w:firstLine="632" w:firstLineChars="200"/>
        <w:jc w:val="center"/>
        <w:rPr>
          <w:rFonts w:hint="eastAsia" w:ascii="黑体" w:hAnsi="黑体" w:eastAsia="黑体" w:cs="黑体"/>
          <w:color w:val="auto"/>
          <w:sz w:val="32"/>
          <w:szCs w:val="32"/>
          <w:lang w:val="zh-CN"/>
        </w:rPr>
      </w:pPr>
      <w:r>
        <w:rPr>
          <w:rFonts w:hint="eastAsia" w:ascii="黑体" w:hAnsi="黑体" w:eastAsia="黑体" w:cs="黑体"/>
          <w:color w:val="auto"/>
          <w:sz w:val="32"/>
          <w:szCs w:val="32"/>
          <w:lang w:val="zh-CN"/>
        </w:rPr>
        <w:t>第二章  集体土地上房屋征收的补偿和安置</w:t>
      </w:r>
    </w:p>
    <w:p>
      <w:pPr>
        <w:autoSpaceDE/>
        <w:autoSpaceDN/>
        <w:spacing w:beforeLines="0" w:afterLines="0" w:line="240" w:lineRule="auto"/>
        <w:ind w:firstLine="632" w:firstLineChars="200"/>
        <w:rPr>
          <w:rFonts w:hint="default" w:ascii="Times New Roman" w:eastAsia="仿宋_GB2312" w:cs="Times New Roman"/>
          <w:sz w:val="32"/>
          <w:szCs w:val="32"/>
          <w:lang w:val="zh-CN"/>
        </w:rPr>
      </w:pPr>
    </w:p>
    <w:p>
      <w:pPr>
        <w:autoSpaceDE/>
        <w:autoSpaceDN/>
        <w:spacing w:beforeLines="0" w:afterLines="0" w:line="240" w:lineRule="auto"/>
        <w:ind w:firstLine="632" w:firstLineChars="200"/>
        <w:rPr>
          <w:rFonts w:hint="eastAsia" w:ascii="Times New Roman" w:eastAsia="仿宋_GB2312" w:cs="Times New Roman"/>
          <w:color w:val="auto"/>
          <w:sz w:val="32"/>
          <w:szCs w:val="32"/>
          <w:lang w:val="zh-CN"/>
        </w:rPr>
      </w:pPr>
      <w:r>
        <w:rPr>
          <w:rFonts w:hint="eastAsia" w:ascii="黑体" w:hAnsi="黑体" w:eastAsia="黑体" w:cs="黑体"/>
          <w:color w:val="auto"/>
          <w:sz w:val="32"/>
          <w:szCs w:val="32"/>
          <w:lang w:val="zh-CN"/>
        </w:rPr>
        <w:t xml:space="preserve">第四条 </w:t>
      </w:r>
      <w:r>
        <w:rPr>
          <w:rFonts w:hint="eastAsia" w:ascii="Times New Roman" w:eastAsia="仿宋_GB2312" w:cs="Times New Roman"/>
          <w:color w:val="auto"/>
          <w:sz w:val="32"/>
          <w:szCs w:val="32"/>
          <w:lang w:val="zh-CN"/>
        </w:rPr>
        <w:t xml:space="preserve"> 分户安置资格确定条件</w:t>
      </w:r>
    </w:p>
    <w:p>
      <w:pPr>
        <w:autoSpaceDE/>
        <w:autoSpaceDN/>
        <w:spacing w:beforeLines="0" w:afterLines="0" w:line="240" w:lineRule="auto"/>
        <w:ind w:firstLine="632" w:firstLineChars="200"/>
        <w:rPr>
          <w:rFonts w:hint="default"/>
          <w:color w:val="auto"/>
        </w:rPr>
      </w:pPr>
      <w:r>
        <w:rPr>
          <w:rFonts w:hint="default" w:ascii="Times New Roman" w:eastAsia="仿宋_GB2312"/>
          <w:color w:val="auto"/>
          <w:sz w:val="32"/>
          <w:lang w:val="zh-CN"/>
        </w:rPr>
        <w:t>在从化大道（一期）</w:t>
      </w:r>
      <w:r>
        <w:rPr>
          <w:rFonts w:hint="default" w:ascii="Times New Roman" w:eastAsia="仿宋_GB2312" w:cs="Times New Roman"/>
          <w:color w:val="auto"/>
          <w:sz w:val="32"/>
          <w:szCs w:val="32"/>
          <w:lang w:val="zh-CN"/>
        </w:rPr>
        <w:t>项目</w:t>
      </w:r>
      <w:r>
        <w:rPr>
          <w:rFonts w:hint="default" w:ascii="Times New Roman" w:eastAsia="仿宋_GB2312"/>
          <w:color w:val="auto"/>
          <w:sz w:val="32"/>
          <w:lang w:val="zh-CN"/>
        </w:rPr>
        <w:t>征收红线</w:t>
      </w:r>
      <w:r>
        <w:rPr>
          <w:rFonts w:ascii="Times New Roman" w:eastAsia="仿宋_GB2312"/>
          <w:color w:val="auto"/>
          <w:sz w:val="32"/>
          <w:lang w:val="zh-CN"/>
        </w:rPr>
        <w:t>范围内，</w:t>
      </w:r>
      <w:r>
        <w:rPr>
          <w:rFonts w:hint="default" w:ascii="Times New Roman" w:eastAsia="仿宋_GB2312"/>
          <w:color w:val="auto"/>
          <w:sz w:val="32"/>
          <w:lang w:val="zh-CN"/>
        </w:rPr>
        <w:t>属被征地农村集体经济组织成员、</w:t>
      </w:r>
      <w:r>
        <w:rPr>
          <w:rFonts w:ascii="Times New Roman" w:eastAsia="仿宋_GB2312"/>
          <w:color w:val="auto"/>
          <w:sz w:val="32"/>
          <w:lang w:val="zh-CN"/>
        </w:rPr>
        <w:t>有常住户口</w:t>
      </w:r>
      <w:r>
        <w:rPr>
          <w:rFonts w:hint="default" w:ascii="Times New Roman" w:eastAsia="仿宋_GB2312"/>
          <w:color w:val="auto"/>
          <w:sz w:val="32"/>
          <w:lang w:val="zh-CN"/>
        </w:rPr>
        <w:t>且</w:t>
      </w:r>
      <w:r>
        <w:rPr>
          <w:rFonts w:hint="default" w:ascii="Times New Roman" w:eastAsia="仿宋_GB2312"/>
          <w:b w:val="0"/>
          <w:color w:val="auto"/>
          <w:sz w:val="32"/>
          <w:lang w:val="zh-CN"/>
        </w:rPr>
        <w:t>属长期、固定住宅</w:t>
      </w:r>
      <w:r>
        <w:rPr>
          <w:rFonts w:ascii="Times New Roman" w:eastAsia="仿宋_GB2312"/>
          <w:color w:val="auto"/>
          <w:sz w:val="32"/>
          <w:lang w:val="zh-CN"/>
        </w:rPr>
        <w:t>的实际居住人员（</w:t>
      </w:r>
      <w:r>
        <w:rPr>
          <w:rFonts w:hint="default" w:ascii="Times New Roman" w:eastAsia="仿宋_GB2312"/>
          <w:color w:val="auto"/>
          <w:sz w:val="32"/>
          <w:lang w:val="zh-CN"/>
        </w:rPr>
        <w:t>需结合</w:t>
      </w:r>
      <w:r>
        <w:rPr>
          <w:rFonts w:ascii="Times New Roman" w:eastAsia="仿宋_GB2312"/>
          <w:color w:val="auto"/>
          <w:sz w:val="32"/>
          <w:lang w:val="zh-CN"/>
        </w:rPr>
        <w:t>公安部门户籍登记信息</w:t>
      </w:r>
      <w:r>
        <w:rPr>
          <w:rFonts w:hint="default" w:ascii="Times New Roman" w:eastAsia="仿宋_GB2312"/>
          <w:color w:val="auto"/>
          <w:sz w:val="32"/>
          <w:lang w:val="zh-CN"/>
        </w:rPr>
        <w:t>进行审核</w:t>
      </w:r>
      <w:r>
        <w:rPr>
          <w:rFonts w:ascii="Times New Roman" w:eastAsia="仿宋_GB2312"/>
          <w:color w:val="auto"/>
          <w:sz w:val="32"/>
          <w:lang w:val="zh-CN"/>
        </w:rPr>
        <w:t>）</w:t>
      </w:r>
      <w:r>
        <w:rPr>
          <w:rFonts w:hint="default" w:ascii="Times New Roman" w:eastAsia="仿宋_GB2312"/>
          <w:color w:val="auto"/>
          <w:sz w:val="32"/>
          <w:lang w:val="zh-CN"/>
        </w:rPr>
        <w:t>，根据以下条件，确定以户为单位的安置资格</w:t>
      </w:r>
      <w:r>
        <w:rPr>
          <w:rFonts w:ascii="Times New Roman" w:eastAsia="仿宋_GB2312"/>
          <w:color w:val="auto"/>
          <w:sz w:val="32"/>
          <w:lang w:val="zh-CN"/>
        </w:rPr>
        <w:t>：</w:t>
      </w:r>
    </w:p>
    <w:p>
      <w:pPr>
        <w:autoSpaceDE/>
        <w:autoSpaceDN/>
        <w:spacing w:beforeLines="0" w:afterLines="0" w:line="240" w:lineRule="auto"/>
        <w:ind w:firstLine="632" w:firstLineChars="200"/>
        <w:rPr>
          <w:rFonts w:hint="default" w:ascii="Times New Roman" w:eastAsia="仿宋_GB2312"/>
          <w:color w:val="auto"/>
          <w:sz w:val="32"/>
          <w:lang w:val="zh-CN"/>
        </w:rPr>
      </w:pPr>
      <w:r>
        <w:rPr>
          <w:rFonts w:hint="default" w:ascii="Times New Roman" w:eastAsia="仿宋_GB2312"/>
          <w:color w:val="auto"/>
          <w:sz w:val="32"/>
          <w:lang w:val="zh-CN"/>
        </w:rPr>
        <w:t>（一）</w:t>
      </w:r>
      <w:r>
        <w:rPr>
          <w:rFonts w:ascii="Times New Roman" w:eastAsia="仿宋_GB2312"/>
          <w:color w:val="auto"/>
          <w:sz w:val="32"/>
          <w:lang w:val="zh-CN"/>
        </w:rPr>
        <w:t>在公安部门户籍登记人口时间限定在</w:t>
      </w:r>
      <w:r>
        <w:rPr>
          <w:rFonts w:hint="default" w:ascii="Times New Roman" w:eastAsia="仿宋_GB2312"/>
          <w:color w:val="auto"/>
          <w:sz w:val="32"/>
          <w:lang w:val="zh-CN"/>
        </w:rPr>
        <w:t>从化大道（一期）</w:t>
      </w:r>
      <w:r>
        <w:rPr>
          <w:rFonts w:ascii="Times New Roman" w:eastAsia="仿宋_GB2312"/>
          <w:color w:val="auto"/>
          <w:sz w:val="32"/>
          <w:lang w:val="zh-CN"/>
        </w:rPr>
        <w:t>项目发布《</w:t>
      </w:r>
      <w:r>
        <w:rPr>
          <w:rFonts w:hint="default" w:ascii="Times New Roman" w:eastAsia="仿宋_GB2312"/>
          <w:color w:val="auto"/>
          <w:sz w:val="32"/>
          <w:lang w:val="zh-CN"/>
        </w:rPr>
        <w:t>广州</w:t>
      </w:r>
      <w:r>
        <w:rPr>
          <w:rFonts w:ascii="Times New Roman" w:eastAsia="仿宋_GB2312"/>
          <w:color w:val="auto"/>
          <w:sz w:val="32"/>
          <w:lang w:val="zh-CN"/>
        </w:rPr>
        <w:t>市人民政府征收土地公告》</w:t>
      </w:r>
      <w:r>
        <w:rPr>
          <w:rFonts w:hint="default" w:ascii="Times New Roman" w:eastAsia="仿宋_GB2312" w:cs="Times New Roman"/>
          <w:color w:val="auto"/>
          <w:sz w:val="32"/>
          <w:szCs w:val="32"/>
          <w:lang w:val="zh-CN"/>
        </w:rPr>
        <w:t>（穗府〔</w:t>
      </w:r>
      <w:r>
        <w:rPr>
          <w:rFonts w:ascii="Times New Roman" w:eastAsia="仿宋_GB2312" w:cs="Times New Roman"/>
          <w:color w:val="auto"/>
          <w:sz w:val="32"/>
          <w:szCs w:val="32"/>
          <w:lang w:val="zh-CN"/>
        </w:rPr>
        <w:t>201</w:t>
      </w:r>
      <w:r>
        <w:rPr>
          <w:rFonts w:hint="default" w:ascii="Times New Roman" w:eastAsia="仿宋_GB2312" w:cs="Times New Roman"/>
          <w:color w:val="auto"/>
          <w:sz w:val="32"/>
          <w:szCs w:val="32"/>
        </w:rPr>
        <w:t>7</w:t>
      </w:r>
      <w:r>
        <w:rPr>
          <w:rFonts w:hint="default" w:ascii="Times New Roman" w:eastAsia="仿宋_GB2312" w:cs="Times New Roman"/>
          <w:color w:val="auto"/>
          <w:sz w:val="32"/>
          <w:szCs w:val="32"/>
          <w:lang w:val="zh-CN"/>
        </w:rPr>
        <w:t>〕</w:t>
      </w:r>
      <w:r>
        <w:rPr>
          <w:rFonts w:hint="default" w:ascii="Times New Roman" w:eastAsia="仿宋_GB2312" w:cs="Times New Roman"/>
          <w:color w:val="auto"/>
          <w:sz w:val="32"/>
          <w:szCs w:val="32"/>
          <w:lang w:val="en-US" w:eastAsia="zh-CN"/>
        </w:rPr>
        <w:t>143</w:t>
      </w:r>
      <w:r>
        <w:rPr>
          <w:rFonts w:hint="default" w:ascii="Times New Roman" w:eastAsia="仿宋_GB2312" w:cs="Times New Roman"/>
          <w:color w:val="auto"/>
          <w:sz w:val="32"/>
          <w:szCs w:val="32"/>
        </w:rPr>
        <w:t>号</w:t>
      </w:r>
      <w:r>
        <w:rPr>
          <w:rFonts w:hint="default" w:ascii="Times New Roman" w:eastAsia="仿宋_GB2312" w:cs="Times New Roman"/>
          <w:color w:val="auto"/>
          <w:sz w:val="32"/>
          <w:szCs w:val="32"/>
          <w:lang w:eastAsia="zh-CN"/>
        </w:rPr>
        <w:t>、</w:t>
      </w:r>
      <w:r>
        <w:rPr>
          <w:rFonts w:hint="default" w:ascii="Times New Roman" w:eastAsia="仿宋_GB2312" w:cs="Times New Roman"/>
          <w:color w:val="auto"/>
          <w:sz w:val="32"/>
          <w:szCs w:val="32"/>
          <w:lang w:val="en-US" w:eastAsia="zh-CN"/>
        </w:rPr>
        <w:t>144号</w:t>
      </w:r>
      <w:r>
        <w:rPr>
          <w:rFonts w:hint="default" w:ascii="Times New Roman" w:eastAsia="仿宋_GB2312" w:cs="Times New Roman"/>
          <w:color w:val="auto"/>
          <w:sz w:val="32"/>
          <w:szCs w:val="32"/>
          <w:lang w:val="zh-CN"/>
        </w:rPr>
        <w:t>）</w:t>
      </w:r>
      <w:r>
        <w:rPr>
          <w:rFonts w:ascii="Times New Roman" w:eastAsia="仿宋_GB2312"/>
          <w:color w:val="auto"/>
          <w:sz w:val="32"/>
          <w:lang w:val="zh-CN"/>
        </w:rPr>
        <w:t>之日（</w:t>
      </w:r>
      <w:r>
        <w:rPr>
          <w:rFonts w:hint="default" w:ascii="Times New Roman" w:eastAsia="仿宋_GB2312"/>
          <w:color w:val="auto"/>
          <w:sz w:val="32"/>
          <w:lang w:val="en-US" w:eastAsia="zh-CN"/>
        </w:rPr>
        <w:t>2017年8月30日，</w:t>
      </w:r>
      <w:r>
        <w:rPr>
          <w:rFonts w:ascii="Times New Roman" w:eastAsia="仿宋_GB2312"/>
          <w:color w:val="auto"/>
          <w:sz w:val="32"/>
          <w:lang w:val="zh-CN"/>
        </w:rPr>
        <w:t>下称征地公告发布日）为符合规定的截止日期</w:t>
      </w:r>
      <w:r>
        <w:rPr>
          <w:rFonts w:hint="default" w:ascii="Times New Roman" w:eastAsia="仿宋_GB2312"/>
          <w:color w:val="auto"/>
          <w:sz w:val="32"/>
        </w:rPr>
        <w:t>。</w:t>
      </w:r>
      <w:r>
        <w:rPr>
          <w:rFonts w:hint="default" w:ascii="Times New Roman" w:eastAsia="仿宋_GB2312"/>
          <w:color w:val="auto"/>
          <w:sz w:val="32"/>
          <w:lang w:val="zh-CN"/>
        </w:rPr>
        <w:t>在征地公告发布日（含当日）发布后办理的分户、并户、迁入户和迁入人口不作为安置依据。</w:t>
      </w:r>
    </w:p>
    <w:p>
      <w:pPr>
        <w:autoSpaceDE/>
        <w:autoSpaceDN/>
        <w:snapToGrid/>
        <w:spacing w:beforeLines="0" w:afterLines="0" w:line="240" w:lineRule="auto"/>
        <w:ind w:firstLine="632" w:firstLineChars="200"/>
        <w:rPr>
          <w:rFonts w:hint="default" w:ascii="Times New Roman" w:eastAsia="仿宋_GB2312"/>
          <w:color w:val="auto"/>
          <w:sz w:val="32"/>
          <w:lang w:val="zh-CN"/>
        </w:rPr>
      </w:pPr>
      <w:r>
        <w:rPr>
          <w:rFonts w:hint="default" w:ascii="Times New Roman" w:eastAsia="仿宋_GB2312"/>
          <w:color w:val="auto"/>
          <w:sz w:val="32"/>
          <w:lang w:val="zh-CN"/>
        </w:rPr>
        <w:t>（二）已婚夫妇与未婚子女为一个安置资格户，一家有两个以上子女都未达法定结婚年龄的，计算为一个安置资格户。</w:t>
      </w:r>
    </w:p>
    <w:p>
      <w:pPr>
        <w:autoSpaceDE/>
        <w:autoSpaceDN/>
        <w:snapToGrid/>
        <w:spacing w:beforeLines="0" w:afterLines="0" w:line="240" w:lineRule="auto"/>
        <w:ind w:firstLine="632" w:firstLineChars="200"/>
        <w:rPr>
          <w:rFonts w:hint="default" w:ascii="Times New Roman" w:eastAsia="仿宋_GB2312"/>
          <w:color w:val="auto"/>
          <w:sz w:val="32"/>
          <w:lang w:val="zh-CN"/>
        </w:rPr>
      </w:pPr>
      <w:r>
        <w:rPr>
          <w:rFonts w:hint="default" w:ascii="Times New Roman" w:eastAsia="仿宋_GB2312"/>
          <w:color w:val="auto"/>
          <w:sz w:val="32"/>
          <w:lang w:val="zh-CN"/>
        </w:rPr>
        <w:t>（三）被征收人有一个儿子，已婚夫妇必须与儿子作为一个安置资格户；被征收人有两个或以上儿子，父母须与一个儿子作为一个安置资格户，其余在征地公告发布日（含当日）前已达法定结婚年龄的儿子可增加一个安置资格户</w:t>
      </w:r>
      <w:r>
        <w:rPr>
          <w:rFonts w:hint="eastAsia"/>
          <w:sz w:val="32"/>
          <w:lang w:val="zh-CN"/>
        </w:rPr>
        <w:t>；</w:t>
      </w:r>
      <w:r>
        <w:rPr>
          <w:rFonts w:hint="default" w:ascii="Times New Roman" w:eastAsia="仿宋_GB2312"/>
          <w:color w:val="auto"/>
          <w:sz w:val="32"/>
          <w:lang w:val="zh-CN"/>
        </w:rPr>
        <w:t>被征收人与孙同户（儿子已去世），须与一个孙子为一户，其余在征地公告发布日（含当日）前已达法定结婚年龄的孙子可增加一个安置资格户。</w:t>
      </w:r>
    </w:p>
    <w:p>
      <w:pPr>
        <w:autoSpaceDE/>
        <w:autoSpaceDN/>
        <w:snapToGrid/>
        <w:spacing w:beforeLines="0" w:afterLines="0" w:line="240" w:lineRule="auto"/>
        <w:ind w:firstLine="632" w:firstLineChars="200"/>
        <w:rPr>
          <w:rFonts w:hint="default" w:ascii="Times New Roman" w:eastAsia="仿宋_GB2312"/>
          <w:color w:val="auto"/>
          <w:sz w:val="32"/>
          <w:lang w:val="zh-CN"/>
        </w:rPr>
      </w:pPr>
      <w:r>
        <w:rPr>
          <w:rFonts w:hint="default" w:ascii="Times New Roman" w:eastAsia="仿宋_GB2312"/>
          <w:color w:val="auto"/>
          <w:sz w:val="32"/>
          <w:lang w:val="zh-CN"/>
        </w:rPr>
        <w:t>（四）已离异或再婚的，计算为一个安置资格户。</w:t>
      </w:r>
    </w:p>
    <w:p>
      <w:pPr>
        <w:autoSpaceDE/>
        <w:autoSpaceDN/>
        <w:snapToGrid/>
        <w:spacing w:beforeLines="0" w:afterLines="0" w:line="240" w:lineRule="auto"/>
        <w:ind w:firstLine="632" w:firstLineChars="200"/>
        <w:rPr>
          <w:rFonts w:hint="default" w:ascii="Times New Roman" w:eastAsia="仿宋_GB2312"/>
          <w:color w:val="auto"/>
          <w:sz w:val="32"/>
          <w:lang w:val="zh-CN"/>
        </w:rPr>
      </w:pPr>
      <w:r>
        <w:rPr>
          <w:rFonts w:hint="default" w:ascii="Times New Roman" w:eastAsia="仿宋_GB2312"/>
          <w:color w:val="auto"/>
          <w:sz w:val="32"/>
          <w:lang w:val="zh-CN"/>
        </w:rPr>
        <w:t>（五）一家有一子一女的，计算为一个安置资格户。</w:t>
      </w:r>
    </w:p>
    <w:p>
      <w:pPr>
        <w:autoSpaceDE/>
        <w:autoSpaceDN/>
        <w:snapToGrid/>
        <w:spacing w:beforeLines="0" w:afterLines="0" w:line="240" w:lineRule="auto"/>
        <w:ind w:firstLine="632" w:firstLineChars="200"/>
        <w:rPr>
          <w:rFonts w:hint="default" w:ascii="Times New Roman" w:eastAsia="仿宋_GB2312"/>
          <w:color w:val="auto"/>
          <w:sz w:val="32"/>
          <w:lang w:val="zh-CN"/>
        </w:rPr>
      </w:pPr>
      <w:r>
        <w:rPr>
          <w:rFonts w:hint="default" w:ascii="Times New Roman" w:eastAsia="仿宋_GB2312"/>
          <w:color w:val="auto"/>
          <w:sz w:val="32"/>
          <w:lang w:val="zh-CN"/>
        </w:rPr>
        <w:t>（六）纯女户家庭，计算为一个安置资格户。</w:t>
      </w:r>
    </w:p>
    <w:p>
      <w:pPr>
        <w:autoSpaceDE/>
        <w:autoSpaceDN/>
        <w:snapToGrid/>
        <w:spacing w:beforeLines="0" w:afterLines="0" w:line="240" w:lineRule="auto"/>
        <w:ind w:firstLine="632" w:firstLineChars="200"/>
        <w:rPr>
          <w:rFonts w:hint="default" w:ascii="Times New Roman" w:eastAsia="仿宋_GB2312"/>
          <w:color w:val="auto"/>
          <w:sz w:val="32"/>
          <w:lang w:val="zh-CN"/>
        </w:rPr>
      </w:pPr>
      <w:r>
        <w:rPr>
          <w:rFonts w:hint="default" w:ascii="Times New Roman" w:eastAsia="仿宋_GB2312"/>
          <w:color w:val="auto"/>
          <w:sz w:val="32"/>
          <w:lang w:val="zh-CN"/>
        </w:rPr>
        <w:t>（七）登记在册为独立户口的独居老人（不含孤寡），需并入其一个儿子为一个安置资格户，出嫁女或入赘到征收范围外</w:t>
      </w:r>
      <w:r>
        <w:rPr>
          <w:rFonts w:hint="default" w:ascii="Times New Roman" w:eastAsia="仿宋_GB2312"/>
          <w:color w:val="auto"/>
          <w:sz w:val="32"/>
          <w:lang w:val="zh-CN" w:eastAsia="zh-CN"/>
        </w:rPr>
        <w:t>房屋</w:t>
      </w:r>
      <w:r>
        <w:rPr>
          <w:rFonts w:hint="default" w:ascii="Times New Roman" w:eastAsia="仿宋_GB2312"/>
          <w:color w:val="auto"/>
          <w:sz w:val="32"/>
          <w:lang w:val="zh-CN"/>
        </w:rPr>
        <w:t>但不迁出户口，非被征地农村集体经济组织成员因投亲靠友、子女读书、购买户口等的外来迁入人员（寄居户、空挂户），不作为一个安置资格户。</w:t>
      </w:r>
    </w:p>
    <w:p>
      <w:pPr>
        <w:autoSpaceDE/>
        <w:autoSpaceDN/>
        <w:snapToGrid/>
        <w:spacing w:beforeLines="0" w:afterLines="0" w:line="240" w:lineRule="auto"/>
        <w:ind w:firstLine="632" w:firstLineChars="200"/>
        <w:rPr>
          <w:rFonts w:hint="default" w:ascii="Times New Roman" w:eastAsia="仿宋_GB2312"/>
          <w:color w:val="auto"/>
          <w:sz w:val="32"/>
          <w:lang w:val="zh-CN"/>
        </w:rPr>
      </w:pPr>
      <w:r>
        <w:rPr>
          <w:rFonts w:hint="default" w:ascii="Times New Roman" w:eastAsia="仿宋_GB2312"/>
          <w:color w:val="auto"/>
          <w:sz w:val="32"/>
          <w:lang w:val="zh-CN"/>
        </w:rPr>
        <w:t>（八）按照上述办法未能确定是否符合安置资格户的，由当地村、社研究统一意见报征收实施单位审核后，报区政府审定。</w:t>
      </w:r>
    </w:p>
    <w:p>
      <w:pPr>
        <w:tabs>
          <w:tab w:val="left" w:pos="1275"/>
        </w:tabs>
        <w:autoSpaceDE/>
        <w:autoSpaceDN/>
        <w:spacing w:beforeLines="0" w:afterLines="0" w:line="240" w:lineRule="auto"/>
        <w:ind w:firstLine="632" w:firstLineChars="200"/>
        <w:rPr>
          <w:rFonts w:hint="eastAsia" w:ascii="Times New Roman" w:eastAsia="仿宋_GB2312" w:cs="Times New Roman"/>
          <w:color w:val="auto"/>
          <w:sz w:val="32"/>
          <w:szCs w:val="32"/>
          <w:lang w:val="zh-CN"/>
        </w:rPr>
      </w:pPr>
      <w:r>
        <w:rPr>
          <w:rFonts w:hint="eastAsia" w:ascii="黑体" w:hAnsi="黑体" w:eastAsia="黑体" w:cs="黑体"/>
          <w:color w:val="auto"/>
          <w:sz w:val="32"/>
          <w:szCs w:val="32"/>
          <w:lang w:val="zh-CN"/>
        </w:rPr>
        <w:t xml:space="preserve">第五条 </w:t>
      </w:r>
      <w:r>
        <w:rPr>
          <w:rFonts w:hint="eastAsia" w:ascii="Times New Roman" w:eastAsia="仿宋_GB2312" w:cs="Times New Roman"/>
          <w:color w:val="auto"/>
          <w:sz w:val="32"/>
          <w:szCs w:val="32"/>
          <w:lang w:val="zh-CN"/>
        </w:rPr>
        <w:t xml:space="preserve"> 被征收房屋权属、性质的认定</w:t>
      </w:r>
    </w:p>
    <w:p>
      <w:pPr>
        <w:autoSpaceDE/>
        <w:autoSpaceDN/>
        <w:spacing w:beforeLines="0" w:afterLines="0" w:line="240" w:lineRule="auto"/>
        <w:ind w:firstLine="632" w:firstLineChars="200"/>
        <w:rPr>
          <w:rFonts w:hint="default" w:ascii="Times New Roman" w:eastAsia="仿宋_GB2312" w:cs="Times New Roman"/>
          <w:color w:val="auto"/>
          <w:sz w:val="32"/>
          <w:szCs w:val="32"/>
          <w:lang w:val="zh-CN"/>
        </w:rPr>
      </w:pPr>
      <w:r>
        <w:rPr>
          <w:rFonts w:hint="default" w:ascii="Times New Roman" w:eastAsia="仿宋_GB2312" w:cs="Times New Roman"/>
          <w:color w:val="auto"/>
          <w:sz w:val="32"/>
          <w:szCs w:val="32"/>
          <w:lang w:val="zh-CN"/>
        </w:rPr>
        <w:t>（一）本项目征收范围内的集体土地上房屋应当以合法有效的集体土地所有权证、集体土地使用权证、宅基地使用权证、房地产权证、建房批准文件以及人民法院、仲裁委员会的生效法律文书作为安置依据。</w:t>
      </w:r>
    </w:p>
    <w:p>
      <w:pPr>
        <w:autoSpaceDE/>
        <w:autoSpaceDN/>
        <w:snapToGrid/>
        <w:spacing w:beforeLines="0" w:afterLines="0" w:line="240" w:lineRule="auto"/>
        <w:ind w:firstLine="632" w:firstLineChars="200"/>
        <w:rPr>
          <w:rFonts w:hint="default" w:ascii="Times New Roman" w:eastAsia="仿宋_GB2312" w:cs="Times New Roman"/>
          <w:color w:val="auto"/>
          <w:sz w:val="32"/>
          <w:szCs w:val="32"/>
          <w:lang w:val="zh-CN"/>
        </w:rPr>
      </w:pPr>
      <w:r>
        <w:rPr>
          <w:rFonts w:hint="default" w:ascii="Times New Roman" w:eastAsia="仿宋_GB2312" w:cs="Times New Roman"/>
          <w:color w:val="auto"/>
          <w:sz w:val="32"/>
          <w:szCs w:val="32"/>
          <w:lang w:val="zh-CN"/>
        </w:rPr>
        <w:t>（二）集体土地上房屋的用途和建筑面积，以集体土地使用权证、宅基地使用权证、房地产权证或者建房批准文件的记载为准。不动产登记部门负责开展集体土地上房屋合法产权认定工作，并对认定结果的真实性负责。</w:t>
      </w:r>
    </w:p>
    <w:p>
      <w:pPr>
        <w:autoSpaceDE/>
        <w:autoSpaceDN/>
        <w:spacing w:beforeLines="0" w:afterLines="0" w:line="240" w:lineRule="auto"/>
        <w:ind w:firstLine="632" w:firstLineChars="200"/>
        <w:rPr>
          <w:rFonts w:ascii="Times New Roman" w:eastAsia="仿宋_GB2312" w:cs="Times New Roman"/>
          <w:color w:val="auto"/>
          <w:sz w:val="32"/>
          <w:szCs w:val="32"/>
          <w:lang w:val="zh-CN"/>
        </w:rPr>
      </w:pPr>
      <w:r>
        <w:rPr>
          <w:rFonts w:hint="default" w:ascii="Times New Roman" w:eastAsia="仿宋_GB2312" w:cs="Times New Roman"/>
          <w:color w:val="auto"/>
          <w:sz w:val="32"/>
          <w:szCs w:val="32"/>
          <w:lang w:val="zh-CN"/>
        </w:rPr>
        <w:t>（三）在发布《广州市人民政府征收土地公告》（穗府〔</w:t>
      </w:r>
      <w:r>
        <w:rPr>
          <w:rFonts w:ascii="Times New Roman" w:eastAsia="仿宋_GB2312" w:cs="Times New Roman"/>
          <w:color w:val="auto"/>
          <w:sz w:val="32"/>
          <w:szCs w:val="32"/>
          <w:lang w:val="zh-CN"/>
        </w:rPr>
        <w:t>201</w:t>
      </w:r>
      <w:r>
        <w:rPr>
          <w:rFonts w:hint="default" w:ascii="Times New Roman" w:eastAsia="仿宋_GB2312" w:cs="Times New Roman"/>
          <w:color w:val="auto"/>
          <w:sz w:val="32"/>
          <w:szCs w:val="32"/>
          <w:lang w:val="zh-CN"/>
        </w:rPr>
        <w:t>7〕</w:t>
      </w:r>
      <w:r>
        <w:rPr>
          <w:rFonts w:hint="default" w:ascii="Times New Roman" w:eastAsia="仿宋_GB2312" w:cs="Times New Roman"/>
          <w:color w:val="auto"/>
          <w:sz w:val="32"/>
          <w:szCs w:val="32"/>
          <w:lang w:val="zh-CN" w:eastAsia="zh-CN"/>
        </w:rPr>
        <w:t>143</w:t>
      </w:r>
      <w:r>
        <w:rPr>
          <w:rFonts w:hint="default" w:ascii="Times New Roman" w:eastAsia="仿宋_GB2312" w:cs="Times New Roman"/>
          <w:color w:val="auto"/>
          <w:sz w:val="32"/>
          <w:szCs w:val="32"/>
          <w:lang w:val="zh-CN"/>
        </w:rPr>
        <w:t>号</w:t>
      </w:r>
      <w:r>
        <w:rPr>
          <w:rFonts w:hint="default" w:ascii="Times New Roman" w:eastAsia="仿宋_GB2312" w:cs="Times New Roman"/>
          <w:color w:val="auto"/>
          <w:sz w:val="32"/>
          <w:szCs w:val="32"/>
          <w:lang w:val="zh-CN" w:eastAsia="zh-CN"/>
        </w:rPr>
        <w:t>、144号</w:t>
      </w:r>
      <w:r>
        <w:rPr>
          <w:rFonts w:hint="default" w:ascii="Times New Roman" w:eastAsia="仿宋_GB2312" w:cs="Times New Roman"/>
          <w:color w:val="auto"/>
          <w:sz w:val="32"/>
          <w:szCs w:val="32"/>
          <w:lang w:val="zh-CN"/>
        </w:rPr>
        <w:t>）后，征收实施单位会同公证机关，对征收范围内各类集体土地上房屋的权属、区位、用途、建筑面积、装饰装修、附属设施、户籍等情况进行调查，办理证据保全和征求被征收房屋所有权人的补偿安置意愿。调查工作结束后</w:t>
      </w:r>
      <w:r>
        <w:rPr>
          <w:rFonts w:ascii="Times New Roman" w:eastAsia="仿宋_GB2312" w:cs="Times New Roman"/>
          <w:color w:val="auto"/>
          <w:sz w:val="32"/>
          <w:szCs w:val="32"/>
          <w:lang w:val="zh-CN"/>
        </w:rPr>
        <w:t>3</w:t>
      </w:r>
      <w:r>
        <w:rPr>
          <w:rFonts w:hint="default" w:ascii="Times New Roman" w:eastAsia="仿宋_GB2312" w:cs="Times New Roman"/>
          <w:color w:val="auto"/>
          <w:sz w:val="32"/>
          <w:szCs w:val="32"/>
          <w:lang w:val="zh-CN"/>
        </w:rPr>
        <w:t>日内，征收实施单位应当将安置资格调查结果在征收范围内张贴公示，公示期限不少于</w:t>
      </w:r>
      <w:r>
        <w:rPr>
          <w:rFonts w:ascii="Times New Roman" w:eastAsia="仿宋_GB2312" w:cs="Times New Roman"/>
          <w:color w:val="auto"/>
          <w:sz w:val="32"/>
          <w:szCs w:val="32"/>
          <w:lang w:val="zh-CN"/>
        </w:rPr>
        <w:t>7</w:t>
      </w:r>
      <w:r>
        <w:rPr>
          <w:rFonts w:hint="default" w:ascii="Times New Roman" w:eastAsia="仿宋_GB2312" w:cs="Times New Roman"/>
          <w:color w:val="auto"/>
          <w:sz w:val="32"/>
          <w:szCs w:val="32"/>
          <w:lang w:val="zh-CN"/>
        </w:rPr>
        <w:t>日。被征收房屋所有权人对调查结果有异议的，征收部门应当在</w:t>
      </w:r>
      <w:r>
        <w:rPr>
          <w:rFonts w:ascii="Times New Roman" w:eastAsia="仿宋_GB2312" w:cs="Times New Roman"/>
          <w:color w:val="auto"/>
          <w:sz w:val="32"/>
          <w:szCs w:val="32"/>
          <w:lang w:val="zh-CN"/>
        </w:rPr>
        <w:t>2</w:t>
      </w:r>
      <w:r>
        <w:rPr>
          <w:rFonts w:hint="default" w:ascii="Times New Roman" w:eastAsia="仿宋_GB2312" w:cs="Times New Roman"/>
          <w:color w:val="auto"/>
          <w:sz w:val="32"/>
          <w:szCs w:val="32"/>
          <w:lang w:val="zh-CN"/>
        </w:rPr>
        <w:t>日内组织进行核实，并将结果告知异议人。</w:t>
      </w:r>
    </w:p>
    <w:p>
      <w:pPr>
        <w:autoSpaceDE/>
        <w:autoSpaceDN/>
        <w:spacing w:beforeLines="0" w:afterLines="0" w:line="240" w:lineRule="auto"/>
        <w:ind w:firstLine="632" w:firstLineChars="200"/>
        <w:rPr>
          <w:rFonts w:hint="eastAsia" w:ascii="Times New Roman" w:eastAsia="仿宋_GB2312" w:cs="Times New Roman"/>
          <w:color w:val="auto"/>
          <w:sz w:val="32"/>
          <w:szCs w:val="32"/>
          <w:lang w:val="zh-CN"/>
        </w:rPr>
      </w:pPr>
      <w:r>
        <w:rPr>
          <w:rFonts w:hint="eastAsia" w:ascii="黑体" w:hAnsi="黑体" w:eastAsia="黑体" w:cs="黑体"/>
          <w:color w:val="auto"/>
          <w:sz w:val="32"/>
          <w:szCs w:val="32"/>
          <w:lang w:val="zh-CN"/>
        </w:rPr>
        <w:t xml:space="preserve">第六条 </w:t>
      </w:r>
      <w:r>
        <w:rPr>
          <w:rFonts w:hint="eastAsia" w:ascii="黑体" w:hAnsi="黑体" w:eastAsia="黑体" w:cs="黑体"/>
          <w:sz w:val="32"/>
          <w:szCs w:val="32"/>
          <w:lang w:val="en-US" w:eastAsia="zh-CN"/>
        </w:rPr>
        <w:t xml:space="preserve"> </w:t>
      </w:r>
      <w:r>
        <w:rPr>
          <w:rFonts w:hint="eastAsia" w:ascii="Times New Roman" w:eastAsia="仿宋_GB2312" w:cs="Times New Roman"/>
          <w:color w:val="auto"/>
          <w:sz w:val="32"/>
          <w:szCs w:val="32"/>
          <w:lang w:val="zh-CN"/>
        </w:rPr>
        <w:t>补偿安置原则</w:t>
      </w:r>
    </w:p>
    <w:p>
      <w:pPr>
        <w:autoSpaceDE/>
        <w:autoSpaceDN/>
        <w:spacing w:beforeLines="0" w:afterLines="0" w:line="240" w:lineRule="auto"/>
        <w:ind w:firstLine="632" w:firstLineChars="200"/>
        <w:rPr>
          <w:rFonts w:hint="default" w:ascii="Times New Roman" w:eastAsia="仿宋_GB2312" w:cs="Times New Roman"/>
          <w:color w:val="auto"/>
          <w:sz w:val="32"/>
          <w:szCs w:val="32"/>
          <w:lang w:val="zh-CN"/>
        </w:rPr>
      </w:pPr>
      <w:r>
        <w:rPr>
          <w:rFonts w:hint="default" w:ascii="Times New Roman" w:eastAsia="仿宋_GB2312" w:cs="Times New Roman"/>
          <w:color w:val="auto"/>
          <w:sz w:val="32"/>
          <w:szCs w:val="32"/>
          <w:lang w:val="zh-CN"/>
        </w:rPr>
        <w:t>（一）在征收范围内有合法产权或经认定和处理的被征收房屋，给予补偿。被征收房屋面积由征收实施单位调查确认（以具备资质测绘机构测量为准）并公示无异议后，再由征收部门核定。</w:t>
      </w:r>
    </w:p>
    <w:p>
      <w:pPr>
        <w:spacing w:beforeLines="0" w:afterLines="0" w:line="240" w:lineRule="auto"/>
        <w:ind w:firstLine="632" w:firstLineChars="200"/>
        <w:jc w:val="both"/>
        <w:rPr>
          <w:rFonts w:hint="default" w:ascii="Times New Roman" w:eastAsia="仿宋_GB2312"/>
          <w:color w:val="auto"/>
          <w:sz w:val="32"/>
          <w:szCs w:val="32"/>
        </w:rPr>
      </w:pPr>
      <w:r>
        <w:rPr>
          <w:rFonts w:hint="default" w:ascii="Times New Roman" w:eastAsia="仿宋_GB2312" w:cs="Times New Roman"/>
          <w:color w:val="auto"/>
          <w:sz w:val="32"/>
          <w:szCs w:val="32"/>
          <w:lang w:val="zh-CN"/>
        </w:rPr>
        <w:t>（二</w:t>
      </w:r>
      <w:r>
        <w:rPr>
          <w:rFonts w:hint="default" w:eastAsia="仿宋_GB2312"/>
          <w:color w:val="auto"/>
          <w:sz w:val="32"/>
          <w:szCs w:val="32"/>
        </w:rPr>
        <w:t>）</w:t>
      </w:r>
      <w:r>
        <w:rPr>
          <w:rFonts w:hint="default" w:ascii="Times New Roman" w:eastAsia="仿宋_GB2312" w:cs="Times New Roman"/>
          <w:color w:val="auto"/>
          <w:sz w:val="32"/>
          <w:szCs w:val="32"/>
          <w:lang w:val="zh-CN"/>
        </w:rPr>
        <w:t>集体土地上</w:t>
      </w:r>
      <w:r>
        <w:rPr>
          <w:rFonts w:hint="default" w:eastAsia="仿宋_GB2312"/>
          <w:color w:val="auto"/>
          <w:sz w:val="32"/>
          <w:szCs w:val="32"/>
        </w:rPr>
        <w:t>房屋和房</w:t>
      </w:r>
      <w:r>
        <w:rPr>
          <w:rFonts w:hint="default" w:ascii="Times New Roman" w:eastAsia="仿宋_GB2312"/>
          <w:color w:val="auto"/>
          <w:sz w:val="32"/>
          <w:szCs w:val="32"/>
        </w:rPr>
        <w:t>屋以外的一般地上附着物补偿分别按《</w:t>
      </w:r>
      <w:r>
        <w:rPr>
          <w:rFonts w:hint="default" w:ascii="Times New Roman" w:eastAsia="仿宋_GB2312" w:cs="Times New Roman"/>
          <w:color w:val="auto"/>
          <w:sz w:val="32"/>
          <w:szCs w:val="32"/>
          <w:lang w:val="zh-CN"/>
        </w:rPr>
        <w:t>集体土地上</w:t>
      </w:r>
      <w:r>
        <w:rPr>
          <w:rFonts w:hint="default" w:ascii="Times New Roman" w:eastAsia="仿宋_GB2312"/>
          <w:color w:val="auto"/>
          <w:sz w:val="32"/>
          <w:szCs w:val="32"/>
        </w:rPr>
        <w:t>房屋重置补偿标准》（附件1）和《一般地上附着物（除房屋）补偿标准》（附件2）执行。</w:t>
      </w:r>
    </w:p>
    <w:p>
      <w:pPr>
        <w:autoSpaceDE/>
        <w:autoSpaceDN/>
        <w:spacing w:beforeLines="0" w:afterLines="0" w:line="240" w:lineRule="auto"/>
        <w:ind w:firstLine="632" w:firstLineChars="200"/>
        <w:rPr>
          <w:rFonts w:hint="default" w:eastAsia="仿宋_GB2312"/>
          <w:color w:val="auto"/>
          <w:sz w:val="32"/>
          <w:szCs w:val="32"/>
        </w:rPr>
      </w:pPr>
      <w:r>
        <w:rPr>
          <w:rFonts w:hint="default" w:ascii="Times New Roman" w:eastAsia="仿宋_GB2312"/>
          <w:color w:val="auto"/>
          <w:sz w:val="32"/>
          <w:szCs w:val="32"/>
        </w:rPr>
        <w:t>（三）符合安置</w:t>
      </w:r>
      <w:r>
        <w:rPr>
          <w:rFonts w:hint="default" w:ascii="Times New Roman" w:eastAsia="仿宋_GB2312"/>
          <w:color w:val="auto"/>
          <w:sz w:val="32"/>
          <w:szCs w:val="32"/>
          <w:lang w:eastAsia="zh-CN"/>
        </w:rPr>
        <w:t>条件</w:t>
      </w:r>
      <w:r>
        <w:rPr>
          <w:rFonts w:hint="default" w:ascii="Times New Roman" w:eastAsia="仿宋_GB2312" w:cs="Times New Roman"/>
          <w:color w:val="auto"/>
          <w:sz w:val="32"/>
          <w:szCs w:val="32"/>
          <w:lang w:val="zh-CN"/>
        </w:rPr>
        <w:t>（指符合本方案第四条规定的分户安置资格条件和农村村民一户只能拥有一处宅基地的法律规定等相关条件）</w:t>
      </w:r>
      <w:r>
        <w:rPr>
          <w:rFonts w:hint="default" w:ascii="Times New Roman" w:eastAsia="仿宋_GB2312"/>
          <w:color w:val="auto"/>
          <w:sz w:val="32"/>
          <w:szCs w:val="32"/>
        </w:rPr>
        <w:t>的</w:t>
      </w:r>
      <w:r>
        <w:rPr>
          <w:rFonts w:hint="default" w:ascii="Times New Roman" w:eastAsia="仿宋_GB2312" w:cs="Times New Roman"/>
          <w:color w:val="auto"/>
          <w:sz w:val="32"/>
          <w:szCs w:val="32"/>
          <w:lang w:val="zh-CN"/>
        </w:rPr>
        <w:t>被征收人</w:t>
      </w:r>
      <w:r>
        <w:rPr>
          <w:rFonts w:hint="default" w:eastAsia="仿宋_GB2312"/>
          <w:color w:val="auto"/>
          <w:sz w:val="32"/>
          <w:szCs w:val="32"/>
        </w:rPr>
        <w:t>，按以下程序实施安置：征收实施单位指导被征地村社选出由村社干部、村民代表及监督小组等成立的村民安置监督小组，共同对</w:t>
      </w:r>
      <w:r>
        <w:rPr>
          <w:rFonts w:eastAsia="仿宋_GB2312"/>
          <w:color w:val="auto"/>
          <w:sz w:val="32"/>
          <w:szCs w:val="32"/>
        </w:rPr>
        <w:t>被征收房屋及附着物的权属</w:t>
      </w:r>
      <w:r>
        <w:rPr>
          <w:rFonts w:hint="default" w:eastAsia="仿宋_GB2312"/>
          <w:color w:val="auto"/>
          <w:sz w:val="32"/>
          <w:szCs w:val="32"/>
        </w:rPr>
        <w:t>性质</w:t>
      </w:r>
      <w:r>
        <w:rPr>
          <w:rFonts w:eastAsia="仿宋_GB2312"/>
          <w:color w:val="auto"/>
          <w:sz w:val="32"/>
          <w:szCs w:val="32"/>
        </w:rPr>
        <w:t>、产权</w:t>
      </w:r>
      <w:r>
        <w:rPr>
          <w:rFonts w:hint="default" w:eastAsia="仿宋_GB2312"/>
          <w:color w:val="auto"/>
          <w:sz w:val="32"/>
          <w:szCs w:val="32"/>
        </w:rPr>
        <w:t>信息和被征收房屋所有权人现居住情况等进行全面调查，对被征收房屋</w:t>
      </w:r>
      <w:r>
        <w:rPr>
          <w:rFonts w:hint="default" w:ascii="Times New Roman" w:eastAsia="仿宋_GB2312" w:cs="Times New Roman"/>
          <w:color w:val="auto"/>
          <w:sz w:val="32"/>
          <w:szCs w:val="32"/>
          <w:lang w:val="zh-CN"/>
        </w:rPr>
        <w:t>所有权人</w:t>
      </w:r>
      <w:r>
        <w:rPr>
          <w:rFonts w:hint="default" w:eastAsia="仿宋_GB2312"/>
          <w:color w:val="auto"/>
          <w:sz w:val="32"/>
          <w:szCs w:val="32"/>
        </w:rPr>
        <w:t>的安置资格及标准进行初审，确定初步符合安置资格人员名单，提交征收部门审核，经公示无异议后，由征收实施单位与符合安置资格人员签订补偿安置协议。</w:t>
      </w:r>
    </w:p>
    <w:p>
      <w:pPr>
        <w:autoSpaceDE/>
        <w:autoSpaceDN/>
        <w:spacing w:beforeLines="0" w:afterLines="0" w:line="240" w:lineRule="auto"/>
        <w:ind w:firstLine="632" w:firstLineChars="200"/>
        <w:rPr>
          <w:rFonts w:hint="default" w:eastAsia="仿宋_GB2312"/>
          <w:color w:val="auto"/>
          <w:sz w:val="32"/>
          <w:szCs w:val="32"/>
        </w:rPr>
      </w:pPr>
      <w:r>
        <w:rPr>
          <w:rFonts w:hint="default" w:eastAsia="仿宋_GB2312"/>
          <w:color w:val="auto"/>
          <w:sz w:val="32"/>
          <w:szCs w:val="32"/>
        </w:rPr>
        <w:t>（四）</w:t>
      </w:r>
      <w:r>
        <w:rPr>
          <w:rFonts w:hint="default" w:ascii="Times New Roman" w:eastAsia="仿宋_GB2312" w:cs="Times New Roman"/>
          <w:color w:val="auto"/>
          <w:sz w:val="32"/>
          <w:szCs w:val="32"/>
          <w:lang w:val="zh-CN"/>
        </w:rPr>
        <w:t>在</w:t>
      </w:r>
      <w:r>
        <w:rPr>
          <w:rFonts w:hint="default" w:ascii="Times New Roman" w:eastAsia="仿宋_GB2312"/>
          <w:color w:val="auto"/>
          <w:sz w:val="32"/>
          <w:lang w:val="zh-CN"/>
        </w:rPr>
        <w:t>从化大道（一期）</w:t>
      </w:r>
      <w:r>
        <w:rPr>
          <w:rFonts w:hint="default" w:ascii="Times New Roman" w:eastAsia="仿宋_GB2312" w:cs="Times New Roman"/>
          <w:color w:val="auto"/>
          <w:sz w:val="32"/>
          <w:szCs w:val="32"/>
          <w:lang w:val="zh-CN"/>
        </w:rPr>
        <w:t>项目</w:t>
      </w:r>
      <w:r>
        <w:rPr>
          <w:rFonts w:hint="default" w:ascii="Times New Roman" w:eastAsia="仿宋_GB2312"/>
          <w:color w:val="auto"/>
          <w:sz w:val="32"/>
          <w:lang w:val="zh-CN"/>
        </w:rPr>
        <w:t>征收红线</w:t>
      </w:r>
      <w:r>
        <w:rPr>
          <w:rFonts w:ascii="Times New Roman" w:eastAsia="仿宋_GB2312"/>
          <w:color w:val="auto"/>
          <w:sz w:val="32"/>
          <w:lang w:val="zh-CN"/>
        </w:rPr>
        <w:t>范围内</w:t>
      </w:r>
      <w:r>
        <w:rPr>
          <w:rFonts w:hint="default" w:ascii="Times New Roman" w:eastAsia="仿宋_GB2312"/>
          <w:color w:val="auto"/>
          <w:sz w:val="32"/>
          <w:lang w:val="zh-CN"/>
        </w:rPr>
        <w:t>，</w:t>
      </w:r>
      <w:r>
        <w:rPr>
          <w:rFonts w:hint="default" w:ascii="Times New Roman" w:eastAsia="仿宋_GB2312" w:cs="Times New Roman"/>
          <w:color w:val="auto"/>
          <w:sz w:val="32"/>
          <w:szCs w:val="32"/>
          <w:lang w:val="zh-CN"/>
        </w:rPr>
        <w:t>被征收房屋所有权人有多处宅基地的，可对其住宅及房屋面积合并计算，</w:t>
      </w:r>
      <w:r>
        <w:rPr>
          <w:rFonts w:hint="default" w:ascii="Times New Roman" w:eastAsia="仿宋_GB2312"/>
          <w:color w:val="auto"/>
          <w:sz w:val="32"/>
          <w:lang w:val="zh-CN"/>
        </w:rPr>
        <w:t>征收红线</w:t>
      </w:r>
      <w:r>
        <w:rPr>
          <w:rFonts w:ascii="Times New Roman" w:eastAsia="仿宋_GB2312"/>
          <w:color w:val="auto"/>
          <w:sz w:val="32"/>
          <w:lang w:val="zh-CN"/>
        </w:rPr>
        <w:t>范围</w:t>
      </w:r>
      <w:r>
        <w:rPr>
          <w:rFonts w:hint="default" w:ascii="Times New Roman" w:eastAsia="仿宋_GB2312"/>
          <w:color w:val="auto"/>
          <w:sz w:val="32"/>
          <w:lang w:val="zh-CN"/>
        </w:rPr>
        <w:t>外的</w:t>
      </w:r>
      <w:r>
        <w:rPr>
          <w:rFonts w:hint="default" w:ascii="Times New Roman" w:eastAsia="仿宋_GB2312" w:cs="Times New Roman"/>
          <w:color w:val="auto"/>
          <w:sz w:val="32"/>
          <w:szCs w:val="32"/>
          <w:lang w:val="zh-CN"/>
        </w:rPr>
        <w:t>宅基地及房屋，不作合并计算；被征收房屋所有权人</w:t>
      </w:r>
      <w:r>
        <w:rPr>
          <w:rFonts w:hint="default" w:eastAsia="仿宋_GB2312"/>
          <w:color w:val="auto"/>
          <w:sz w:val="32"/>
          <w:szCs w:val="32"/>
        </w:rPr>
        <w:t>若已按本方案享受</w:t>
      </w:r>
      <w:r>
        <w:rPr>
          <w:rFonts w:hint="default" w:ascii="Times New Roman" w:eastAsia="仿宋_GB2312" w:cs="Times New Roman"/>
          <w:color w:val="auto"/>
          <w:sz w:val="32"/>
          <w:szCs w:val="32"/>
          <w:lang w:val="zh-CN"/>
        </w:rPr>
        <w:t>集体土地上</w:t>
      </w:r>
      <w:r>
        <w:rPr>
          <w:rFonts w:hint="default" w:eastAsia="仿宋_GB2312"/>
          <w:color w:val="auto"/>
          <w:sz w:val="32"/>
          <w:szCs w:val="32"/>
        </w:rPr>
        <w:t>房屋征收安置的，</w:t>
      </w:r>
      <w:r>
        <w:rPr>
          <w:rFonts w:eastAsia="仿宋_GB2312"/>
          <w:color w:val="auto"/>
          <w:sz w:val="32"/>
          <w:szCs w:val="32"/>
        </w:rPr>
        <w:t>必须拆除旧房、退出旧宅基地</w:t>
      </w:r>
      <w:r>
        <w:rPr>
          <w:rFonts w:hint="default" w:eastAsia="仿宋_GB2312"/>
          <w:color w:val="auto"/>
          <w:sz w:val="32"/>
          <w:szCs w:val="32"/>
        </w:rPr>
        <w:t>，在以后其他项目不再享受安置。</w:t>
      </w:r>
    </w:p>
    <w:p>
      <w:pPr>
        <w:numPr>
          <w:ilvl w:val="0"/>
          <w:numId w:val="0"/>
        </w:numPr>
        <w:spacing w:beforeLines="0" w:afterLines="0" w:line="240" w:lineRule="auto"/>
        <w:ind w:firstLine="632" w:firstLineChars="200"/>
        <w:rPr>
          <w:rFonts w:hint="eastAsia" w:ascii="Times New Roman" w:hAnsi="Times New Roman" w:eastAsia="仿宋_GB2312" w:cs="Times New Roman"/>
          <w:color w:val="auto"/>
          <w:sz w:val="32"/>
          <w:szCs w:val="32"/>
          <w:lang w:val="zh-CN"/>
        </w:rPr>
      </w:pPr>
      <w:r>
        <w:rPr>
          <w:rFonts w:hint="eastAsia" w:ascii="黑体" w:hAnsi="黑体" w:eastAsia="黑体" w:cs="黑体"/>
          <w:bCs w:val="0"/>
          <w:color w:val="auto"/>
          <w:sz w:val="32"/>
          <w:szCs w:val="32"/>
          <w:lang w:val="en-US" w:eastAsia="zh-CN"/>
        </w:rPr>
        <w:t xml:space="preserve">第七条 </w:t>
      </w:r>
      <w:r>
        <w:rPr>
          <w:rFonts w:hint="default" w:ascii="Times New Roman" w:hAnsi="Times New Roman" w:eastAsia="仿宋_GB2312" w:cs="Times New Roman"/>
          <w:bCs w:val="0"/>
          <w:sz w:val="32"/>
          <w:szCs w:val="32"/>
          <w:lang w:val="zh-CN" w:eastAsia="zh-CN"/>
        </w:rPr>
        <w:t xml:space="preserve"> </w:t>
      </w:r>
      <w:r>
        <w:rPr>
          <w:rFonts w:hint="eastAsia" w:ascii="Times New Roman" w:hAnsi="Times New Roman" w:eastAsia="仿宋_GB2312" w:cs="Times New Roman"/>
          <w:bCs w:val="0"/>
          <w:color w:val="auto"/>
          <w:sz w:val="32"/>
          <w:szCs w:val="32"/>
          <w:lang w:val="zh-CN" w:eastAsia="zh-CN"/>
        </w:rPr>
        <w:t>对</w:t>
      </w:r>
      <w:r>
        <w:rPr>
          <w:rFonts w:hint="eastAsia" w:ascii="Times New Roman" w:hAnsi="Times New Roman" w:eastAsia="仿宋_GB2312" w:cs="Times New Roman"/>
          <w:color w:val="auto"/>
          <w:sz w:val="32"/>
          <w:szCs w:val="32"/>
          <w:lang w:val="zh-CN"/>
        </w:rPr>
        <w:t>下列情形的房屋不予补偿</w:t>
      </w:r>
      <w:r>
        <w:rPr>
          <w:rFonts w:hint="eastAsia" w:ascii="Times New Roman" w:hAnsi="Times New Roman" w:eastAsia="仿宋_GB2312" w:cs="Times New Roman"/>
          <w:color w:val="auto"/>
          <w:sz w:val="32"/>
          <w:szCs w:val="32"/>
          <w:lang w:val="zh-CN" w:eastAsia="zh-CN"/>
        </w:rPr>
        <w:t>安置</w:t>
      </w:r>
    </w:p>
    <w:p>
      <w:pPr>
        <w:spacing w:beforeLines="0" w:afterLines="0" w:line="240" w:lineRule="auto"/>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（一）</w:t>
      </w:r>
      <w:r>
        <w:rPr>
          <w:rFonts w:hint="default" w:ascii="Times New Roman" w:hAnsi="Times New Roman" w:eastAsia="仿宋_GB2312" w:cs="Times New Roman"/>
          <w:color w:val="auto"/>
          <w:sz w:val="32"/>
          <w:szCs w:val="32"/>
        </w:rPr>
        <w:t>法律、法规等规定的违法建设房屋（符合本方案第</w:t>
      </w:r>
      <w:r>
        <w:rPr>
          <w:rFonts w:hint="default" w:ascii="Times New Roman" w:hAnsi="Times New Roman" w:eastAsia="仿宋_GB2312" w:cs="Times New Roman"/>
          <w:color w:val="auto"/>
          <w:sz w:val="32"/>
          <w:szCs w:val="32"/>
          <w:lang w:eastAsia="zh-CN"/>
        </w:rPr>
        <w:t>九</w:t>
      </w:r>
      <w:r>
        <w:rPr>
          <w:rFonts w:hint="default" w:ascii="Times New Roman" w:hAnsi="Times New Roman" w:eastAsia="仿宋_GB2312" w:cs="Times New Roman"/>
          <w:color w:val="auto"/>
          <w:sz w:val="32"/>
          <w:szCs w:val="32"/>
        </w:rPr>
        <w:t>条有关条件并认定的除外）；</w:t>
      </w:r>
    </w:p>
    <w:p>
      <w:pPr>
        <w:spacing w:beforeLines="0" w:afterLines="0" w:line="240" w:lineRule="auto"/>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（二）</w:t>
      </w:r>
      <w:r>
        <w:rPr>
          <w:rFonts w:hint="default" w:ascii="Times New Roman" w:hAnsi="Times New Roman" w:eastAsia="仿宋_GB2312" w:cs="Times New Roman"/>
          <w:color w:val="auto"/>
          <w:sz w:val="32"/>
          <w:szCs w:val="32"/>
        </w:rPr>
        <w:t>超过批准使用期限的临时建设房屋；</w:t>
      </w:r>
    </w:p>
    <w:p>
      <w:pPr>
        <w:spacing w:beforeLines="0" w:afterLines="0" w:line="240" w:lineRule="auto"/>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（三）不符合</w:t>
      </w:r>
      <w:r>
        <w:rPr>
          <w:rFonts w:hint="default" w:ascii="Times New Roman" w:eastAsia="仿宋_GB2312" w:cs="Times New Roman"/>
          <w:color w:val="auto"/>
          <w:sz w:val="32"/>
          <w:szCs w:val="32"/>
          <w:lang w:val="zh-CN"/>
        </w:rPr>
        <w:t>农村村民一户只能拥有一处宅基地的法律规定，</w:t>
      </w:r>
      <w:r>
        <w:rPr>
          <w:rFonts w:hint="default" w:ascii="Times New Roman" w:hAnsi="Times New Roman" w:eastAsia="仿宋_GB2312" w:cs="Times New Roman"/>
          <w:color w:val="auto"/>
          <w:sz w:val="32"/>
          <w:szCs w:val="32"/>
        </w:rPr>
        <w:t>新房建成后应当拆除的旧房；</w:t>
      </w:r>
    </w:p>
    <w:p>
      <w:pPr>
        <w:numPr>
          <w:ilvl w:val="0"/>
          <w:numId w:val="0"/>
        </w:numPr>
        <w:spacing w:beforeLines="0" w:afterLines="0" w:line="240" w:lineRule="auto"/>
        <w:ind w:firstLine="632"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（四）</w:t>
      </w:r>
      <w:r>
        <w:rPr>
          <w:rFonts w:hint="default" w:ascii="Times New Roman" w:eastAsia="仿宋_GB2312" w:cs="Times New Roman"/>
          <w:color w:val="auto"/>
          <w:sz w:val="32"/>
          <w:szCs w:val="32"/>
          <w:lang w:val="en-US" w:eastAsia="zh-CN"/>
        </w:rPr>
        <w:t>征地（预）公告</w:t>
      </w:r>
      <w:r>
        <w:rPr>
          <w:rFonts w:hint="default" w:ascii="Times New Roman" w:hAnsi="Times New Roman" w:eastAsia="仿宋_GB2312" w:cs="Times New Roman"/>
          <w:color w:val="auto"/>
          <w:sz w:val="32"/>
          <w:szCs w:val="32"/>
        </w:rPr>
        <w:t>发布后</w:t>
      </w:r>
      <w:r>
        <w:rPr>
          <w:rFonts w:hint="default" w:ascii="Times New Roman" w:hAnsi="Times New Roman" w:eastAsia="仿宋_GB2312" w:cs="Times New Roman"/>
          <w:color w:val="auto"/>
          <w:sz w:val="32"/>
          <w:szCs w:val="32"/>
          <w:lang w:eastAsia="zh-CN"/>
        </w:rPr>
        <w:t>的抢建部分</w:t>
      </w:r>
      <w:r>
        <w:rPr>
          <w:rFonts w:hint="default" w:ascii="Times New Roman" w:hAnsi="Times New Roman" w:eastAsia="仿宋_GB2312" w:cs="Times New Roman"/>
          <w:color w:val="auto"/>
          <w:sz w:val="32"/>
          <w:szCs w:val="32"/>
        </w:rPr>
        <w:t>。</w:t>
      </w:r>
    </w:p>
    <w:p>
      <w:pPr>
        <w:autoSpaceDE/>
        <w:autoSpaceDN/>
        <w:spacing w:beforeLines="0" w:afterLines="0" w:line="240" w:lineRule="auto"/>
        <w:ind w:firstLine="632" w:firstLineChars="200"/>
        <w:rPr>
          <w:rFonts w:hint="eastAsia" w:ascii="Times New Roman" w:eastAsia="仿宋_GB2312" w:cs="Times New Roman"/>
          <w:color w:val="auto"/>
          <w:sz w:val="32"/>
          <w:szCs w:val="32"/>
          <w:lang w:val="zh-CN"/>
        </w:rPr>
      </w:pPr>
      <w:r>
        <w:rPr>
          <w:rFonts w:hint="eastAsia" w:ascii="黑体" w:hAnsi="黑体" w:eastAsia="黑体" w:cs="黑体"/>
          <w:color w:val="auto"/>
          <w:sz w:val="32"/>
          <w:szCs w:val="32"/>
          <w:lang w:val="zh-CN"/>
        </w:rPr>
        <w:t>第八条</w:t>
      </w:r>
      <w:r>
        <w:rPr>
          <w:rFonts w:hint="eastAsia" w:ascii="黑体" w:hAnsi="黑体" w:eastAsia="黑体" w:cs="黑体"/>
          <w:sz w:val="32"/>
          <w:szCs w:val="32"/>
          <w:lang w:val="en-US" w:eastAsia="zh-CN"/>
        </w:rPr>
        <w:t xml:space="preserve"> </w:t>
      </w:r>
      <w:r>
        <w:rPr>
          <w:rFonts w:hint="eastAsia" w:ascii="黑体" w:hAnsi="黑体" w:eastAsia="黑体" w:cs="黑体"/>
          <w:color w:val="auto"/>
          <w:sz w:val="32"/>
          <w:szCs w:val="32"/>
          <w:lang w:val="zh-CN"/>
        </w:rPr>
        <w:t xml:space="preserve"> </w:t>
      </w:r>
      <w:r>
        <w:rPr>
          <w:rFonts w:hint="eastAsia" w:ascii="Times New Roman" w:eastAsia="仿宋_GB2312" w:cs="Times New Roman"/>
          <w:color w:val="auto"/>
          <w:sz w:val="32"/>
          <w:szCs w:val="32"/>
          <w:lang w:val="zh-CN"/>
        </w:rPr>
        <w:t>安置方式</w:t>
      </w:r>
    </w:p>
    <w:p>
      <w:pPr>
        <w:autoSpaceDE/>
        <w:autoSpaceDN/>
        <w:spacing w:beforeLines="0" w:afterLines="0" w:line="240" w:lineRule="auto"/>
        <w:ind w:firstLine="632" w:firstLineChars="200"/>
        <w:rPr>
          <w:rFonts w:hint="default" w:ascii="Times New Roman" w:eastAsia="仿宋_GB2312" w:cs="Times New Roman"/>
          <w:color w:val="auto"/>
          <w:sz w:val="32"/>
          <w:szCs w:val="32"/>
          <w:lang w:val="zh-CN"/>
        </w:rPr>
      </w:pPr>
      <w:r>
        <w:rPr>
          <w:rFonts w:hint="default" w:ascii="Times New Roman" w:eastAsia="仿宋_GB2312" w:cs="Times New Roman"/>
          <w:color w:val="auto"/>
          <w:sz w:val="32"/>
          <w:szCs w:val="32"/>
          <w:lang w:val="zh-CN"/>
        </w:rPr>
        <w:t>对有合法产权的被征地农民的住宅房屋，且认定为符合安置条件的，提供产权调换（拆迁安置房，下同）</w:t>
      </w:r>
      <w:r>
        <w:rPr>
          <w:rFonts w:hint="default" w:eastAsia="仿宋_GB2312" w:cs="Times New Roman"/>
          <w:color w:val="auto"/>
          <w:sz w:val="32"/>
          <w:szCs w:val="32"/>
          <w:lang w:val="zh-CN"/>
        </w:rPr>
        <w:t>和货币补偿两</w:t>
      </w:r>
      <w:r>
        <w:rPr>
          <w:rFonts w:hint="default" w:ascii="Times New Roman" w:eastAsia="仿宋_GB2312" w:cs="Times New Roman"/>
          <w:color w:val="auto"/>
          <w:sz w:val="32"/>
          <w:szCs w:val="32"/>
          <w:lang w:val="zh-CN"/>
        </w:rPr>
        <w:t>种补偿安置方式。城郊街产权调换地点拟位于城郊街李仔园安置区，江埔街产权调换地点拟位于从化大桥南段西侧地块（即农业局以北地块）。</w:t>
      </w:r>
    </w:p>
    <w:p>
      <w:pPr>
        <w:autoSpaceDE/>
        <w:autoSpaceDN/>
        <w:spacing w:beforeLines="0" w:afterLines="0" w:line="240" w:lineRule="auto"/>
        <w:ind w:firstLine="632" w:firstLineChars="200"/>
        <w:rPr>
          <w:rFonts w:hint="default" w:ascii="Times New Roman" w:eastAsia="仿宋_GB2312" w:cs="Times New Roman"/>
          <w:color w:val="auto"/>
          <w:sz w:val="32"/>
          <w:szCs w:val="32"/>
          <w:lang w:val="zh-CN"/>
        </w:rPr>
      </w:pPr>
      <w:r>
        <w:rPr>
          <w:rFonts w:hint="default" w:ascii="Times New Roman" w:eastAsia="仿宋_GB2312" w:cs="Times New Roman"/>
          <w:color w:val="auto"/>
          <w:sz w:val="32"/>
          <w:szCs w:val="32"/>
          <w:lang w:val="zh-CN"/>
        </w:rPr>
        <w:t>安置区建设由区住房和建设局会属地街道办负责统一规划、统一设计、统一建设，结合具体实际情况制定拆迁安置实施方案（另行印发），明确安置楼型、公建配套、安置区管理等事项，其方案需征求财政、国土规划等相关部门意见，报区政府审核同意后，按规定组织实施。</w:t>
      </w:r>
    </w:p>
    <w:p>
      <w:pPr>
        <w:tabs>
          <w:tab w:val="left" w:pos="4536"/>
        </w:tabs>
        <w:autoSpaceDE/>
        <w:autoSpaceDN/>
        <w:spacing w:beforeLines="0" w:afterLines="0" w:line="240" w:lineRule="auto"/>
        <w:ind w:firstLine="632" w:firstLineChars="200"/>
        <w:rPr>
          <w:rFonts w:hint="eastAsia" w:ascii="楷体_GB2312" w:hAnsi="楷体_GB2312" w:eastAsia="楷体_GB2312" w:cs="楷体_GB2312"/>
          <w:color w:val="auto"/>
          <w:sz w:val="32"/>
          <w:szCs w:val="32"/>
          <w:lang w:val="zh-CN"/>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val="zh-CN"/>
        </w:rPr>
        <w:t>产权调换</w:t>
      </w:r>
    </w:p>
    <w:p>
      <w:pPr>
        <w:autoSpaceDE/>
        <w:autoSpaceDN/>
        <w:spacing w:beforeLines="0" w:afterLines="0" w:line="240" w:lineRule="auto"/>
        <w:ind w:firstLine="632" w:firstLineChars="200"/>
        <w:rPr>
          <w:rFonts w:hint="default" w:ascii="Times New Roman" w:eastAsia="仿宋_GB2312" w:cs="Times New Roman"/>
          <w:color w:val="auto"/>
          <w:sz w:val="32"/>
          <w:szCs w:val="32"/>
          <w:lang w:val="zh-CN"/>
        </w:rPr>
      </w:pPr>
      <w:r>
        <w:rPr>
          <w:rFonts w:hint="default" w:ascii="Times New Roman" w:eastAsia="仿宋_GB2312" w:cs="Times New Roman"/>
          <w:color w:val="auto"/>
          <w:sz w:val="32"/>
          <w:szCs w:val="32"/>
          <w:lang w:val="zh-CN"/>
        </w:rPr>
        <w:t>1、按照每栋或按本方案第四条确定分户安置资格的村民住房280平方米确定套内建筑面积进行产权调换。在签约限期内签订补偿协议并搬迁的，在安置面积280平方米以内（含280平方米），可选择</w:t>
      </w:r>
      <w:r>
        <w:rPr>
          <w:rFonts w:hint="eastAsia" w:cs="Times New Roman"/>
          <w:sz w:val="32"/>
          <w:szCs w:val="32"/>
          <w:lang w:val="zh-CN"/>
        </w:rPr>
        <w:t>“</w:t>
      </w:r>
      <w:r>
        <w:rPr>
          <w:rFonts w:hint="default" w:ascii="Times New Roman" w:eastAsia="仿宋_GB2312" w:cs="Times New Roman"/>
          <w:color w:val="auto"/>
          <w:sz w:val="32"/>
          <w:szCs w:val="32"/>
          <w:lang w:val="zh-CN"/>
        </w:rPr>
        <w:t>拆一补一</w:t>
      </w:r>
      <w:r>
        <w:rPr>
          <w:rFonts w:hint="eastAsia" w:cs="Times New Roman"/>
          <w:sz w:val="32"/>
          <w:szCs w:val="32"/>
          <w:lang w:val="zh-CN"/>
        </w:rPr>
        <w:t>”</w:t>
      </w:r>
      <w:r>
        <w:rPr>
          <w:rFonts w:hint="default" w:ascii="Times New Roman" w:eastAsia="仿宋_GB2312" w:cs="Times New Roman"/>
          <w:color w:val="auto"/>
          <w:sz w:val="32"/>
          <w:szCs w:val="32"/>
          <w:lang w:val="zh-CN"/>
        </w:rPr>
        <w:t>形式予以产权调换。逾期未签订补偿协议并搬迁的，被征收房屋所有权人应当与征收部门结清货币补偿金额与产权调换的房屋建安成本的差价。</w:t>
      </w:r>
    </w:p>
    <w:p>
      <w:pPr>
        <w:spacing w:beforeLines="0" w:afterLines="0" w:line="240" w:lineRule="auto"/>
        <w:ind w:firstLine="632" w:firstLineChars="200"/>
        <w:rPr>
          <w:rFonts w:hint="default" w:ascii="Times New Roman" w:eastAsia="仿宋_GB2312" w:cs="Times New Roman"/>
          <w:color w:val="auto"/>
          <w:sz w:val="32"/>
          <w:szCs w:val="32"/>
          <w:lang w:val="zh-CN"/>
        </w:rPr>
      </w:pPr>
      <w:r>
        <w:rPr>
          <w:rFonts w:hint="default" w:ascii="Times New Roman" w:eastAsia="仿宋_GB2312" w:cs="Times New Roman"/>
          <w:color w:val="auto"/>
          <w:sz w:val="32"/>
          <w:szCs w:val="32"/>
          <w:lang w:val="zh-CN"/>
        </w:rPr>
        <w:t>2、被征收房屋所有权人可选择一套或多套安置房，选择产权调换一套或多套安置房后尚有剩余面积的（达到安置房相近户型面积的50%或以上），允许其再选择购买一套与剩余面积相近户型面积的安置房，超出剩余面积部分由被征收房屋所有权人按安置房的建安成本价购买。剩余面积达不到安置房相近户型面积的</w:t>
      </w:r>
      <w:r>
        <w:rPr>
          <w:rFonts w:hint="default" w:ascii="Times New Roman" w:eastAsia="仿宋_GB2312" w:cs="Times New Roman"/>
          <w:color w:val="auto"/>
          <w:sz w:val="32"/>
          <w:szCs w:val="32"/>
        </w:rPr>
        <w:t>50%或</w:t>
      </w:r>
      <w:r>
        <w:rPr>
          <w:rFonts w:hint="default" w:ascii="Times New Roman" w:eastAsia="仿宋_GB2312" w:cs="Times New Roman"/>
          <w:color w:val="auto"/>
          <w:sz w:val="32"/>
          <w:szCs w:val="32"/>
          <w:lang w:val="zh-CN"/>
        </w:rPr>
        <w:t>被征收房屋所有权人不选择多购买面积的，剩余面积按被征收房屋重置价（附件2）予以货币补偿。</w:t>
      </w:r>
    </w:p>
    <w:p>
      <w:pPr>
        <w:spacing w:beforeLines="0" w:afterLines="0" w:line="240" w:lineRule="auto"/>
        <w:ind w:firstLine="632" w:firstLineChars="200"/>
        <w:jc w:val="both"/>
        <w:rPr>
          <w:rFonts w:hint="default" w:ascii="Times New Roman" w:eastAsia="仿宋_GB2312" w:cs="Times New Roman"/>
          <w:color w:val="auto"/>
          <w:sz w:val="32"/>
          <w:szCs w:val="32"/>
          <w:lang w:val="zh-CN"/>
        </w:rPr>
      </w:pPr>
      <w:r>
        <w:rPr>
          <w:rFonts w:hint="default" w:ascii="Times New Roman" w:eastAsia="仿宋_GB2312" w:cs="Times New Roman"/>
          <w:color w:val="auto"/>
          <w:sz w:val="32"/>
          <w:szCs w:val="32"/>
          <w:lang w:val="zh-CN"/>
        </w:rPr>
        <w:t>房屋重置价是指在征收时点的经济市场环境下，重新建设与被征收房屋类型、结构</w:t>
      </w:r>
      <w:r>
        <w:rPr>
          <w:rFonts w:ascii="Times New Roman" w:eastAsia="仿宋_GB2312" w:cs="Times New Roman"/>
          <w:color w:val="auto"/>
          <w:sz w:val="32"/>
          <w:szCs w:val="32"/>
          <w:lang w:val="zh-CN"/>
        </w:rPr>
        <w:t>等方面基本一致</w:t>
      </w:r>
      <w:r>
        <w:rPr>
          <w:rFonts w:hint="default" w:ascii="Times New Roman" w:eastAsia="仿宋_GB2312" w:cs="Times New Roman"/>
          <w:color w:val="auto"/>
          <w:sz w:val="32"/>
          <w:szCs w:val="32"/>
          <w:lang w:val="zh-CN"/>
        </w:rPr>
        <w:t>新</w:t>
      </w:r>
      <w:r>
        <w:rPr>
          <w:rFonts w:ascii="Times New Roman" w:eastAsia="仿宋_GB2312" w:cs="Times New Roman"/>
          <w:color w:val="auto"/>
          <w:sz w:val="32"/>
          <w:szCs w:val="32"/>
          <w:lang w:val="zh-CN"/>
        </w:rPr>
        <w:t>房屋</w:t>
      </w:r>
      <w:r>
        <w:rPr>
          <w:rFonts w:hint="default" w:ascii="Times New Roman" w:eastAsia="仿宋_GB2312" w:cs="Times New Roman"/>
          <w:color w:val="auto"/>
          <w:sz w:val="32"/>
          <w:szCs w:val="32"/>
          <w:lang w:val="zh-CN"/>
        </w:rPr>
        <w:t>的全部费用，包含建安成本、前期以及其他费用，不包含购买房屋所占土地的成本。</w:t>
      </w:r>
    </w:p>
    <w:p>
      <w:pPr>
        <w:autoSpaceDE/>
        <w:autoSpaceDN/>
        <w:spacing w:beforeLines="0" w:afterLines="0" w:line="240" w:lineRule="auto"/>
        <w:ind w:firstLine="632" w:firstLineChars="200"/>
        <w:rPr>
          <w:rFonts w:hint="default" w:ascii="Times New Roman" w:eastAsia="仿宋_GB2312" w:cs="Times New Roman"/>
          <w:color w:val="auto"/>
          <w:sz w:val="32"/>
          <w:szCs w:val="32"/>
          <w:lang w:val="zh-CN"/>
        </w:rPr>
      </w:pPr>
      <w:r>
        <w:rPr>
          <w:rFonts w:hint="default" w:ascii="Times New Roman" w:eastAsia="仿宋_GB2312" w:cs="Times New Roman"/>
          <w:color w:val="auto"/>
          <w:sz w:val="32"/>
          <w:szCs w:val="32"/>
          <w:lang w:val="zh-CN"/>
        </w:rPr>
        <w:t>3、被征收房屋合法产权套内建筑面积不足280平方米的，可根据被征收房屋所有权人意愿按280平方米予以安置，不足部分由被征收房屋所有权人按安置房的建安成本价购买。</w:t>
      </w:r>
    </w:p>
    <w:p>
      <w:pPr>
        <w:spacing w:beforeLines="0" w:afterLines="0" w:line="240" w:lineRule="auto"/>
        <w:ind w:firstLine="632" w:firstLineChars="200"/>
        <w:jc w:val="both"/>
        <w:rPr>
          <w:rFonts w:hint="default"/>
          <w:color w:val="auto"/>
          <w:sz w:val="32"/>
          <w:szCs w:val="32"/>
        </w:rPr>
      </w:pPr>
      <w:r>
        <w:rPr>
          <w:rFonts w:hint="default" w:ascii="Times New Roman" w:eastAsia="仿宋_GB2312" w:cs="Times New Roman"/>
          <w:color w:val="auto"/>
          <w:sz w:val="32"/>
          <w:szCs w:val="32"/>
          <w:lang w:val="zh-CN"/>
        </w:rPr>
        <w:t>建安成本是指房屋建筑成本和房屋设施设备安装成本之和，以广州市建设行政主管部门发布的文件为准。</w:t>
      </w:r>
    </w:p>
    <w:p>
      <w:pPr>
        <w:autoSpaceDE/>
        <w:autoSpaceDN/>
        <w:spacing w:beforeLines="0" w:afterLines="0" w:line="240" w:lineRule="auto"/>
        <w:ind w:firstLine="632" w:firstLineChars="200"/>
        <w:rPr>
          <w:rFonts w:hint="default" w:ascii="Times New Roman" w:eastAsia="仿宋_GB2312" w:cs="Times New Roman"/>
          <w:color w:val="auto"/>
          <w:sz w:val="32"/>
          <w:szCs w:val="32"/>
          <w:lang w:val="zh-CN"/>
        </w:rPr>
      </w:pPr>
      <w:r>
        <w:rPr>
          <w:rFonts w:hint="default" w:ascii="Times New Roman" w:eastAsia="仿宋_GB2312" w:cs="Times New Roman"/>
          <w:color w:val="auto"/>
          <w:sz w:val="32"/>
          <w:szCs w:val="32"/>
          <w:lang w:val="zh-CN"/>
        </w:rPr>
        <w:t>4、被征收房屋合法产权套内建筑面积超过280平方米的，超出部分建筑面积不予产权调换，按照被征收房屋重置价给予货币补偿。</w:t>
      </w:r>
    </w:p>
    <w:p>
      <w:pPr>
        <w:autoSpaceDE/>
        <w:autoSpaceDN/>
        <w:spacing w:beforeLines="0" w:afterLines="0" w:line="240" w:lineRule="auto"/>
        <w:ind w:firstLine="632" w:firstLineChars="200"/>
        <w:rPr>
          <w:rFonts w:hint="default"/>
          <w:color w:val="auto"/>
          <w:sz w:val="32"/>
          <w:szCs w:val="32"/>
        </w:rPr>
      </w:pPr>
      <w:r>
        <w:rPr>
          <w:rFonts w:hint="default" w:ascii="Times New Roman" w:eastAsia="仿宋_GB2312" w:cs="Times New Roman"/>
          <w:color w:val="auto"/>
          <w:sz w:val="32"/>
          <w:szCs w:val="32"/>
        </w:rPr>
        <w:t>5</w:t>
      </w:r>
      <w:r>
        <w:rPr>
          <w:rFonts w:hint="default" w:ascii="Times New Roman" w:eastAsia="仿宋_GB2312"/>
          <w:color w:val="auto"/>
          <w:sz w:val="32"/>
          <w:lang w:val="zh-CN"/>
        </w:rPr>
        <w:t>、</w:t>
      </w:r>
      <w:r>
        <w:rPr>
          <w:rFonts w:hint="default" w:ascii="Times New Roman" w:eastAsia="仿宋_GB2312" w:cs="Times New Roman"/>
          <w:color w:val="auto"/>
          <w:sz w:val="32"/>
          <w:szCs w:val="32"/>
          <w:lang w:val="zh-CN"/>
        </w:rPr>
        <w:t>被征收房屋所有权人在安置房发生出售、交换、赠与(不含继承)时，需按规定补缴土地出让金。被征收房屋所占土地不再核定留用地指标。</w:t>
      </w:r>
    </w:p>
    <w:p>
      <w:pPr>
        <w:tabs>
          <w:tab w:val="left" w:pos="4536"/>
        </w:tabs>
        <w:autoSpaceDE/>
        <w:autoSpaceDN/>
        <w:spacing w:beforeLines="0" w:afterLines="0" w:line="240" w:lineRule="auto"/>
        <w:ind w:firstLine="632" w:firstLineChars="200"/>
        <w:rPr>
          <w:rFonts w:hint="eastAsia" w:ascii="仿宋_GB2312" w:hAnsi="仿宋_GB2312" w:eastAsia="仿宋_GB2312" w:cs="仿宋_GB2312"/>
          <w:color w:val="auto"/>
          <w:sz w:val="32"/>
          <w:szCs w:val="32"/>
          <w:lang w:val="zh-CN"/>
        </w:rPr>
      </w:pPr>
      <w:r>
        <w:rPr>
          <w:rFonts w:hint="default" w:ascii="仿宋_GB2312" w:hAnsi="仿宋_GB2312" w:eastAsia="仿宋_GB2312" w:cs="仿宋_GB2312"/>
          <w:color w:val="auto"/>
          <w:sz w:val="32"/>
          <w:szCs w:val="32"/>
          <w:lang w:val="zh-CN"/>
        </w:rPr>
        <w:t>（二）货币补偿</w:t>
      </w:r>
    </w:p>
    <w:p>
      <w:pPr>
        <w:autoSpaceDE/>
        <w:autoSpaceDN/>
        <w:spacing w:beforeLines="0" w:afterLines="0" w:line="240" w:lineRule="auto"/>
        <w:ind w:firstLine="632" w:firstLineChars="200"/>
        <w:rPr>
          <w:rFonts w:hint="default" w:ascii="Times New Roman" w:eastAsia="仿宋_GB2312" w:cs="Times New Roman"/>
          <w:color w:val="auto"/>
          <w:sz w:val="32"/>
          <w:szCs w:val="32"/>
        </w:rPr>
      </w:pPr>
      <w:r>
        <w:rPr>
          <w:rFonts w:hint="default" w:ascii="Times New Roman" w:eastAsia="仿宋_GB2312" w:cs="Times New Roman"/>
          <w:color w:val="auto"/>
          <w:sz w:val="32"/>
          <w:szCs w:val="32"/>
        </w:rPr>
        <w:t>1、被征收房屋</w:t>
      </w:r>
      <w:r>
        <w:rPr>
          <w:rFonts w:hint="default" w:ascii="Times New Roman" w:eastAsia="仿宋_GB2312" w:cs="Times New Roman"/>
          <w:color w:val="auto"/>
          <w:sz w:val="32"/>
          <w:szCs w:val="32"/>
          <w:lang w:val="zh-CN"/>
        </w:rPr>
        <w:t>所有权人</w:t>
      </w:r>
      <w:r>
        <w:rPr>
          <w:rFonts w:hint="default" w:ascii="Times New Roman" w:eastAsia="仿宋_GB2312" w:cs="Times New Roman"/>
          <w:color w:val="auto"/>
          <w:sz w:val="32"/>
          <w:szCs w:val="32"/>
        </w:rPr>
        <w:t>不选择产权调换的，</w:t>
      </w:r>
      <w:r>
        <w:rPr>
          <w:rFonts w:hint="default" w:ascii="Times New Roman" w:eastAsia="仿宋_GB2312" w:cs="Times New Roman"/>
          <w:color w:val="auto"/>
          <w:sz w:val="32"/>
          <w:szCs w:val="32"/>
          <w:lang w:val="zh-CN"/>
        </w:rPr>
        <w:t>按照被征收房屋重置价加被征收房屋所占土地区位补偿价给予货币补偿。被征收房屋所占土地不再核定留用地指标。货币补偿金额的计算公式为：被征收房屋重置单价</w:t>
      </w:r>
      <w:r>
        <w:rPr>
          <w:rFonts w:hint="default" w:ascii="Times New Roman" w:eastAsia="仿宋_GB2312" w:cs="Times New Roman"/>
          <w:color w:val="auto"/>
          <w:sz w:val="32"/>
          <w:szCs w:val="32"/>
        </w:rPr>
        <w:t>×</w:t>
      </w:r>
      <w:r>
        <w:rPr>
          <w:rFonts w:hint="default" w:eastAsia="仿宋_GB2312"/>
          <w:color w:val="auto"/>
          <w:sz w:val="32"/>
          <w:szCs w:val="32"/>
        </w:rPr>
        <w:t>征收部门</w:t>
      </w:r>
      <w:r>
        <w:rPr>
          <w:rFonts w:hint="default" w:ascii="Times New Roman" w:eastAsia="仿宋_GB2312" w:cs="Times New Roman"/>
          <w:color w:val="auto"/>
          <w:sz w:val="32"/>
          <w:szCs w:val="32"/>
        </w:rPr>
        <w:t>核定的房屋套内建筑面积+</w:t>
      </w:r>
      <w:r>
        <w:rPr>
          <w:rFonts w:hint="default" w:ascii="Times New Roman" w:eastAsia="仿宋_GB2312" w:cs="Times New Roman"/>
          <w:color w:val="auto"/>
          <w:sz w:val="32"/>
          <w:szCs w:val="32"/>
          <w:lang w:val="zh-CN"/>
        </w:rPr>
        <w:t>被征收房屋所占土地</w:t>
      </w:r>
      <w:r>
        <w:rPr>
          <w:rFonts w:hint="default" w:ascii="Times New Roman" w:eastAsia="仿宋_GB2312" w:cs="Times New Roman"/>
          <w:color w:val="auto"/>
          <w:sz w:val="32"/>
          <w:szCs w:val="32"/>
        </w:rPr>
        <w:t>区位补偿单价（按被征地所在区域用地基准地价最高级别</w:t>
      </w:r>
      <w:r>
        <w:rPr>
          <w:rFonts w:hint="default" w:ascii="Times New Roman" w:eastAsia="仿宋_GB2312" w:cs="Times New Roman"/>
          <w:color w:val="auto"/>
          <w:sz w:val="32"/>
          <w:szCs w:val="32"/>
          <w:lang w:val="zh-CN"/>
        </w:rPr>
        <w:t>价2</w:t>
      </w:r>
      <w:r>
        <w:rPr>
          <w:rFonts w:hint="default" w:ascii="Times New Roman" w:eastAsia="仿宋_GB2312" w:cs="Times New Roman"/>
          <w:color w:val="auto"/>
          <w:sz w:val="32"/>
          <w:szCs w:val="32"/>
          <w:lang w:val="en-US" w:eastAsia="zh-CN"/>
        </w:rPr>
        <w:t>440</w:t>
      </w:r>
      <w:r>
        <w:rPr>
          <w:rFonts w:hint="default" w:ascii="Times New Roman" w:eastAsia="仿宋_GB2312" w:cs="Times New Roman"/>
          <w:color w:val="auto"/>
          <w:sz w:val="32"/>
          <w:szCs w:val="32"/>
          <w:lang w:val="zh-CN"/>
        </w:rPr>
        <w:t>元/</w:t>
      </w:r>
      <w:r>
        <w:rPr>
          <w:rFonts w:hint="default" w:ascii="Times New Roman" w:eastAsia="仿宋_GB2312" w:cs="Times New Roman"/>
          <w:color w:val="auto"/>
          <w:sz w:val="32"/>
          <w:szCs w:val="32"/>
        </w:rPr>
        <w:t>平方米的50%计算）×征收部门核定的土地补偿面积。</w:t>
      </w:r>
    </w:p>
    <w:p>
      <w:pPr>
        <w:autoSpaceDE/>
        <w:autoSpaceDN/>
        <w:spacing w:beforeLines="0" w:afterLines="0" w:line="240" w:lineRule="auto"/>
        <w:ind w:firstLine="632" w:firstLineChars="200"/>
        <w:rPr>
          <w:rFonts w:hint="default" w:ascii="Times New Roman" w:cs="Times New Roman"/>
          <w:color w:val="auto"/>
          <w:sz w:val="32"/>
          <w:szCs w:val="32"/>
        </w:rPr>
      </w:pPr>
      <w:r>
        <w:rPr>
          <w:rFonts w:hint="default" w:ascii="Times New Roman" w:eastAsia="仿宋_GB2312" w:cs="Times New Roman"/>
          <w:color w:val="auto"/>
          <w:sz w:val="32"/>
          <w:szCs w:val="32"/>
        </w:rPr>
        <w:t>2、</w:t>
      </w:r>
      <w:r>
        <w:rPr>
          <w:rFonts w:hint="default" w:ascii="Times New Roman" w:eastAsia="仿宋_GB2312" w:cs="Times New Roman"/>
          <w:color w:val="auto"/>
          <w:sz w:val="32"/>
          <w:szCs w:val="32"/>
          <w:lang w:val="zh-CN"/>
        </w:rPr>
        <w:t>在签约限期内签订补偿协议</w:t>
      </w:r>
      <w:r>
        <w:rPr>
          <w:rFonts w:hint="default" w:ascii="Times New Roman" w:eastAsia="仿宋_GB2312" w:cs="Times New Roman"/>
          <w:color w:val="auto"/>
          <w:sz w:val="32"/>
          <w:szCs w:val="32"/>
        </w:rPr>
        <w:t>选择货币补偿并搬迁的，</w:t>
      </w:r>
      <w:r>
        <w:rPr>
          <w:rFonts w:hint="default" w:ascii="Times New Roman" w:eastAsia="仿宋_GB2312" w:cs="Times New Roman"/>
          <w:color w:val="auto"/>
          <w:sz w:val="32"/>
          <w:szCs w:val="32"/>
          <w:lang w:val="zh-CN"/>
        </w:rPr>
        <w:t>可按照征收部门核定的房屋套内建筑面积（最高不超过280平方米）</w:t>
      </w:r>
      <w:r>
        <w:rPr>
          <w:rFonts w:hint="default" w:ascii="Times New Roman" w:eastAsia="仿宋_GB2312" w:cs="Times New Roman"/>
          <w:color w:val="auto"/>
          <w:sz w:val="32"/>
          <w:szCs w:val="32"/>
        </w:rPr>
        <w:t>给予购房补助6000元</w:t>
      </w:r>
      <w:r>
        <w:rPr>
          <w:rFonts w:hint="default" w:ascii="Times New Roman" w:hAnsi="Times New Roman"/>
          <w:color w:val="auto"/>
          <w:kern w:val="2"/>
          <w:sz w:val="32"/>
          <w:szCs w:val="32"/>
          <w:lang w:val="zh-CN"/>
        </w:rPr>
        <w:t>/</w:t>
      </w:r>
      <w:r>
        <w:rPr>
          <w:rFonts w:hint="default" w:ascii="Times New Roman" w:eastAsia="仿宋_GB2312" w:cs="Times New Roman"/>
          <w:color w:val="auto"/>
          <w:sz w:val="32"/>
          <w:szCs w:val="32"/>
        </w:rPr>
        <w:t>平方米</w:t>
      </w:r>
      <w:r>
        <w:rPr>
          <w:rFonts w:hint="default" w:ascii="Times New Roman" w:cs="Times New Roman"/>
          <w:color w:val="auto"/>
          <w:sz w:val="32"/>
          <w:szCs w:val="32"/>
        </w:rPr>
        <w:t>。</w:t>
      </w:r>
    </w:p>
    <w:p>
      <w:pPr>
        <w:autoSpaceDE/>
        <w:autoSpaceDN/>
        <w:spacing w:beforeLines="0" w:afterLines="0" w:line="240" w:lineRule="auto"/>
        <w:ind w:firstLine="632" w:firstLineChars="200"/>
        <w:rPr>
          <w:rFonts w:hint="eastAsia" w:ascii="Times New Roman" w:eastAsia="仿宋_GB2312" w:cs="Times New Roman"/>
          <w:color w:val="auto"/>
          <w:sz w:val="32"/>
          <w:szCs w:val="32"/>
          <w:lang w:val="zh-CN"/>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九</w:t>
      </w:r>
      <w:r>
        <w:rPr>
          <w:rFonts w:hint="eastAsia" w:ascii="黑体" w:hAnsi="黑体" w:eastAsia="黑体" w:cs="黑体"/>
          <w:color w:val="auto"/>
          <w:sz w:val="32"/>
          <w:szCs w:val="32"/>
        </w:rPr>
        <w:t xml:space="preserve">条 </w:t>
      </w:r>
      <w:r>
        <w:rPr>
          <w:rFonts w:hint="eastAsia" w:ascii="黑体" w:hAnsi="黑体" w:eastAsia="黑体" w:cs="黑体"/>
          <w:sz w:val="32"/>
          <w:szCs w:val="32"/>
          <w:lang w:val="en-US" w:eastAsia="zh-CN"/>
        </w:rPr>
        <w:t xml:space="preserve"> </w:t>
      </w:r>
      <w:r>
        <w:rPr>
          <w:rFonts w:hint="eastAsia" w:ascii="Times New Roman" w:eastAsia="仿宋_GB2312" w:cs="Times New Roman"/>
          <w:color w:val="auto"/>
          <w:sz w:val="32"/>
          <w:szCs w:val="32"/>
          <w:lang w:val="zh-CN"/>
        </w:rPr>
        <w:t>未完善手续建筑的补偿</w:t>
      </w:r>
    </w:p>
    <w:p>
      <w:pPr>
        <w:spacing w:beforeLines="0" w:afterLines="0" w:line="240" w:lineRule="auto"/>
        <w:ind w:firstLine="632" w:firstLineChars="200"/>
        <w:rPr>
          <w:rFonts w:hint="default" w:ascii="Times New Roman" w:eastAsia="仿宋_GB2312" w:cs="Times New Roman"/>
          <w:b w:val="0"/>
          <w:color w:val="auto"/>
          <w:sz w:val="32"/>
          <w:szCs w:val="32"/>
          <w:lang w:val="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一</w:t>
      </w:r>
      <w:r>
        <w:rPr>
          <w:rFonts w:hint="default" w:ascii="Times New Roman" w:hAnsi="Times New Roman" w:eastAsia="仿宋_GB2312" w:cs="Times New Roman"/>
          <w:color w:val="auto"/>
          <w:sz w:val="32"/>
          <w:szCs w:val="32"/>
        </w:rPr>
        <w:t>）对2007年6月30日之前建设的建筑，若已完善历史用地手续且符合《广州市农村村民住宅建设用地管理规定》（市政府令</w:t>
      </w:r>
      <w:r>
        <w:rPr>
          <w:rFonts w:hint="default" w:ascii="Times New Roman" w:eastAsia="仿宋_GB2312" w:cs="Times New Roman"/>
          <w:color w:val="auto"/>
          <w:sz w:val="32"/>
          <w:szCs w:val="32"/>
        </w:rPr>
        <w:t>〔2001〕</w:t>
      </w:r>
      <w:r>
        <w:rPr>
          <w:rFonts w:hint="default" w:ascii="Times New Roman" w:hAnsi="Times New Roman" w:eastAsia="仿宋_GB2312" w:cs="Times New Roman"/>
          <w:color w:val="auto"/>
          <w:sz w:val="32"/>
          <w:szCs w:val="32"/>
        </w:rPr>
        <w:t>第5号），经村集体批准使用宅基地的，对现状房屋不超过280平方米套内建筑面积按</w:t>
      </w:r>
      <w:r>
        <w:rPr>
          <w:rFonts w:hint="eastAsia" w:cs="Times New Roman"/>
          <w:sz w:val="32"/>
          <w:szCs w:val="32"/>
          <w:lang w:eastAsia="zh-CN"/>
        </w:rPr>
        <w:t>“</w:t>
      </w:r>
      <w:r>
        <w:rPr>
          <w:rFonts w:hint="default" w:ascii="Times New Roman" w:hAnsi="Times New Roman" w:eastAsia="仿宋_GB2312" w:cs="Times New Roman"/>
          <w:color w:val="auto"/>
          <w:sz w:val="32"/>
          <w:szCs w:val="32"/>
        </w:rPr>
        <w:t>拆一补一</w:t>
      </w:r>
      <w:r>
        <w:rPr>
          <w:rFonts w:hint="eastAsia" w:cs="Times New Roman"/>
          <w:sz w:val="32"/>
          <w:szCs w:val="32"/>
          <w:lang w:eastAsia="zh-CN"/>
        </w:rPr>
        <w:t>”</w:t>
      </w:r>
      <w:r>
        <w:rPr>
          <w:rFonts w:hint="default" w:ascii="Times New Roman" w:hAnsi="Times New Roman" w:eastAsia="仿宋_GB2312" w:cs="Times New Roman"/>
          <w:color w:val="auto"/>
          <w:sz w:val="32"/>
          <w:szCs w:val="32"/>
        </w:rPr>
        <w:t>产权调换，超出部分建筑面积不予产权调换，按被征收房屋重置价给予货币补偿；不选择产权调换的，</w:t>
      </w:r>
      <w:r>
        <w:rPr>
          <w:rFonts w:hint="default" w:ascii="Times New Roman" w:eastAsia="仿宋_GB2312" w:cs="Times New Roman"/>
          <w:color w:val="auto"/>
          <w:sz w:val="32"/>
          <w:szCs w:val="32"/>
          <w:lang w:val="zh-CN"/>
        </w:rPr>
        <w:t>按照被征收房屋重置价加被征收房屋所占土地区位补偿价给予货币补偿。属于未经村集体批准，私自占地建设的不予产权调换，按建安成本价给予货币补偿。</w:t>
      </w:r>
    </w:p>
    <w:p>
      <w:pPr>
        <w:autoSpaceDE/>
        <w:autoSpaceDN/>
        <w:spacing w:beforeLines="0" w:afterLines="0" w:line="240" w:lineRule="auto"/>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未完善手续建筑补偿认定需符合以下条件：</w:t>
      </w:r>
    </w:p>
    <w:p>
      <w:pPr>
        <w:autoSpaceDE/>
        <w:autoSpaceDN/>
        <w:spacing w:beforeLines="0" w:afterLines="0" w:line="240" w:lineRule="auto"/>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1、符合完善历史用地手续条件；</w:t>
      </w:r>
    </w:p>
    <w:p>
      <w:pPr>
        <w:spacing w:beforeLines="0" w:afterLines="0" w:line="240" w:lineRule="auto"/>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农村村民一户只能拥有一处住宅建设用地</w:t>
      </w:r>
      <w:r>
        <w:rPr>
          <w:rFonts w:hint="default" w:ascii="Times New Roman" w:hAnsi="Times New Roman" w:eastAsia="仿宋_GB2312" w:cs="Times New Roman"/>
          <w:color w:val="auto"/>
          <w:sz w:val="32"/>
          <w:szCs w:val="32"/>
        </w:rPr>
        <w:t>；</w:t>
      </w:r>
    </w:p>
    <w:p>
      <w:pPr>
        <w:spacing w:beforeLines="0" w:afterLines="0" w:line="240" w:lineRule="auto"/>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3、不存在</w:t>
      </w:r>
      <w:r>
        <w:rPr>
          <w:rFonts w:ascii="Times New Roman" w:hAnsi="Times New Roman" w:eastAsia="仿宋_GB2312" w:cs="Times New Roman"/>
          <w:color w:val="auto"/>
          <w:sz w:val="32"/>
          <w:szCs w:val="32"/>
        </w:rPr>
        <w:t>出卖、出租、赠与住宅或将住宅用于其他用途后，再申请住宅建设用地</w:t>
      </w:r>
      <w:r>
        <w:rPr>
          <w:rFonts w:hint="default" w:ascii="Times New Roman" w:hAnsi="Times New Roman" w:eastAsia="仿宋_GB2312" w:cs="Times New Roman"/>
          <w:color w:val="auto"/>
          <w:sz w:val="32"/>
          <w:szCs w:val="32"/>
        </w:rPr>
        <w:t>行为；</w:t>
      </w:r>
    </w:p>
    <w:p>
      <w:pPr>
        <w:spacing w:beforeLines="0" w:afterLines="0" w:line="240" w:lineRule="auto"/>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4、被征收房屋</w:t>
      </w:r>
      <w:r>
        <w:rPr>
          <w:rFonts w:hint="default" w:ascii="Times New Roman" w:eastAsia="仿宋_GB2312" w:cs="Times New Roman"/>
          <w:color w:val="auto"/>
          <w:sz w:val="32"/>
          <w:szCs w:val="32"/>
          <w:lang w:val="zh-CN"/>
        </w:rPr>
        <w:t>所有权人</w:t>
      </w:r>
      <w:r>
        <w:rPr>
          <w:rFonts w:ascii="Times New Roman" w:hAnsi="Times New Roman" w:eastAsia="仿宋_GB2312" w:cs="Times New Roman"/>
          <w:color w:val="auto"/>
          <w:sz w:val="32"/>
          <w:szCs w:val="32"/>
        </w:rPr>
        <w:t>向所属村民委员会提出用地申请，经村民会议或者农村集体经济组织全体成员会议讨论同意</w:t>
      </w:r>
      <w:r>
        <w:rPr>
          <w:rFonts w:hint="default" w:ascii="Times New Roman" w:hAnsi="Times New Roman" w:eastAsia="仿宋_GB2312" w:cs="Times New Roman"/>
          <w:color w:val="auto"/>
          <w:sz w:val="32"/>
          <w:szCs w:val="32"/>
        </w:rPr>
        <w:t>。</w:t>
      </w:r>
    </w:p>
    <w:p>
      <w:pPr>
        <w:spacing w:beforeLines="0" w:afterLines="0" w:line="240" w:lineRule="auto"/>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2007年6月30日之后建设的违法建筑，不予补偿。</w:t>
      </w:r>
    </w:p>
    <w:p>
      <w:pPr>
        <w:numPr>
          <w:ilvl w:val="0"/>
          <w:numId w:val="0"/>
        </w:numPr>
        <w:spacing w:beforeLines="0" w:afterLines="0" w:line="240" w:lineRule="auto"/>
        <w:ind w:firstLine="632" w:firstLineChars="200"/>
        <w:rPr>
          <w:rFonts w:hint="default" w:ascii="Times New Roman" w:hAnsi="Times New Roman" w:eastAsia="仿宋_GB2312" w:cs="Times New Roman"/>
          <w:bCs w:val="0"/>
          <w:color w:val="auto"/>
          <w:sz w:val="32"/>
          <w:szCs w:val="32"/>
        </w:rPr>
      </w:pPr>
      <w:r>
        <w:rPr>
          <w:rFonts w:hint="default" w:ascii="Times New Roman" w:hAnsi="Times New Roman" w:eastAsia="仿宋_GB2312" w:cs="Times New Roman"/>
          <w:bCs w:val="0"/>
          <w:color w:val="auto"/>
          <w:sz w:val="32"/>
          <w:szCs w:val="32"/>
        </w:rPr>
        <w:t>遇特殊情况，如漏登记发证、属于拆迁安置重建房等情形，由征收实施单位上报区</w:t>
      </w:r>
      <w:r>
        <w:rPr>
          <w:rFonts w:hint="eastAsia" w:cs="Times New Roman"/>
          <w:bCs w:val="0"/>
          <w:sz w:val="32"/>
          <w:szCs w:val="32"/>
          <w:lang w:eastAsia="zh-CN"/>
        </w:rPr>
        <w:t>“</w:t>
      </w:r>
      <w:r>
        <w:rPr>
          <w:rFonts w:hint="default" w:ascii="Times New Roman" w:hAnsi="Times New Roman" w:eastAsia="仿宋_GB2312" w:cs="Times New Roman"/>
          <w:bCs w:val="0"/>
          <w:color w:val="auto"/>
          <w:sz w:val="32"/>
          <w:szCs w:val="32"/>
        </w:rPr>
        <w:t>三纵三横</w:t>
      </w:r>
      <w:r>
        <w:rPr>
          <w:rFonts w:hint="eastAsia" w:cs="Times New Roman"/>
          <w:bCs w:val="0"/>
          <w:sz w:val="32"/>
          <w:szCs w:val="32"/>
          <w:lang w:eastAsia="zh-CN"/>
        </w:rPr>
        <w:t>”</w:t>
      </w:r>
      <w:r>
        <w:rPr>
          <w:rFonts w:hint="default" w:ascii="Times New Roman" w:hAnsi="Times New Roman" w:eastAsia="仿宋_GB2312" w:cs="Times New Roman"/>
          <w:bCs w:val="0"/>
          <w:color w:val="auto"/>
          <w:sz w:val="32"/>
          <w:szCs w:val="32"/>
        </w:rPr>
        <w:t>重要市政设施工程建设指挥部审核。</w:t>
      </w:r>
    </w:p>
    <w:p>
      <w:pPr>
        <w:autoSpaceDE/>
        <w:autoSpaceDN/>
        <w:spacing w:beforeLines="0" w:afterLines="0" w:line="240" w:lineRule="auto"/>
        <w:ind w:firstLine="632" w:firstLineChars="200"/>
        <w:rPr>
          <w:rFonts w:hint="eastAsia" w:ascii="Times New Roman" w:eastAsia="仿宋_GB2312" w:cs="Times New Roman"/>
          <w:color w:val="auto"/>
          <w:sz w:val="32"/>
          <w:szCs w:val="32"/>
          <w:lang w:val="zh-CN"/>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十</w:t>
      </w:r>
      <w:r>
        <w:rPr>
          <w:rFonts w:hint="eastAsia" w:ascii="黑体" w:hAnsi="黑体" w:eastAsia="黑体" w:cs="黑体"/>
          <w:color w:val="auto"/>
          <w:sz w:val="32"/>
          <w:szCs w:val="32"/>
        </w:rPr>
        <w:t xml:space="preserve">条 </w:t>
      </w:r>
      <w:r>
        <w:rPr>
          <w:rFonts w:hint="eastAsia" w:ascii="黑体" w:hAnsi="黑体" w:eastAsia="黑体" w:cs="黑体"/>
          <w:sz w:val="32"/>
          <w:szCs w:val="32"/>
          <w:lang w:val="en-US" w:eastAsia="zh-CN"/>
        </w:rPr>
        <w:t xml:space="preserve"> </w:t>
      </w:r>
      <w:r>
        <w:rPr>
          <w:rFonts w:hint="eastAsia" w:ascii="Times New Roman" w:eastAsia="仿宋_GB2312" w:cs="Times New Roman"/>
          <w:color w:val="auto"/>
          <w:sz w:val="32"/>
          <w:szCs w:val="32"/>
          <w:lang w:val="zh-CN"/>
        </w:rPr>
        <w:t>村集体物业和村民非住宅房屋补偿</w:t>
      </w:r>
    </w:p>
    <w:p>
      <w:pPr>
        <w:autoSpaceDE/>
        <w:autoSpaceDN/>
        <w:spacing w:beforeLines="0" w:afterLines="0" w:line="240" w:lineRule="auto"/>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征收有合法产权的农村集体经济组织物业，可以进行产权调换，也可按本</w:t>
      </w:r>
      <w:r>
        <w:rPr>
          <w:rFonts w:hint="default" w:ascii="Times New Roman" w:eastAsia="仿宋_GB2312" w:cs="Times New Roman"/>
          <w:color w:val="auto"/>
          <w:sz w:val="32"/>
          <w:szCs w:val="32"/>
          <w:lang w:val="zh-CN"/>
        </w:rPr>
        <w:t>方案第八条第（二）款第1项进行货币补偿</w:t>
      </w:r>
      <w:r>
        <w:rPr>
          <w:rFonts w:hint="default" w:ascii="Times New Roman" w:hAnsi="Times New Roman" w:eastAsia="仿宋_GB2312" w:cs="Times New Roman"/>
          <w:color w:val="auto"/>
          <w:sz w:val="32"/>
          <w:szCs w:val="32"/>
        </w:rPr>
        <w:t>。</w:t>
      </w:r>
    </w:p>
    <w:p>
      <w:pPr>
        <w:autoSpaceDE/>
        <w:autoSpaceDN/>
        <w:spacing w:beforeLines="0" w:afterLines="0" w:line="240" w:lineRule="auto"/>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对征收农村集体经济组织物业造成所有人等停产停业损失的，参照《</w:t>
      </w:r>
      <w:r>
        <w:rPr>
          <w:rFonts w:ascii="Times New Roman" w:hAnsi="Times New Roman" w:eastAsia="仿宋_GB2312" w:cs="Times New Roman"/>
          <w:color w:val="auto"/>
          <w:sz w:val="32"/>
          <w:szCs w:val="32"/>
        </w:rPr>
        <w:t>广州市人民政府关于印发广州市国有土地上房屋征收与补偿实施办法的通知</w:t>
      </w:r>
      <w:r>
        <w:rPr>
          <w:rFonts w:hint="default" w:ascii="Times New Roman" w:hAnsi="Times New Roman" w:eastAsia="仿宋_GB2312" w:cs="Times New Roman"/>
          <w:color w:val="auto"/>
          <w:sz w:val="32"/>
          <w:szCs w:val="32"/>
        </w:rPr>
        <w:t>》（</w:t>
      </w:r>
      <w:r>
        <w:rPr>
          <w:rFonts w:ascii="Times New Roman" w:eastAsia="仿宋_GB2312" w:cs="Times New Roman"/>
          <w:color w:val="auto"/>
          <w:sz w:val="32"/>
          <w:szCs w:val="32"/>
        </w:rPr>
        <w:t>穗府</w:t>
      </w:r>
      <w:r>
        <w:rPr>
          <w:rFonts w:hint="default" w:ascii="Times New Roman" w:eastAsia="仿宋_GB2312" w:cs="Times New Roman"/>
          <w:color w:val="auto"/>
          <w:sz w:val="32"/>
          <w:szCs w:val="32"/>
          <w:lang w:eastAsia="zh-CN"/>
        </w:rPr>
        <w:t>规</w:t>
      </w:r>
      <w:r>
        <w:rPr>
          <w:rFonts w:ascii="Times New Roman" w:eastAsia="仿宋_GB2312" w:cs="Times New Roman"/>
          <w:color w:val="auto"/>
          <w:sz w:val="32"/>
          <w:szCs w:val="32"/>
        </w:rPr>
        <w:t>〔201</w:t>
      </w:r>
      <w:r>
        <w:rPr>
          <w:rFonts w:hint="default" w:ascii="Times New Roman" w:eastAsia="仿宋_GB2312" w:cs="Times New Roman"/>
          <w:color w:val="auto"/>
          <w:sz w:val="32"/>
          <w:szCs w:val="32"/>
          <w:lang w:val="en-US" w:eastAsia="zh-CN"/>
        </w:rPr>
        <w:t>7</w:t>
      </w:r>
      <w:r>
        <w:rPr>
          <w:rFonts w:ascii="Times New Roman" w:eastAsia="仿宋_GB2312" w:cs="Times New Roman"/>
          <w:color w:val="auto"/>
          <w:sz w:val="32"/>
          <w:szCs w:val="32"/>
        </w:rPr>
        <w:t>〕</w:t>
      </w:r>
      <w:r>
        <w:rPr>
          <w:rFonts w:hint="default" w:ascii="Times New Roman" w:eastAsia="仿宋_GB2312" w:cs="Times New Roman"/>
          <w:color w:val="auto"/>
          <w:sz w:val="32"/>
          <w:szCs w:val="32"/>
          <w:lang w:val="en-US" w:eastAsia="zh-CN"/>
        </w:rPr>
        <w:t>1</w:t>
      </w:r>
      <w:r>
        <w:rPr>
          <w:rFonts w:ascii="Times New Roman" w:eastAsia="仿宋_GB2312" w:cs="Times New Roman"/>
          <w:color w:val="auto"/>
          <w:sz w:val="32"/>
          <w:szCs w:val="32"/>
        </w:rPr>
        <w:t>8号</w:t>
      </w:r>
      <w:r>
        <w:rPr>
          <w:rFonts w:hint="default" w:ascii="Times New Roman" w:hAnsi="Times New Roman" w:eastAsia="仿宋_GB2312" w:cs="Times New Roman"/>
          <w:color w:val="auto"/>
          <w:sz w:val="32"/>
          <w:szCs w:val="32"/>
        </w:rPr>
        <w:t>）有关补偿标准予以补偿。</w:t>
      </w:r>
    </w:p>
    <w:p>
      <w:pPr>
        <w:autoSpaceDE/>
        <w:autoSpaceDN/>
        <w:spacing w:beforeLines="0" w:afterLines="0" w:line="240" w:lineRule="auto"/>
        <w:ind w:firstLine="632" w:firstLineChars="200"/>
        <w:rPr>
          <w:rFonts w:hint="default" w:asci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rPr>
        <w:t>征收有合法产权的被征地农民非住宅房屋原则上不作产权调换，可参照本</w:t>
      </w:r>
      <w:r>
        <w:rPr>
          <w:rFonts w:hint="default" w:ascii="Times New Roman" w:eastAsia="仿宋_GB2312" w:cs="Times New Roman"/>
          <w:color w:val="auto"/>
          <w:sz w:val="32"/>
          <w:szCs w:val="32"/>
          <w:lang w:val="zh-CN"/>
        </w:rPr>
        <w:t>方案第八条第（二）款第1项实行货币补偿。</w:t>
      </w:r>
    </w:p>
    <w:p>
      <w:pPr>
        <w:autoSpaceDE/>
        <w:autoSpaceDN/>
        <w:spacing w:beforeLines="0" w:afterLines="0" w:line="240" w:lineRule="auto"/>
        <w:ind w:firstLine="632" w:firstLineChars="200"/>
        <w:rPr>
          <w:rFonts w:hint="eastAsia" w:ascii="Times New Roman" w:eastAsia="仿宋_GB2312" w:cs="Times New Roman"/>
          <w:color w:val="auto"/>
          <w:sz w:val="32"/>
          <w:szCs w:val="32"/>
          <w:lang w:val="zh-CN"/>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十一</w:t>
      </w:r>
      <w:r>
        <w:rPr>
          <w:rFonts w:hint="eastAsia" w:ascii="黑体" w:hAnsi="黑体" w:eastAsia="黑体" w:cs="黑体"/>
          <w:color w:val="auto"/>
          <w:sz w:val="32"/>
          <w:szCs w:val="32"/>
        </w:rPr>
        <w:t>条</w:t>
      </w:r>
      <w:r>
        <w:rPr>
          <w:rFonts w:hint="eastAsia" w:ascii="黑体" w:hAnsi="黑体" w:eastAsia="黑体" w:cs="黑体"/>
          <w:color w:val="auto"/>
          <w:szCs w:val="32"/>
        </w:rPr>
        <w:t xml:space="preserve">  </w:t>
      </w:r>
      <w:r>
        <w:rPr>
          <w:rFonts w:hint="eastAsia" w:ascii="Times New Roman" w:eastAsia="仿宋_GB2312" w:cs="Times New Roman"/>
          <w:color w:val="auto"/>
          <w:sz w:val="32"/>
          <w:szCs w:val="32"/>
          <w:lang w:val="zh-CN"/>
        </w:rPr>
        <w:t>非村民住宅的处理</w:t>
      </w:r>
    </w:p>
    <w:p>
      <w:pPr>
        <w:autoSpaceDE/>
        <w:autoSpaceDN/>
        <w:spacing w:beforeLines="0" w:afterLines="0" w:line="240" w:lineRule="auto"/>
        <w:ind w:firstLine="632" w:firstLineChars="200"/>
        <w:rPr>
          <w:rFonts w:hint="default" w:ascii="Times New Roman" w:eastAsia="仿宋_GB2312" w:cs="Times New Roman"/>
          <w:color w:val="auto"/>
          <w:sz w:val="32"/>
          <w:szCs w:val="32"/>
          <w:lang w:val="zh-CN"/>
        </w:rPr>
      </w:pPr>
      <w:r>
        <w:rPr>
          <w:rFonts w:hint="default" w:ascii="Times New Roman" w:eastAsia="仿宋_GB2312" w:cs="Times New Roman"/>
          <w:color w:val="auto"/>
          <w:sz w:val="32"/>
          <w:szCs w:val="32"/>
        </w:rPr>
        <w:t>对</w:t>
      </w:r>
      <w:r>
        <w:rPr>
          <w:rFonts w:hint="default" w:ascii="Times New Roman" w:eastAsia="仿宋_GB2312" w:cs="Times New Roman"/>
          <w:color w:val="auto"/>
          <w:sz w:val="32"/>
          <w:szCs w:val="32"/>
          <w:lang w:val="zh-CN"/>
        </w:rPr>
        <w:t>非被征地农村集体经济组织成员建造或购买房屋的补偿，按本方案第五条第（一）款的规定确定补偿对象，由补偿对象与房屋建造或者购买人自行协商解决，协商不成的，可依法提起民事诉讼。</w:t>
      </w:r>
    </w:p>
    <w:p>
      <w:pPr>
        <w:tabs>
          <w:tab w:val="left" w:pos="4536"/>
        </w:tabs>
        <w:autoSpaceDE/>
        <w:autoSpaceDN/>
        <w:spacing w:beforeLines="0" w:afterLines="0" w:line="240" w:lineRule="auto"/>
        <w:ind w:firstLine="632" w:firstLineChars="200"/>
        <w:rPr>
          <w:rFonts w:hint="eastAsia" w:ascii="Times New Roman" w:eastAsia="仿宋_GB2312" w:cs="Times New Roman"/>
          <w:color w:val="auto"/>
          <w:sz w:val="32"/>
          <w:szCs w:val="32"/>
          <w:lang w:val="zh-CN"/>
        </w:rPr>
      </w:pPr>
      <w:r>
        <w:rPr>
          <w:rFonts w:hint="default" w:ascii="黑体" w:hAnsi="黑体" w:eastAsia="黑体" w:cs="黑体"/>
          <w:color w:val="auto"/>
          <w:sz w:val="32"/>
          <w:szCs w:val="32"/>
          <w:lang w:val="zh-CN"/>
        </w:rPr>
        <w:t>第十二</w:t>
      </w:r>
      <w:r>
        <w:rPr>
          <w:rFonts w:hint="default" w:ascii="Times New Roman" w:eastAsia="仿宋_GB2312" w:cs="Times New Roman"/>
          <w:color w:val="auto"/>
          <w:sz w:val="32"/>
          <w:szCs w:val="32"/>
          <w:lang w:val="zh-CN"/>
        </w:rPr>
        <w:t>条</w:t>
      </w:r>
      <w:r>
        <w:rPr>
          <w:rFonts w:hint="eastAsia" w:ascii="Times New Roman" w:eastAsia="仿宋_GB2312" w:cs="Times New Roman"/>
          <w:color w:val="auto"/>
          <w:sz w:val="32"/>
          <w:szCs w:val="32"/>
          <w:lang w:val="zh-CN"/>
        </w:rPr>
        <w:t xml:space="preserve"> </w:t>
      </w:r>
      <w:r>
        <w:rPr>
          <w:rFonts w:hint="eastAsia" w:ascii="Times New Roman" w:cs="Times New Roman"/>
          <w:sz w:val="32"/>
          <w:szCs w:val="32"/>
          <w:lang w:val="en-US" w:eastAsia="zh-CN"/>
        </w:rPr>
        <w:t xml:space="preserve"> </w:t>
      </w:r>
      <w:r>
        <w:rPr>
          <w:rFonts w:hint="default" w:ascii="Times New Roman" w:eastAsia="仿宋_GB2312" w:cs="Times New Roman"/>
          <w:color w:val="auto"/>
          <w:sz w:val="32"/>
          <w:szCs w:val="32"/>
          <w:lang w:val="zh-CN"/>
        </w:rPr>
        <w:t>评估、复核与鉴定</w:t>
      </w:r>
    </w:p>
    <w:p>
      <w:pPr>
        <w:tabs>
          <w:tab w:val="left" w:pos="4536"/>
        </w:tabs>
        <w:autoSpaceDE/>
        <w:autoSpaceDN/>
        <w:spacing w:beforeLines="0" w:afterLines="0" w:line="240" w:lineRule="auto"/>
        <w:ind w:firstLine="632" w:firstLineChars="200"/>
        <w:rPr>
          <w:rFonts w:ascii="Times New Roman" w:eastAsia="仿宋_GB2312" w:cs="Times New Roman"/>
          <w:color w:val="auto"/>
          <w:sz w:val="32"/>
          <w:szCs w:val="32"/>
          <w:lang w:val="zh-CN"/>
        </w:rPr>
      </w:pPr>
      <w:r>
        <w:rPr>
          <w:rFonts w:hint="default" w:ascii="Times New Roman" w:eastAsia="仿宋_GB2312" w:cs="Times New Roman"/>
          <w:color w:val="auto"/>
          <w:sz w:val="32"/>
          <w:szCs w:val="32"/>
          <w:lang w:val="zh-CN"/>
        </w:rPr>
        <w:t>本方案涉及选取评估公司，先通过被征地农村集体经济组织内部协商或多数决定，在广州市房地产评估机构名录中选取。逾期不选定的，由征收部门通过公开方式选定。对评估确定的被征收房屋价值有异议的，可以在</w:t>
      </w:r>
      <w:r>
        <w:rPr>
          <w:rFonts w:ascii="Times New Roman" w:eastAsia="仿宋_GB2312" w:cs="Times New Roman"/>
          <w:color w:val="auto"/>
          <w:sz w:val="32"/>
          <w:szCs w:val="32"/>
          <w:lang w:val="zh-CN"/>
        </w:rPr>
        <w:t>5</w:t>
      </w:r>
      <w:r>
        <w:rPr>
          <w:rFonts w:hint="default" w:ascii="Times New Roman" w:eastAsia="仿宋_GB2312" w:cs="Times New Roman"/>
          <w:color w:val="auto"/>
          <w:sz w:val="32"/>
          <w:szCs w:val="32"/>
          <w:lang w:val="zh-CN"/>
        </w:rPr>
        <w:t>日内向房地产价格评估机构申请复核评估。对复核结果有异议的，可在</w:t>
      </w:r>
      <w:r>
        <w:rPr>
          <w:rFonts w:ascii="Times New Roman" w:eastAsia="仿宋_GB2312" w:cs="Times New Roman"/>
          <w:color w:val="auto"/>
          <w:sz w:val="32"/>
          <w:szCs w:val="32"/>
          <w:lang w:val="zh-CN"/>
        </w:rPr>
        <w:t>5</w:t>
      </w:r>
      <w:r>
        <w:rPr>
          <w:rFonts w:hint="default" w:ascii="Times New Roman" w:eastAsia="仿宋_GB2312" w:cs="Times New Roman"/>
          <w:color w:val="auto"/>
          <w:sz w:val="32"/>
          <w:szCs w:val="32"/>
          <w:lang w:val="zh-CN"/>
        </w:rPr>
        <w:t>日内向广州市房地产评估专业人员协会申请专家鉴定。</w:t>
      </w:r>
    </w:p>
    <w:p>
      <w:pPr>
        <w:tabs>
          <w:tab w:val="left" w:pos="4536"/>
        </w:tabs>
        <w:autoSpaceDE/>
        <w:autoSpaceDN/>
        <w:spacing w:beforeLines="0" w:afterLines="0" w:line="240" w:lineRule="auto"/>
        <w:ind w:firstLine="632" w:firstLineChars="200"/>
        <w:rPr>
          <w:rFonts w:ascii="Times New Roman" w:eastAsia="仿宋_GB2312" w:cs="Times New Roman"/>
          <w:color w:val="auto"/>
          <w:sz w:val="32"/>
          <w:szCs w:val="32"/>
          <w:lang w:val="zh-CN"/>
        </w:rPr>
      </w:pPr>
    </w:p>
    <w:p>
      <w:pPr>
        <w:numPr>
          <w:ilvl w:val="0"/>
          <w:numId w:val="1"/>
        </w:numPr>
        <w:tabs>
          <w:tab w:val="left" w:pos="1275"/>
          <w:tab w:val="left" w:pos="4536"/>
        </w:tabs>
        <w:autoSpaceDE/>
        <w:autoSpaceDN/>
        <w:spacing w:beforeLines="0" w:afterLines="0" w:line="240" w:lineRule="auto"/>
        <w:ind w:firstLine="632" w:firstLineChars="200"/>
        <w:jc w:val="center"/>
        <w:rPr>
          <w:rFonts w:hint="eastAsia" w:ascii="黑体" w:hAnsi="黑体" w:eastAsia="黑体" w:cs="黑体"/>
          <w:b w:val="0"/>
          <w:bCs w:val="0"/>
          <w:sz w:val="32"/>
          <w:szCs w:val="32"/>
          <w:lang w:val="zh-CN"/>
        </w:rPr>
      </w:pPr>
      <w:r>
        <w:rPr>
          <w:rFonts w:hint="eastAsia" w:ascii="黑体" w:hAnsi="黑体" w:eastAsia="黑体" w:cs="黑体"/>
          <w:b w:val="0"/>
          <w:bCs w:val="0"/>
          <w:color w:val="auto"/>
          <w:sz w:val="32"/>
          <w:szCs w:val="32"/>
          <w:lang w:val="zh-CN"/>
        </w:rPr>
        <w:t xml:space="preserve"> 房屋征收的补助和奖励措施</w:t>
      </w:r>
    </w:p>
    <w:p>
      <w:pPr>
        <w:numPr>
          <w:ilvl w:val="0"/>
          <w:numId w:val="0"/>
        </w:numPr>
        <w:tabs>
          <w:tab w:val="left" w:pos="1275"/>
          <w:tab w:val="left" w:pos="4536"/>
        </w:tabs>
        <w:autoSpaceDE/>
        <w:autoSpaceDN/>
        <w:spacing w:beforeLines="0" w:afterLines="0" w:line="240" w:lineRule="auto"/>
        <w:ind w:firstLine="0" w:firstLineChars="0"/>
        <w:jc w:val="both"/>
        <w:rPr>
          <w:rFonts w:hint="eastAsia" w:ascii="黑体" w:hAnsi="黑体" w:eastAsia="黑体" w:cs="黑体"/>
          <w:b w:val="0"/>
          <w:bCs w:val="0"/>
          <w:color w:val="auto"/>
          <w:sz w:val="32"/>
          <w:szCs w:val="32"/>
          <w:lang w:val="zh-CN"/>
        </w:rPr>
      </w:pPr>
    </w:p>
    <w:p>
      <w:pPr>
        <w:tabs>
          <w:tab w:val="left" w:pos="4536"/>
        </w:tabs>
        <w:autoSpaceDE/>
        <w:autoSpaceDN/>
        <w:spacing w:beforeLines="0" w:afterLines="0" w:line="240" w:lineRule="auto"/>
        <w:ind w:firstLine="632" w:firstLineChars="200"/>
        <w:rPr>
          <w:rFonts w:hint="eastAsia" w:ascii="Times New Roman" w:eastAsia="仿宋_GB2312" w:cs="Times New Roman"/>
          <w:color w:val="auto"/>
          <w:sz w:val="32"/>
          <w:szCs w:val="32"/>
          <w:lang w:val="zh-CN"/>
        </w:rPr>
      </w:pPr>
      <w:r>
        <w:rPr>
          <w:rFonts w:hint="default" w:ascii="黑体" w:hAnsi="黑体" w:eastAsia="黑体" w:cs="黑体"/>
          <w:color w:val="auto"/>
          <w:sz w:val="32"/>
          <w:szCs w:val="32"/>
          <w:lang w:val="zh-CN"/>
        </w:rPr>
        <w:t>第十三条</w:t>
      </w:r>
      <w:r>
        <w:rPr>
          <w:rFonts w:hint="eastAsia" w:ascii="黑体" w:hAnsi="黑体" w:eastAsia="黑体" w:cs="黑体"/>
          <w:color w:val="auto"/>
          <w:sz w:val="32"/>
          <w:szCs w:val="32"/>
          <w:lang w:val="zh-CN"/>
        </w:rPr>
        <w:t xml:space="preserve">  </w:t>
      </w:r>
      <w:r>
        <w:rPr>
          <w:rFonts w:hint="default" w:ascii="Times New Roman" w:eastAsia="仿宋_GB2312" w:cs="Times New Roman"/>
          <w:color w:val="auto"/>
          <w:sz w:val="32"/>
          <w:szCs w:val="32"/>
          <w:lang w:val="zh-CN"/>
        </w:rPr>
        <w:t>搬迁补助费、临时安置补助费</w:t>
      </w:r>
    </w:p>
    <w:p>
      <w:pPr>
        <w:autoSpaceDE/>
        <w:autoSpaceDN/>
        <w:spacing w:beforeLines="0" w:afterLines="0" w:line="240" w:lineRule="auto"/>
        <w:ind w:firstLine="632" w:firstLineChars="200"/>
        <w:rPr>
          <w:rFonts w:ascii="Times New Roman" w:eastAsia="仿宋_GB2312" w:cs="Times New Roman"/>
          <w:color w:val="auto"/>
          <w:sz w:val="32"/>
          <w:szCs w:val="32"/>
          <w:lang w:val="zh-CN"/>
        </w:rPr>
      </w:pPr>
      <w:r>
        <w:rPr>
          <w:rFonts w:hint="default" w:ascii="Times New Roman" w:eastAsia="仿宋_GB2312" w:cs="Times New Roman"/>
          <w:color w:val="auto"/>
          <w:sz w:val="32"/>
          <w:szCs w:val="32"/>
          <w:lang w:val="zh-CN"/>
        </w:rPr>
        <w:t>（一）对安置资格户给予50</w:t>
      </w:r>
      <w:r>
        <w:rPr>
          <w:rFonts w:ascii="Times New Roman" w:eastAsia="仿宋_GB2312" w:cs="Times New Roman"/>
          <w:color w:val="auto"/>
          <w:sz w:val="32"/>
          <w:szCs w:val="32"/>
          <w:lang w:val="zh-CN"/>
        </w:rPr>
        <w:t>00</w:t>
      </w:r>
      <w:r>
        <w:rPr>
          <w:rFonts w:hint="default" w:ascii="Times New Roman" w:eastAsia="仿宋_GB2312" w:cs="Times New Roman"/>
          <w:color w:val="auto"/>
          <w:sz w:val="32"/>
          <w:szCs w:val="32"/>
          <w:lang w:val="zh-CN"/>
        </w:rPr>
        <w:t>元</w:t>
      </w:r>
      <w:r>
        <w:rPr>
          <w:rFonts w:ascii="Times New Roman" w:eastAsia="仿宋_GB2312" w:cs="Times New Roman"/>
          <w:color w:val="auto"/>
          <w:sz w:val="32"/>
          <w:szCs w:val="32"/>
          <w:lang w:val="zh-CN"/>
        </w:rPr>
        <w:t>/</w:t>
      </w:r>
      <w:r>
        <w:rPr>
          <w:rFonts w:hint="default" w:ascii="Times New Roman" w:eastAsia="仿宋_GB2312" w:cs="Times New Roman"/>
          <w:color w:val="auto"/>
          <w:sz w:val="32"/>
          <w:szCs w:val="32"/>
          <w:lang w:val="zh-CN"/>
        </w:rPr>
        <w:t>户搬迁补助费（包含电话、有线电视、水表、电表、家电家私等搬迁涉及的一切搬迁费用）。</w:t>
      </w:r>
    </w:p>
    <w:p>
      <w:pPr>
        <w:autoSpaceDE/>
        <w:autoSpaceDN/>
        <w:spacing w:beforeLines="0" w:afterLines="0" w:line="240" w:lineRule="auto"/>
        <w:ind w:firstLine="632" w:firstLineChars="200"/>
        <w:rPr>
          <w:rFonts w:ascii="Times New Roman" w:eastAsia="仿宋_GB2312" w:cs="Times New Roman"/>
          <w:color w:val="auto"/>
          <w:sz w:val="32"/>
          <w:szCs w:val="32"/>
          <w:lang w:val="zh-CN"/>
        </w:rPr>
      </w:pPr>
      <w:r>
        <w:rPr>
          <w:rFonts w:hint="default" w:ascii="Times New Roman" w:eastAsia="仿宋_GB2312" w:cs="Times New Roman"/>
          <w:color w:val="auto"/>
          <w:sz w:val="32"/>
          <w:szCs w:val="32"/>
          <w:lang w:val="zh-CN"/>
        </w:rPr>
        <w:t>（二）对安置资格户按照2000元</w:t>
      </w:r>
      <w:r>
        <w:rPr>
          <w:rFonts w:ascii="Times New Roman" w:eastAsia="仿宋_GB2312" w:cs="Times New Roman"/>
          <w:color w:val="auto"/>
          <w:sz w:val="32"/>
          <w:szCs w:val="32"/>
          <w:lang w:val="zh-CN"/>
        </w:rPr>
        <w:t>/</w:t>
      </w:r>
      <w:r>
        <w:rPr>
          <w:rFonts w:hint="default" w:ascii="Times New Roman" w:eastAsia="仿宋_GB2312" w:cs="Times New Roman"/>
          <w:color w:val="auto"/>
          <w:sz w:val="32"/>
          <w:szCs w:val="32"/>
          <w:lang w:val="zh-CN"/>
        </w:rPr>
        <w:t>月给予临时安置补助费。</w:t>
      </w:r>
    </w:p>
    <w:p>
      <w:pPr>
        <w:autoSpaceDE/>
        <w:autoSpaceDN/>
        <w:spacing w:beforeLines="0" w:afterLines="0" w:line="240" w:lineRule="auto"/>
        <w:ind w:firstLine="632" w:firstLineChars="200"/>
        <w:rPr>
          <w:rFonts w:ascii="Times New Roman" w:eastAsia="仿宋_GB2312" w:cs="Times New Roman"/>
          <w:color w:val="auto"/>
          <w:sz w:val="32"/>
          <w:szCs w:val="32"/>
          <w:lang w:val="zh-CN"/>
        </w:rPr>
      </w:pPr>
      <w:r>
        <w:rPr>
          <w:rFonts w:hint="default" w:ascii="Times New Roman" w:eastAsia="仿宋_GB2312" w:cs="Times New Roman"/>
          <w:color w:val="auto"/>
          <w:sz w:val="32"/>
          <w:szCs w:val="32"/>
          <w:lang w:val="zh-CN"/>
        </w:rPr>
        <w:t>选择货币补偿安置的，按照标准一次性给予</w:t>
      </w:r>
      <w:r>
        <w:rPr>
          <w:rFonts w:ascii="Times New Roman" w:eastAsia="仿宋_GB2312" w:cs="Times New Roman"/>
          <w:color w:val="auto"/>
          <w:sz w:val="32"/>
          <w:szCs w:val="32"/>
          <w:lang w:val="zh-CN"/>
        </w:rPr>
        <w:t>24</w:t>
      </w:r>
      <w:r>
        <w:rPr>
          <w:rFonts w:hint="default" w:ascii="Times New Roman" w:eastAsia="仿宋_GB2312" w:cs="Times New Roman"/>
          <w:color w:val="auto"/>
          <w:sz w:val="32"/>
          <w:szCs w:val="32"/>
          <w:lang w:val="zh-CN"/>
        </w:rPr>
        <w:t>个月的过渡性临时安置补助费。</w:t>
      </w:r>
    </w:p>
    <w:p>
      <w:pPr>
        <w:autoSpaceDE/>
        <w:autoSpaceDN/>
        <w:spacing w:beforeLines="0" w:afterLines="0" w:line="240" w:lineRule="auto"/>
        <w:ind w:firstLine="632" w:firstLineChars="200"/>
        <w:rPr>
          <w:rFonts w:ascii="Times New Roman" w:eastAsia="仿宋_GB2312" w:cs="Times New Roman"/>
          <w:color w:val="auto"/>
          <w:sz w:val="32"/>
          <w:szCs w:val="32"/>
          <w:lang w:val="zh-CN"/>
        </w:rPr>
      </w:pPr>
      <w:r>
        <w:rPr>
          <w:rFonts w:hint="default" w:ascii="Times New Roman" w:eastAsia="仿宋_GB2312" w:cs="Times New Roman"/>
          <w:color w:val="auto"/>
          <w:sz w:val="32"/>
          <w:szCs w:val="32"/>
          <w:lang w:val="zh-CN"/>
        </w:rPr>
        <w:t>选择产权调换房屋安置的，自签订补偿安置协议之日起至按时搬入安置房止，按标准发放临时安置补助费，首次一次性给予</w:t>
      </w:r>
      <w:r>
        <w:rPr>
          <w:rFonts w:hint="default" w:ascii="Times New Roman" w:eastAsia="仿宋_GB2312" w:cs="Times New Roman"/>
          <w:color w:val="auto"/>
          <w:sz w:val="32"/>
          <w:szCs w:val="32"/>
        </w:rPr>
        <w:t>12个月，此后每6个月发放一次</w:t>
      </w:r>
      <w:r>
        <w:rPr>
          <w:rFonts w:hint="default" w:ascii="Times New Roman" w:eastAsia="仿宋_GB2312" w:cs="Times New Roman"/>
          <w:color w:val="auto"/>
          <w:sz w:val="32"/>
          <w:szCs w:val="32"/>
          <w:lang w:val="zh-CN"/>
        </w:rPr>
        <w:t>。被征收房屋所有权人在接到安置房入住通知后，停止发放临时安置补助费。</w:t>
      </w:r>
    </w:p>
    <w:p>
      <w:pPr>
        <w:tabs>
          <w:tab w:val="left" w:pos="4536"/>
        </w:tabs>
        <w:autoSpaceDE/>
        <w:autoSpaceDN/>
        <w:spacing w:beforeLines="0" w:afterLines="0" w:line="240" w:lineRule="auto"/>
        <w:ind w:firstLine="632" w:firstLineChars="200"/>
        <w:rPr>
          <w:rFonts w:hint="eastAsia" w:ascii="Times New Roman" w:eastAsia="仿宋_GB2312" w:cs="Times New Roman"/>
          <w:color w:val="auto"/>
          <w:sz w:val="32"/>
          <w:szCs w:val="32"/>
          <w:lang w:val="zh-CN"/>
        </w:rPr>
      </w:pPr>
      <w:r>
        <w:rPr>
          <w:rFonts w:hint="default" w:ascii="黑体" w:hAnsi="黑体" w:eastAsia="黑体" w:cs="黑体"/>
          <w:color w:val="auto"/>
          <w:sz w:val="32"/>
          <w:szCs w:val="32"/>
          <w:lang w:val="zh-CN"/>
        </w:rPr>
        <w:t>第十四条</w:t>
      </w:r>
      <w:r>
        <w:rPr>
          <w:rFonts w:hint="eastAsia" w:ascii="黑体" w:hAnsi="黑体" w:eastAsia="黑体" w:cs="黑体"/>
          <w:color w:val="auto"/>
          <w:sz w:val="32"/>
          <w:szCs w:val="32"/>
          <w:lang w:val="zh-CN"/>
        </w:rPr>
        <w:t xml:space="preserve"> </w:t>
      </w:r>
      <w:r>
        <w:rPr>
          <w:rFonts w:hint="eastAsia" w:ascii="Times New Roman" w:eastAsia="仿宋_GB2312" w:cs="Times New Roman"/>
          <w:color w:val="auto"/>
          <w:sz w:val="32"/>
          <w:szCs w:val="32"/>
          <w:lang w:val="zh-CN"/>
        </w:rPr>
        <w:t xml:space="preserve"> </w:t>
      </w:r>
      <w:r>
        <w:rPr>
          <w:rFonts w:hint="default" w:ascii="Times New Roman" w:eastAsia="仿宋_GB2312" w:cs="Times New Roman"/>
          <w:color w:val="auto"/>
          <w:sz w:val="32"/>
          <w:szCs w:val="32"/>
          <w:lang w:val="zh-CN"/>
        </w:rPr>
        <w:t>促迁奖励措施</w:t>
      </w:r>
    </w:p>
    <w:p>
      <w:pPr>
        <w:tabs>
          <w:tab w:val="left" w:pos="4536"/>
        </w:tabs>
        <w:autoSpaceDE/>
        <w:autoSpaceDN/>
        <w:spacing w:beforeLines="0" w:afterLines="0" w:line="240" w:lineRule="auto"/>
        <w:ind w:firstLine="632" w:firstLineChars="200"/>
        <w:rPr>
          <w:rFonts w:hint="default" w:ascii="Times New Roman" w:eastAsia="仿宋_GB2312" w:cs="Times New Roman"/>
          <w:color w:val="auto"/>
          <w:sz w:val="32"/>
          <w:szCs w:val="32"/>
          <w:lang w:val="zh-CN"/>
        </w:rPr>
      </w:pPr>
      <w:r>
        <w:rPr>
          <w:rFonts w:hint="default" w:ascii="Times New Roman" w:eastAsia="仿宋_GB2312" w:cs="Times New Roman"/>
          <w:color w:val="auto"/>
          <w:sz w:val="32"/>
          <w:szCs w:val="32"/>
          <w:lang w:val="zh-CN"/>
        </w:rPr>
        <w:t>为鼓励被征收房屋所有权人配合集体土地上房屋征收，对在</w:t>
      </w:r>
      <w:r>
        <w:rPr>
          <w:rFonts w:hint="default" w:ascii="Times New Roman" w:eastAsia="仿宋_GB2312" w:cs="Times New Roman"/>
          <w:color w:val="auto"/>
          <w:sz w:val="32"/>
          <w:szCs w:val="32"/>
          <w:lang w:val="en-US" w:eastAsia="zh-CN"/>
        </w:rPr>
        <w:t>2018年5月31日前</w:t>
      </w:r>
      <w:r>
        <w:rPr>
          <w:rFonts w:hint="default" w:ascii="Times New Roman" w:eastAsia="仿宋_GB2312" w:cs="Times New Roman"/>
          <w:color w:val="auto"/>
          <w:sz w:val="32"/>
          <w:szCs w:val="32"/>
          <w:lang w:val="zh-CN"/>
        </w:rPr>
        <w:t>签订补偿协议并完成搬迁的被征收房屋所有权人，按征收部门</w:t>
      </w:r>
      <w:r>
        <w:rPr>
          <w:rFonts w:hint="default" w:ascii="Times New Roman" w:eastAsia="仿宋_GB2312" w:cs="Times New Roman"/>
          <w:color w:val="auto"/>
          <w:sz w:val="32"/>
          <w:szCs w:val="32"/>
        </w:rPr>
        <w:t>核定的房屋套内建筑面积（最高不超过280平方米）</w:t>
      </w:r>
      <w:r>
        <w:rPr>
          <w:rFonts w:hint="default" w:ascii="Times New Roman" w:eastAsia="仿宋_GB2312" w:cs="Times New Roman"/>
          <w:color w:val="auto"/>
          <w:sz w:val="32"/>
          <w:szCs w:val="32"/>
          <w:lang w:val="zh-CN"/>
        </w:rPr>
        <w:t>奖励1000元/平方米。</w:t>
      </w:r>
    </w:p>
    <w:p>
      <w:pPr>
        <w:tabs>
          <w:tab w:val="left" w:pos="4536"/>
        </w:tabs>
        <w:autoSpaceDE/>
        <w:autoSpaceDN/>
        <w:spacing w:beforeLines="0" w:afterLines="0" w:line="240" w:lineRule="auto"/>
        <w:ind w:firstLine="632" w:firstLineChars="200"/>
        <w:rPr>
          <w:rFonts w:hint="default" w:ascii="Times New Roman" w:eastAsia="仿宋_GB2312" w:cs="Times New Roman"/>
          <w:color w:val="auto"/>
          <w:sz w:val="32"/>
          <w:szCs w:val="32"/>
          <w:lang w:val="zh-CN"/>
        </w:rPr>
      </w:pPr>
    </w:p>
    <w:p>
      <w:pPr>
        <w:tabs>
          <w:tab w:val="left" w:pos="4536"/>
        </w:tabs>
        <w:autoSpaceDE/>
        <w:autoSpaceDN/>
        <w:spacing w:beforeLines="0" w:afterLines="0" w:line="240" w:lineRule="auto"/>
        <w:ind w:firstLine="632" w:firstLineChars="200"/>
        <w:jc w:val="center"/>
        <w:rPr>
          <w:rFonts w:hint="eastAsia" w:ascii="黑体" w:hAnsi="黑体" w:eastAsia="黑体" w:cs="黑体"/>
          <w:b w:val="0"/>
          <w:bCs w:val="0"/>
          <w:color w:val="auto"/>
          <w:sz w:val="32"/>
          <w:szCs w:val="32"/>
          <w:lang w:val="zh-CN"/>
        </w:rPr>
      </w:pPr>
      <w:r>
        <w:rPr>
          <w:rFonts w:hint="eastAsia" w:ascii="黑体" w:hAnsi="黑体" w:eastAsia="黑体" w:cs="黑体"/>
          <w:b w:val="0"/>
          <w:bCs w:val="0"/>
          <w:color w:val="auto"/>
          <w:sz w:val="32"/>
          <w:szCs w:val="32"/>
          <w:lang w:val="zh-CN"/>
        </w:rPr>
        <w:t>第四章  其他</w:t>
      </w:r>
    </w:p>
    <w:p>
      <w:pPr>
        <w:tabs>
          <w:tab w:val="left" w:pos="4536"/>
        </w:tabs>
        <w:autoSpaceDE/>
        <w:autoSpaceDN/>
        <w:spacing w:beforeLines="0" w:afterLines="0" w:line="240" w:lineRule="auto"/>
        <w:ind w:firstLine="632" w:firstLineChars="200"/>
        <w:rPr>
          <w:rFonts w:hint="default" w:ascii="黑体" w:hAnsi="黑体" w:eastAsia="黑体" w:cs="黑体"/>
          <w:sz w:val="32"/>
          <w:szCs w:val="32"/>
          <w:lang w:val="zh-CN"/>
        </w:rPr>
      </w:pPr>
    </w:p>
    <w:p>
      <w:pPr>
        <w:tabs>
          <w:tab w:val="left" w:pos="4536"/>
        </w:tabs>
        <w:autoSpaceDE/>
        <w:autoSpaceDN/>
        <w:spacing w:beforeLines="0" w:afterLines="0" w:line="240" w:lineRule="auto"/>
        <w:ind w:firstLine="632" w:firstLineChars="200"/>
        <w:rPr>
          <w:rFonts w:hint="eastAsia" w:ascii="Times New Roman" w:eastAsia="仿宋_GB2312" w:cs="Times New Roman"/>
          <w:color w:val="auto"/>
          <w:sz w:val="32"/>
          <w:szCs w:val="32"/>
          <w:lang w:val="zh-CN"/>
        </w:rPr>
      </w:pPr>
      <w:r>
        <w:rPr>
          <w:rFonts w:hint="default" w:ascii="黑体" w:hAnsi="黑体" w:eastAsia="黑体" w:cs="黑体"/>
          <w:color w:val="auto"/>
          <w:sz w:val="32"/>
          <w:szCs w:val="32"/>
          <w:lang w:val="zh-CN"/>
        </w:rPr>
        <w:t>第十五条</w:t>
      </w:r>
      <w:r>
        <w:rPr>
          <w:rFonts w:hint="eastAsia" w:ascii="黑体" w:hAnsi="黑体" w:eastAsia="黑体" w:cs="黑体"/>
          <w:color w:val="auto"/>
          <w:sz w:val="32"/>
          <w:szCs w:val="32"/>
          <w:lang w:val="zh-CN"/>
        </w:rPr>
        <w:t xml:space="preserve"> </w:t>
      </w:r>
      <w:r>
        <w:rPr>
          <w:rFonts w:hint="eastAsia" w:ascii="Times New Roman" w:eastAsia="仿宋_GB2312" w:cs="Times New Roman"/>
          <w:color w:val="auto"/>
          <w:sz w:val="32"/>
          <w:szCs w:val="32"/>
          <w:lang w:val="zh-CN"/>
        </w:rPr>
        <w:t xml:space="preserve"> </w:t>
      </w:r>
      <w:r>
        <w:rPr>
          <w:rFonts w:hint="default" w:ascii="Times New Roman" w:eastAsia="仿宋_GB2312" w:cs="Times New Roman"/>
          <w:color w:val="auto"/>
          <w:sz w:val="32"/>
          <w:szCs w:val="32"/>
          <w:lang w:val="zh-CN"/>
        </w:rPr>
        <w:t>集体土地上房屋依法被征收后，集体土地使用权同时收回，所涉及的房屋及附属设施归征收部门所有。</w:t>
      </w:r>
    </w:p>
    <w:p>
      <w:pPr>
        <w:tabs>
          <w:tab w:val="left" w:pos="4536"/>
        </w:tabs>
        <w:autoSpaceDE/>
        <w:autoSpaceDN/>
        <w:spacing w:beforeLines="0" w:afterLines="0" w:line="240" w:lineRule="auto"/>
        <w:ind w:firstLine="632" w:firstLineChars="200"/>
        <w:rPr>
          <w:rFonts w:ascii="Times New Roman" w:eastAsia="仿宋_GB2312" w:cs="Times New Roman"/>
          <w:color w:val="auto"/>
          <w:sz w:val="32"/>
          <w:szCs w:val="32"/>
          <w:lang w:val="zh-CN"/>
        </w:rPr>
      </w:pPr>
      <w:r>
        <w:rPr>
          <w:rFonts w:hint="eastAsia" w:ascii="黑体" w:hAnsi="黑体" w:eastAsia="黑体" w:cs="黑体"/>
          <w:color w:val="auto"/>
          <w:sz w:val="32"/>
          <w:szCs w:val="32"/>
          <w:lang w:val="zh-CN"/>
        </w:rPr>
        <w:t>第十六条</w:t>
      </w:r>
      <w:r>
        <w:rPr>
          <w:rFonts w:ascii="Times New Roman" w:eastAsia="仿宋_GB2312" w:cs="Times New Roman"/>
          <w:color w:val="auto"/>
          <w:sz w:val="32"/>
          <w:szCs w:val="32"/>
          <w:lang w:val="zh-CN"/>
        </w:rPr>
        <w:t xml:space="preserve">  </w:t>
      </w:r>
      <w:r>
        <w:rPr>
          <w:rFonts w:hint="default" w:ascii="Times New Roman" w:eastAsia="仿宋_GB2312" w:cs="Times New Roman"/>
          <w:color w:val="auto"/>
          <w:sz w:val="32"/>
          <w:szCs w:val="32"/>
          <w:lang w:val="zh-CN"/>
        </w:rPr>
        <w:t>逾期不签订补偿协议（包括被征收房屋所有权人不明确的）及不搬迁的，由征收部门依法责令交出土地，拒不交出土地的，依法向人民法院申请强制执行。</w:t>
      </w:r>
    </w:p>
    <w:p>
      <w:pPr>
        <w:tabs>
          <w:tab w:val="left" w:pos="4536"/>
        </w:tabs>
        <w:autoSpaceDE/>
        <w:autoSpaceDN/>
        <w:spacing w:beforeLines="0" w:afterLines="0" w:line="240" w:lineRule="auto"/>
        <w:ind w:firstLine="632" w:firstLineChars="200"/>
        <w:rPr>
          <w:rFonts w:hint="default" w:ascii="Times New Roman" w:eastAsia="仿宋_GB2312" w:cs="Times New Roman"/>
          <w:color w:val="auto"/>
          <w:sz w:val="32"/>
          <w:szCs w:val="32"/>
          <w:lang w:val="zh-CN"/>
        </w:rPr>
      </w:pPr>
      <w:r>
        <w:rPr>
          <w:rFonts w:hint="default" w:ascii="黑体" w:hAnsi="黑体" w:eastAsia="黑体" w:cs="黑体"/>
          <w:color w:val="auto"/>
          <w:sz w:val="32"/>
          <w:szCs w:val="32"/>
          <w:lang w:val="zh-CN"/>
        </w:rPr>
        <w:t>第十七条</w:t>
      </w:r>
      <w:r>
        <w:rPr>
          <w:rFonts w:ascii="Times New Roman" w:eastAsia="仿宋_GB2312" w:cs="Times New Roman"/>
          <w:color w:val="auto"/>
          <w:sz w:val="32"/>
          <w:szCs w:val="32"/>
          <w:lang w:val="zh-CN"/>
        </w:rPr>
        <w:t xml:space="preserve">  </w:t>
      </w:r>
      <w:r>
        <w:rPr>
          <w:rFonts w:hint="default" w:ascii="Times New Roman" w:eastAsia="仿宋_GB2312" w:cs="Times New Roman"/>
          <w:color w:val="auto"/>
          <w:sz w:val="32"/>
          <w:szCs w:val="32"/>
          <w:lang w:val="zh-CN"/>
        </w:rPr>
        <w:t>被征收房屋所有权人必须如实申报有关信息，如实登记，任何人不得弄虚作假，否则一经查清，如实追回所造成的损失，情节严重者移送司法机关追究刑事责任。</w:t>
      </w:r>
    </w:p>
    <w:p>
      <w:pPr>
        <w:autoSpaceDE/>
        <w:autoSpaceDN/>
        <w:spacing w:beforeLines="0" w:afterLines="0" w:line="240" w:lineRule="auto"/>
        <w:ind w:firstLine="632" w:firstLineChars="200"/>
        <w:rPr>
          <w:rFonts w:ascii="Times New Roman" w:eastAsia="仿宋_GB2312"/>
          <w:color w:val="auto"/>
          <w:sz w:val="32"/>
          <w:lang w:val="zh-CN"/>
        </w:rPr>
      </w:pPr>
      <w:r>
        <w:rPr>
          <w:rFonts w:hint="default" w:ascii="黑体" w:hAnsi="黑体" w:eastAsia="黑体" w:cs="黑体"/>
          <w:color w:val="auto"/>
          <w:sz w:val="32"/>
          <w:lang w:val="zh-CN"/>
        </w:rPr>
        <w:t>第十</w:t>
      </w:r>
      <w:r>
        <w:rPr>
          <w:rFonts w:hint="default" w:ascii="黑体" w:hAnsi="黑体" w:eastAsia="黑体" w:cs="黑体"/>
          <w:color w:val="auto"/>
          <w:sz w:val="32"/>
          <w:lang w:val="zh-CN" w:eastAsia="zh-CN"/>
        </w:rPr>
        <w:t>八</w:t>
      </w:r>
      <w:r>
        <w:rPr>
          <w:rFonts w:hint="default" w:ascii="黑体" w:hAnsi="黑体" w:eastAsia="黑体" w:cs="黑体"/>
          <w:color w:val="auto"/>
          <w:sz w:val="32"/>
          <w:lang w:val="zh-CN"/>
        </w:rPr>
        <w:t>条</w:t>
      </w:r>
      <w:r>
        <w:rPr>
          <w:rFonts w:ascii="Times New Roman" w:eastAsia="仿宋_GB2312"/>
          <w:color w:val="auto"/>
          <w:sz w:val="32"/>
        </w:rPr>
        <w:t xml:space="preserve">  </w:t>
      </w:r>
      <w:r>
        <w:rPr>
          <w:rFonts w:hint="default" w:ascii="Times New Roman" w:eastAsia="仿宋_GB2312"/>
          <w:color w:val="auto"/>
          <w:sz w:val="32"/>
        </w:rPr>
        <w:t>社会养老保险安置按广州市有关规定办理。</w:t>
      </w:r>
    </w:p>
    <w:p>
      <w:pPr>
        <w:tabs>
          <w:tab w:val="left" w:pos="4536"/>
        </w:tabs>
        <w:autoSpaceDE/>
        <w:autoSpaceDN/>
        <w:spacing w:beforeLines="0" w:afterLines="0" w:line="240" w:lineRule="auto"/>
        <w:ind w:firstLine="632" w:firstLineChars="200"/>
        <w:rPr>
          <w:rFonts w:ascii="Times New Roman" w:eastAsia="仿宋_GB2312" w:cs="Times New Roman"/>
          <w:color w:val="auto"/>
          <w:sz w:val="32"/>
          <w:szCs w:val="32"/>
          <w:lang w:val="zh-CN"/>
        </w:rPr>
      </w:pPr>
      <w:r>
        <w:rPr>
          <w:rFonts w:hint="default" w:ascii="黑体" w:hAnsi="黑体" w:eastAsia="黑体" w:cs="黑体"/>
          <w:color w:val="auto"/>
          <w:sz w:val="32"/>
          <w:szCs w:val="32"/>
          <w:lang w:val="zh-CN"/>
        </w:rPr>
        <w:t>第十九条</w:t>
      </w:r>
      <w:r>
        <w:rPr>
          <w:rFonts w:hint="eastAsia" w:ascii="黑体" w:hAnsi="黑体" w:eastAsia="黑体" w:cs="黑体"/>
          <w:color w:val="auto"/>
          <w:sz w:val="32"/>
          <w:szCs w:val="32"/>
          <w:lang w:val="zh-CN"/>
        </w:rPr>
        <w:t xml:space="preserve"> </w:t>
      </w:r>
      <w:r>
        <w:rPr>
          <w:rFonts w:ascii="Times New Roman" w:eastAsia="仿宋_GB2312" w:cs="Times New Roman"/>
          <w:color w:val="auto"/>
          <w:sz w:val="32"/>
          <w:szCs w:val="32"/>
          <w:lang w:val="zh-CN"/>
        </w:rPr>
        <w:t xml:space="preserve"> </w:t>
      </w:r>
      <w:r>
        <w:rPr>
          <w:rFonts w:hint="default" w:ascii="Times New Roman" w:eastAsia="仿宋_GB2312" w:cs="Times New Roman"/>
          <w:color w:val="auto"/>
          <w:sz w:val="32"/>
          <w:szCs w:val="32"/>
          <w:lang w:val="zh-CN"/>
        </w:rPr>
        <w:t>被征收房屋所有权人应服从城市建设的需要，主动配合征收工作，不得以任何借口妨碍和阻挠征收工作。对辱骂、殴打工作人员，阻碍工作人员执行公务的，将视情节轻重，分别给予教育、治安拘留、移送司法机关追究法律责任等处罚。</w:t>
      </w:r>
    </w:p>
    <w:p>
      <w:pPr>
        <w:tabs>
          <w:tab w:val="left" w:pos="4536"/>
        </w:tabs>
        <w:autoSpaceDE/>
        <w:autoSpaceDN/>
        <w:spacing w:beforeLines="0" w:afterLines="0" w:line="240" w:lineRule="auto"/>
        <w:ind w:firstLine="632" w:firstLineChars="200"/>
        <w:rPr>
          <w:rFonts w:ascii="Times New Roman" w:eastAsia="仿宋_GB2312" w:cs="Times New Roman"/>
          <w:color w:val="auto"/>
          <w:sz w:val="32"/>
          <w:szCs w:val="32"/>
          <w:lang w:val="zh-CN"/>
        </w:rPr>
      </w:pPr>
      <w:r>
        <w:rPr>
          <w:rFonts w:hint="default" w:ascii="黑体" w:hAnsi="黑体" w:eastAsia="黑体" w:cs="黑体"/>
          <w:color w:val="auto"/>
          <w:sz w:val="32"/>
          <w:szCs w:val="32"/>
          <w:lang w:val="zh-CN"/>
        </w:rPr>
        <w:t>第二十条</w:t>
      </w:r>
      <w:r>
        <w:rPr>
          <w:rFonts w:ascii="Times New Roman" w:eastAsia="仿宋_GB2312" w:cs="Times New Roman"/>
          <w:color w:val="auto"/>
          <w:sz w:val="32"/>
          <w:szCs w:val="32"/>
          <w:lang w:val="zh-CN"/>
        </w:rPr>
        <w:t xml:space="preserve"> </w:t>
      </w:r>
      <w:r>
        <w:rPr>
          <w:rFonts w:hint="default" w:ascii="Times New Roman" w:eastAsia="仿宋_GB2312" w:cs="Times New Roman"/>
          <w:color w:val="auto"/>
          <w:sz w:val="32"/>
          <w:szCs w:val="32"/>
          <w:lang w:val="zh-CN"/>
        </w:rPr>
        <w:t xml:space="preserve"> 征收实施单位必须严格按照有关规定，建立房屋征收安置信息台账，对已签订补偿安置协议的，实行</w:t>
      </w:r>
      <w:r>
        <w:rPr>
          <w:rFonts w:hint="eastAsia" w:cs="Times New Roman"/>
          <w:sz w:val="32"/>
          <w:szCs w:val="32"/>
          <w:lang w:val="zh-CN"/>
        </w:rPr>
        <w:t>“</w:t>
      </w:r>
      <w:r>
        <w:rPr>
          <w:rFonts w:hint="default" w:ascii="Times New Roman" w:eastAsia="仿宋_GB2312" w:cs="Times New Roman"/>
          <w:color w:val="auto"/>
          <w:sz w:val="32"/>
          <w:szCs w:val="32"/>
          <w:lang w:val="zh-CN"/>
        </w:rPr>
        <w:t>成熟一宗公示一宗</w:t>
      </w:r>
      <w:r>
        <w:rPr>
          <w:rFonts w:hint="eastAsia" w:cs="Times New Roman"/>
          <w:sz w:val="32"/>
          <w:szCs w:val="32"/>
          <w:lang w:val="zh-CN"/>
        </w:rPr>
        <w:t>”</w:t>
      </w:r>
      <w:r>
        <w:rPr>
          <w:rFonts w:hint="default" w:ascii="Times New Roman" w:eastAsia="仿宋_GB2312" w:cs="Times New Roman"/>
          <w:color w:val="auto"/>
          <w:sz w:val="32"/>
          <w:szCs w:val="32"/>
          <w:lang w:val="zh-CN"/>
        </w:rPr>
        <w:t>，对被征收房屋的户主信息、补偿面积、安置面积以及金额等信息在征收范围内进行公示，并同步报备征收部门，确保本次征收安置工作依法公开透明进行。对经查核存在未按规定实施补偿安置等情形的，追究相关责任人员责任。</w:t>
      </w:r>
    </w:p>
    <w:p>
      <w:pPr>
        <w:tabs>
          <w:tab w:val="left" w:pos="4536"/>
        </w:tabs>
        <w:autoSpaceDE/>
        <w:autoSpaceDN/>
        <w:spacing w:beforeLines="0" w:afterLines="0" w:line="240" w:lineRule="auto"/>
        <w:ind w:firstLine="632" w:firstLineChars="200"/>
        <w:rPr>
          <w:rFonts w:ascii="Times New Roman" w:eastAsia="仿宋_GB2312" w:cs="Times New Roman"/>
          <w:color w:val="auto"/>
          <w:sz w:val="32"/>
          <w:szCs w:val="32"/>
          <w:lang w:val="zh-CN"/>
        </w:rPr>
      </w:pPr>
      <w:r>
        <w:rPr>
          <w:rFonts w:hint="default" w:ascii="黑体" w:hAnsi="黑体" w:eastAsia="黑体" w:cs="黑体"/>
          <w:color w:val="auto"/>
          <w:sz w:val="32"/>
          <w:szCs w:val="32"/>
          <w:lang w:val="zh-CN"/>
        </w:rPr>
        <w:t>第二十一条</w:t>
      </w:r>
      <w:r>
        <w:rPr>
          <w:rFonts w:ascii="Times New Roman" w:eastAsia="仿宋_GB2312" w:cs="Times New Roman"/>
          <w:color w:val="auto"/>
          <w:sz w:val="32"/>
          <w:szCs w:val="32"/>
          <w:lang w:val="zh-CN"/>
        </w:rPr>
        <w:t xml:space="preserve">  </w:t>
      </w:r>
      <w:r>
        <w:rPr>
          <w:rFonts w:hint="default" w:ascii="Times New Roman" w:eastAsia="仿宋_GB2312" w:cs="Times New Roman"/>
          <w:color w:val="auto"/>
          <w:sz w:val="32"/>
          <w:szCs w:val="32"/>
          <w:lang w:val="zh-CN"/>
        </w:rPr>
        <w:t>本项目有关工作人员在实施集体土地上房屋征收安置工作中玩忽职守、滥用职权、徇私舞弊的，依法给予行政处分；构成犯罪的，依法追究法律责任。</w:t>
      </w:r>
    </w:p>
    <w:p>
      <w:pPr>
        <w:tabs>
          <w:tab w:val="left" w:pos="4536"/>
        </w:tabs>
        <w:autoSpaceDE/>
        <w:autoSpaceDN/>
        <w:spacing w:beforeLines="0" w:afterLines="0" w:line="240" w:lineRule="auto"/>
        <w:ind w:firstLine="632" w:firstLineChars="200"/>
        <w:rPr>
          <w:rFonts w:hint="default" w:ascii="Times New Roman" w:eastAsia="仿宋_GB2312" w:cs="Times New Roman"/>
          <w:color w:val="auto"/>
          <w:sz w:val="32"/>
          <w:szCs w:val="32"/>
          <w:lang w:val="zh-CN"/>
        </w:rPr>
      </w:pPr>
      <w:r>
        <w:rPr>
          <w:rFonts w:hint="default" w:ascii="黑体" w:hAnsi="黑体" w:eastAsia="黑体" w:cs="黑体"/>
          <w:color w:val="auto"/>
          <w:sz w:val="32"/>
          <w:szCs w:val="32"/>
          <w:lang w:val="zh-CN"/>
        </w:rPr>
        <w:t>第二十二条</w:t>
      </w:r>
      <w:r>
        <w:rPr>
          <w:rFonts w:ascii="Times New Roman" w:eastAsia="仿宋_GB2312" w:cs="Times New Roman"/>
          <w:color w:val="auto"/>
          <w:sz w:val="32"/>
          <w:szCs w:val="32"/>
          <w:lang w:val="zh-CN"/>
        </w:rPr>
        <w:t xml:space="preserve">  </w:t>
      </w:r>
      <w:r>
        <w:rPr>
          <w:rFonts w:hint="default" w:ascii="Times New Roman" w:eastAsia="仿宋_GB2312" w:cs="Times New Roman"/>
          <w:color w:val="auto"/>
          <w:sz w:val="32"/>
          <w:szCs w:val="32"/>
          <w:lang w:val="zh-CN"/>
        </w:rPr>
        <w:t>本方案规定如与有关法律法规相抵触的，以相关法律法规为准。</w:t>
      </w:r>
    </w:p>
    <w:p>
      <w:pPr>
        <w:tabs>
          <w:tab w:val="left" w:pos="4536"/>
        </w:tabs>
        <w:autoSpaceDE/>
        <w:autoSpaceDN/>
        <w:spacing w:beforeLines="0" w:afterLines="0" w:line="240" w:lineRule="auto"/>
        <w:ind w:firstLine="632" w:firstLineChars="200"/>
        <w:rPr>
          <w:rFonts w:hint="default" w:ascii="Times New Roman" w:eastAsia="仿宋_GB2312" w:cs="Times New Roman"/>
          <w:color w:val="auto"/>
          <w:sz w:val="32"/>
          <w:szCs w:val="32"/>
          <w:lang w:val="zh-CN"/>
        </w:rPr>
      </w:pPr>
      <w:r>
        <w:rPr>
          <w:rFonts w:hint="default" w:ascii="黑体" w:hAnsi="黑体" w:eastAsia="黑体" w:cs="黑体"/>
          <w:color w:val="auto"/>
          <w:sz w:val="32"/>
          <w:szCs w:val="32"/>
          <w:lang w:val="zh-CN"/>
        </w:rPr>
        <w:t>第二十三条</w:t>
      </w:r>
      <w:r>
        <w:rPr>
          <w:rFonts w:ascii="Times New Roman" w:eastAsia="仿宋_GB2312" w:cs="Times New Roman"/>
          <w:color w:val="auto"/>
          <w:sz w:val="32"/>
          <w:szCs w:val="32"/>
          <w:lang w:val="zh-CN"/>
        </w:rPr>
        <w:t xml:space="preserve">  </w:t>
      </w:r>
      <w:r>
        <w:rPr>
          <w:rFonts w:hint="default" w:ascii="Times New Roman" w:eastAsia="仿宋_GB2312" w:cs="Times New Roman"/>
          <w:color w:val="auto"/>
          <w:sz w:val="32"/>
          <w:szCs w:val="32"/>
          <w:lang w:val="zh-CN"/>
        </w:rPr>
        <w:t>本方案在实施过程中遇到未有规定的内容时，可根据有关法律法规制定补充实施办法报区政府审定后实施。</w:t>
      </w:r>
    </w:p>
    <w:p>
      <w:pPr>
        <w:widowControl w:val="0"/>
        <w:spacing w:beforeLines="0" w:afterLines="0" w:line="240" w:lineRule="auto"/>
        <w:ind w:firstLine="632" w:firstLineChars="200"/>
        <w:rPr>
          <w:rFonts w:hint="default" w:ascii="Times New Roman" w:hAnsi="Times New Roman"/>
          <w:color w:val="auto"/>
          <w:kern w:val="2"/>
          <w:sz w:val="32"/>
          <w:szCs w:val="32"/>
          <w:lang w:val="zh-CN"/>
        </w:rPr>
      </w:pPr>
    </w:p>
    <w:p>
      <w:pPr>
        <w:spacing w:beforeLines="0" w:afterLines="0" w:line="240" w:lineRule="auto"/>
        <w:ind w:firstLine="632" w:firstLineChars="200"/>
        <w:rPr>
          <w:rFonts w:hint="default" w:ascii="Times New Roman" w:eastAsia="仿宋_GB2312" w:cs="Times New Roman"/>
          <w:color w:val="auto"/>
          <w:sz w:val="32"/>
          <w:szCs w:val="32"/>
          <w:lang w:val="zh-CN"/>
        </w:rPr>
      </w:pPr>
      <w:r>
        <w:rPr>
          <w:rFonts w:ascii="Times New Roman" w:eastAsia="仿宋_GB2312" w:cs="Times New Roman"/>
          <w:color w:val="auto"/>
          <w:sz w:val="32"/>
          <w:szCs w:val="32"/>
          <w:lang w:val="zh-CN"/>
        </w:rPr>
        <w:t>附件</w:t>
      </w:r>
      <w:r>
        <w:rPr>
          <w:rFonts w:hint="default" w:ascii="Times New Roman" w:eastAsia="仿宋_GB2312" w:cs="Times New Roman"/>
          <w:color w:val="auto"/>
          <w:sz w:val="32"/>
          <w:szCs w:val="32"/>
          <w:lang w:val="zh-CN"/>
        </w:rPr>
        <w:t>：1.集体土地上房屋重置补偿标准</w:t>
      </w:r>
    </w:p>
    <w:p>
      <w:pPr>
        <w:spacing w:beforeLines="0" w:afterLines="0" w:line="240" w:lineRule="auto"/>
        <w:ind w:firstLine="1580" w:firstLineChars="500"/>
        <w:rPr>
          <w:rFonts w:hint="default" w:ascii="Times New Roman" w:eastAsia="仿宋_GB2312" w:cs="Times New Roman"/>
          <w:color w:val="auto"/>
          <w:sz w:val="32"/>
          <w:szCs w:val="32"/>
          <w:lang w:val="zh-CN"/>
        </w:rPr>
      </w:pPr>
      <w:r>
        <w:rPr>
          <w:rFonts w:hint="default" w:ascii="Times New Roman" w:eastAsia="仿宋_GB2312" w:cs="Times New Roman"/>
          <w:color w:val="auto"/>
          <w:sz w:val="32"/>
          <w:szCs w:val="32"/>
          <w:lang w:val="zh-CN"/>
        </w:rPr>
        <w:t>2.一般地上附着物（除房屋）补偿标准</w:t>
      </w: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ascii="黑体" w:hAnsi="黑体" w:eastAsia="黑体" w:cs="黑体"/>
          <w:color w:val="auto"/>
          <w:sz w:val="32"/>
          <w:szCs w:val="32"/>
        </w:rPr>
      </w:pPr>
      <w:r>
        <w:rPr>
          <w:rFonts w:hint="eastAsia" w:ascii="黑体" w:hAnsi="黑体" w:eastAsia="黑体" w:cs="黑体"/>
          <w:color w:val="auto"/>
          <w:sz w:val="32"/>
          <w:szCs w:val="32"/>
        </w:rPr>
        <w:t>附件1</w:t>
      </w:r>
    </w:p>
    <w:p>
      <w:pPr>
        <w:spacing w:beforeLines="0" w:afterLines="0" w:line="760" w:lineRule="exact"/>
        <w:jc w:val="center"/>
        <w:rPr>
          <w:rFonts w:hint="eastAsia" w:ascii="方正小标宋简体" w:hAnsi="方正小标宋简体" w:eastAsia="方正小标宋简体" w:cs="方正小标宋简体"/>
          <w:bCs w:val="0"/>
          <w:color w:val="auto"/>
          <w:kern w:val="2"/>
          <w:sz w:val="44"/>
          <w:szCs w:val="44"/>
        </w:rPr>
      </w:pPr>
      <w:r>
        <w:rPr>
          <w:rFonts w:hint="eastAsia" w:ascii="方正小标宋简体" w:hAnsi="方正小标宋简体" w:eastAsia="方正小标宋简体" w:cs="方正小标宋简体"/>
          <w:bCs w:val="0"/>
          <w:color w:val="auto"/>
          <w:kern w:val="2"/>
          <w:sz w:val="44"/>
          <w:szCs w:val="44"/>
        </w:rPr>
        <w:t>集体土地上房屋重置补偿标准</w:t>
      </w:r>
    </w:p>
    <w:tbl>
      <w:tblPr>
        <w:tblStyle w:val="5"/>
        <w:tblW w:w="10591" w:type="dxa"/>
        <w:jc w:val="center"/>
        <w:tblInd w:w="-318" w:type="dxa"/>
        <w:tblLayout w:type="fixed"/>
        <w:tblCellMar>
          <w:top w:w="0" w:type="dxa"/>
          <w:left w:w="108" w:type="dxa"/>
          <w:bottom w:w="0" w:type="dxa"/>
          <w:right w:w="108" w:type="dxa"/>
        </w:tblCellMar>
      </w:tblPr>
      <w:tblGrid>
        <w:gridCol w:w="852"/>
        <w:gridCol w:w="999"/>
        <w:gridCol w:w="6701"/>
        <w:gridCol w:w="2039"/>
      </w:tblGrid>
      <w:tr>
        <w:tblPrEx>
          <w:tblLayout w:type="fixed"/>
          <w:tblCellMar>
            <w:top w:w="0" w:type="dxa"/>
            <w:left w:w="108" w:type="dxa"/>
            <w:bottom w:w="0" w:type="dxa"/>
            <w:right w:w="108" w:type="dxa"/>
          </w:tblCellMar>
        </w:tblPrEx>
        <w:trPr>
          <w:cantSplit/>
          <w:trHeight w:val="23" w:hRule="atLeast"/>
          <w:jc w:val="center"/>
        </w:trPr>
        <w:tc>
          <w:tcPr>
            <w:tcW w:w="852" w:type="dxa"/>
            <w:tcBorders>
              <w:top w:val="single" w:color="auto" w:sz="4" w:space="0"/>
              <w:left w:val="single" w:color="auto" w:sz="4" w:space="0"/>
              <w:bottom w:val="single" w:color="auto" w:sz="4" w:space="0"/>
              <w:right w:val="single" w:color="auto" w:sz="4" w:space="0"/>
            </w:tcBorders>
            <w:vAlign w:val="center"/>
          </w:tcPr>
          <w:p>
            <w:pPr>
              <w:spacing w:beforeLines="0" w:afterLines="0" w:line="280" w:lineRule="exact"/>
              <w:jc w:val="center"/>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kern w:val="0"/>
                <w:sz w:val="28"/>
                <w:szCs w:val="28"/>
              </w:rPr>
              <w:t>项目</w:t>
            </w:r>
          </w:p>
        </w:tc>
        <w:tc>
          <w:tcPr>
            <w:tcW w:w="999" w:type="dxa"/>
            <w:tcBorders>
              <w:top w:val="single" w:color="auto" w:sz="4" w:space="0"/>
              <w:left w:val="nil"/>
              <w:bottom w:val="single" w:color="auto" w:sz="4" w:space="0"/>
              <w:right w:val="single" w:color="auto" w:sz="4" w:space="0"/>
            </w:tcBorders>
            <w:vAlign w:val="center"/>
          </w:tcPr>
          <w:p>
            <w:pPr>
              <w:spacing w:beforeLines="0" w:afterLines="0" w:line="280" w:lineRule="exact"/>
              <w:jc w:val="center"/>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kern w:val="0"/>
                <w:sz w:val="28"/>
                <w:szCs w:val="28"/>
              </w:rPr>
              <w:t>等级</w:t>
            </w:r>
          </w:p>
        </w:tc>
        <w:tc>
          <w:tcPr>
            <w:tcW w:w="6701" w:type="dxa"/>
            <w:tcBorders>
              <w:top w:val="single" w:color="auto" w:sz="4" w:space="0"/>
              <w:left w:val="nil"/>
              <w:bottom w:val="single" w:color="auto" w:sz="4" w:space="0"/>
              <w:right w:val="single" w:color="auto" w:sz="4" w:space="0"/>
            </w:tcBorders>
            <w:vAlign w:val="center"/>
          </w:tcPr>
          <w:p>
            <w:pPr>
              <w:spacing w:beforeLines="0" w:afterLines="0" w:line="280" w:lineRule="exact"/>
              <w:jc w:val="center"/>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kern w:val="0"/>
                <w:sz w:val="28"/>
                <w:szCs w:val="28"/>
              </w:rPr>
              <w:t>装 修 标 准</w:t>
            </w:r>
          </w:p>
        </w:tc>
        <w:tc>
          <w:tcPr>
            <w:tcW w:w="2039" w:type="dxa"/>
            <w:tcBorders>
              <w:top w:val="single" w:color="auto" w:sz="4" w:space="0"/>
              <w:left w:val="nil"/>
              <w:bottom w:val="single" w:color="auto" w:sz="4" w:space="0"/>
              <w:right w:val="single" w:color="auto" w:sz="4" w:space="0"/>
            </w:tcBorders>
            <w:vAlign w:val="center"/>
          </w:tcPr>
          <w:p>
            <w:pPr>
              <w:spacing w:beforeLines="0" w:afterLines="0" w:line="280" w:lineRule="exact"/>
              <w:jc w:val="center"/>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kern w:val="0"/>
                <w:sz w:val="28"/>
                <w:szCs w:val="28"/>
              </w:rPr>
              <w:t>单价</w:t>
            </w:r>
          </w:p>
          <w:p>
            <w:pPr>
              <w:spacing w:beforeLines="0" w:afterLines="0" w:line="280" w:lineRule="exact"/>
              <w:jc w:val="center"/>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kern w:val="0"/>
                <w:sz w:val="28"/>
                <w:szCs w:val="28"/>
              </w:rPr>
              <w:t>（元/平方米）</w:t>
            </w:r>
          </w:p>
        </w:tc>
      </w:tr>
      <w:tr>
        <w:tblPrEx>
          <w:tblLayout w:type="fixed"/>
          <w:tblCellMar>
            <w:top w:w="0" w:type="dxa"/>
            <w:left w:w="108" w:type="dxa"/>
            <w:bottom w:w="0" w:type="dxa"/>
            <w:right w:w="108" w:type="dxa"/>
          </w:tblCellMar>
        </w:tblPrEx>
        <w:trPr>
          <w:cantSplit/>
          <w:trHeight w:val="23" w:hRule="atLeast"/>
          <w:jc w:val="center"/>
        </w:trPr>
        <w:tc>
          <w:tcPr>
            <w:tcW w:w="852" w:type="dxa"/>
            <w:vMerge w:val="restart"/>
            <w:tcBorders>
              <w:top w:val="single" w:color="auto" w:sz="4" w:space="0"/>
              <w:left w:val="single" w:color="auto" w:sz="4" w:space="0"/>
              <w:right w:val="single" w:color="auto" w:sz="4" w:space="0"/>
            </w:tcBorders>
            <w:vAlign w:val="center"/>
          </w:tcPr>
          <w:p>
            <w:pPr>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框</w:t>
            </w:r>
          </w:p>
          <w:p>
            <w:pPr>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架</w:t>
            </w:r>
          </w:p>
          <w:p>
            <w:pPr>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结</w:t>
            </w:r>
            <w:r>
              <w:rPr>
                <w:rFonts w:hint="default" w:ascii="Times New Roman" w:hAnsi="Times New Roman" w:cs="Times New Roman"/>
                <w:color w:val="auto"/>
                <w:kern w:val="0"/>
                <w:sz w:val="28"/>
                <w:szCs w:val="28"/>
              </w:rPr>
              <w:br w:type="textWrapping"/>
            </w:r>
            <w:r>
              <w:rPr>
                <w:rFonts w:hint="default" w:ascii="Times New Roman" w:hAnsi="Times New Roman" w:cs="Times New Roman"/>
                <w:color w:val="auto"/>
                <w:kern w:val="0"/>
                <w:sz w:val="28"/>
                <w:szCs w:val="28"/>
              </w:rPr>
              <w:t>构</w:t>
            </w:r>
          </w:p>
        </w:tc>
        <w:tc>
          <w:tcPr>
            <w:tcW w:w="999" w:type="dxa"/>
            <w:tcBorders>
              <w:top w:val="single" w:color="auto" w:sz="4" w:space="0"/>
              <w:left w:val="nil"/>
              <w:bottom w:val="single" w:color="auto" w:sz="4" w:space="0"/>
              <w:right w:val="single" w:color="auto" w:sz="4" w:space="0"/>
            </w:tcBorders>
            <w:vAlign w:val="center"/>
          </w:tcPr>
          <w:p>
            <w:pPr>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一等</w:t>
            </w:r>
          </w:p>
        </w:tc>
        <w:tc>
          <w:tcPr>
            <w:tcW w:w="6701" w:type="dxa"/>
            <w:tcBorders>
              <w:top w:val="single" w:color="auto" w:sz="4" w:space="0"/>
              <w:left w:val="nil"/>
              <w:bottom w:val="single" w:color="auto" w:sz="4" w:space="0"/>
              <w:right w:val="single" w:color="auto" w:sz="4" w:space="0"/>
            </w:tcBorders>
            <w:vAlign w:val="center"/>
          </w:tcPr>
          <w:p>
            <w:pPr>
              <w:spacing w:beforeLines="0" w:afterLines="0" w:line="290" w:lineRule="exact"/>
              <w:jc w:val="both"/>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外墙贴高级釉面砖或纸皮石，内墙面高档装饰及吊顶天</w:t>
            </w:r>
            <w:r>
              <w:rPr>
                <w:rFonts w:hint="default" w:ascii="Times New Roman" w:hAnsi="Times New Roman" w:cs="Times New Roman"/>
                <w:color w:val="auto"/>
                <w:spacing w:val="-5"/>
                <w:kern w:val="0"/>
                <w:sz w:val="28"/>
                <w:szCs w:val="28"/>
              </w:rPr>
              <w:t>花,楼地面铺石材或木地板,铝合金门窗,镶板或夹板门。</w:t>
            </w:r>
          </w:p>
        </w:tc>
        <w:tc>
          <w:tcPr>
            <w:tcW w:w="2039" w:type="dxa"/>
            <w:tcBorders>
              <w:top w:val="single" w:color="auto" w:sz="4" w:space="0"/>
              <w:left w:val="nil"/>
              <w:bottom w:val="single" w:color="auto" w:sz="4" w:space="0"/>
              <w:right w:val="single" w:color="auto" w:sz="4" w:space="0"/>
            </w:tcBorders>
            <w:vAlign w:val="center"/>
          </w:tcPr>
          <w:p>
            <w:pPr>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2115</w:t>
            </w:r>
          </w:p>
        </w:tc>
      </w:tr>
      <w:tr>
        <w:tblPrEx>
          <w:tblLayout w:type="fixed"/>
          <w:tblCellMar>
            <w:top w:w="0" w:type="dxa"/>
            <w:left w:w="108" w:type="dxa"/>
            <w:bottom w:w="0" w:type="dxa"/>
            <w:right w:w="108" w:type="dxa"/>
          </w:tblCellMar>
        </w:tblPrEx>
        <w:trPr>
          <w:cantSplit/>
          <w:trHeight w:val="23" w:hRule="atLeast"/>
          <w:jc w:val="center"/>
        </w:trPr>
        <w:tc>
          <w:tcPr>
            <w:tcW w:w="852" w:type="dxa"/>
            <w:vMerge w:val="continue"/>
            <w:tcBorders>
              <w:left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p>
        </w:tc>
        <w:tc>
          <w:tcPr>
            <w:tcW w:w="999" w:type="dxa"/>
            <w:tcBorders>
              <w:top w:val="nil"/>
              <w:left w:val="nil"/>
              <w:bottom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二等</w:t>
            </w:r>
          </w:p>
        </w:tc>
        <w:tc>
          <w:tcPr>
            <w:tcW w:w="6701" w:type="dxa"/>
            <w:tcBorders>
              <w:top w:val="nil"/>
              <w:left w:val="nil"/>
              <w:bottom w:val="single" w:color="auto" w:sz="4" w:space="0"/>
              <w:right w:val="single" w:color="auto" w:sz="4" w:space="0"/>
            </w:tcBorders>
            <w:vAlign w:val="center"/>
          </w:tcPr>
          <w:p>
            <w:pPr>
              <w:widowControl/>
              <w:spacing w:beforeLines="0" w:afterLines="0" w:line="290" w:lineRule="exact"/>
              <w:jc w:val="both"/>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外墙贴釉面砖或纸皮石,内墙面及天花抹灰扫白，楼地面铺彩釉地砖，铝合金门窗，镶板或夹板门。</w:t>
            </w:r>
          </w:p>
        </w:tc>
        <w:tc>
          <w:tcPr>
            <w:tcW w:w="2039" w:type="dxa"/>
            <w:tcBorders>
              <w:top w:val="nil"/>
              <w:left w:val="nil"/>
              <w:bottom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1725</w:t>
            </w:r>
          </w:p>
        </w:tc>
      </w:tr>
      <w:tr>
        <w:tblPrEx>
          <w:tblLayout w:type="fixed"/>
          <w:tblCellMar>
            <w:top w:w="0" w:type="dxa"/>
            <w:left w:w="108" w:type="dxa"/>
            <w:bottom w:w="0" w:type="dxa"/>
            <w:right w:w="108" w:type="dxa"/>
          </w:tblCellMar>
        </w:tblPrEx>
        <w:trPr>
          <w:cantSplit/>
          <w:trHeight w:val="23" w:hRule="atLeast"/>
          <w:jc w:val="center"/>
        </w:trPr>
        <w:tc>
          <w:tcPr>
            <w:tcW w:w="852" w:type="dxa"/>
            <w:vMerge w:val="continue"/>
            <w:tcBorders>
              <w:left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p>
        </w:tc>
        <w:tc>
          <w:tcPr>
            <w:tcW w:w="999" w:type="dxa"/>
            <w:tcBorders>
              <w:top w:val="nil"/>
              <w:left w:val="nil"/>
              <w:bottom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三等</w:t>
            </w:r>
          </w:p>
        </w:tc>
        <w:tc>
          <w:tcPr>
            <w:tcW w:w="6701" w:type="dxa"/>
            <w:tcBorders>
              <w:top w:val="nil"/>
              <w:left w:val="nil"/>
              <w:bottom w:val="single" w:color="auto" w:sz="4" w:space="0"/>
              <w:right w:val="single" w:color="auto" w:sz="4" w:space="0"/>
            </w:tcBorders>
            <w:vAlign w:val="center"/>
          </w:tcPr>
          <w:p>
            <w:pPr>
              <w:widowControl/>
              <w:spacing w:beforeLines="0" w:afterLines="0" w:line="290" w:lineRule="exact"/>
              <w:jc w:val="both"/>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外墙贴玻璃马赛克,内墙面及天花抹灰扫白，楼地面铺彩釉地砖，铝合金门窗采用，镶板或夹板门。</w:t>
            </w:r>
          </w:p>
        </w:tc>
        <w:tc>
          <w:tcPr>
            <w:tcW w:w="2039" w:type="dxa"/>
            <w:tcBorders>
              <w:top w:val="nil"/>
              <w:left w:val="nil"/>
              <w:bottom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1660</w:t>
            </w:r>
          </w:p>
        </w:tc>
      </w:tr>
      <w:tr>
        <w:tblPrEx>
          <w:tblLayout w:type="fixed"/>
          <w:tblCellMar>
            <w:top w:w="0" w:type="dxa"/>
            <w:left w:w="108" w:type="dxa"/>
            <w:bottom w:w="0" w:type="dxa"/>
            <w:right w:w="108" w:type="dxa"/>
          </w:tblCellMar>
        </w:tblPrEx>
        <w:trPr>
          <w:cantSplit/>
          <w:trHeight w:val="23" w:hRule="atLeast"/>
          <w:jc w:val="center"/>
        </w:trPr>
        <w:tc>
          <w:tcPr>
            <w:tcW w:w="852" w:type="dxa"/>
            <w:vMerge w:val="continue"/>
            <w:tcBorders>
              <w:left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p>
        </w:tc>
        <w:tc>
          <w:tcPr>
            <w:tcW w:w="999" w:type="dxa"/>
            <w:tcBorders>
              <w:top w:val="nil"/>
              <w:left w:val="nil"/>
              <w:bottom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四等</w:t>
            </w:r>
          </w:p>
        </w:tc>
        <w:tc>
          <w:tcPr>
            <w:tcW w:w="6701" w:type="dxa"/>
            <w:tcBorders>
              <w:top w:val="nil"/>
              <w:left w:val="nil"/>
              <w:bottom w:val="single" w:color="auto" w:sz="4" w:space="0"/>
              <w:right w:val="single" w:color="auto" w:sz="4" w:space="0"/>
            </w:tcBorders>
            <w:vAlign w:val="center"/>
          </w:tcPr>
          <w:p>
            <w:pPr>
              <w:widowControl/>
              <w:spacing w:beforeLines="0" w:afterLines="0" w:line="290" w:lineRule="exact"/>
              <w:jc w:val="both"/>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外墙为水刷石,内墙面及天花抹灰扫白，楼地面铺彩釉地砖，钢（木）门窗，镶板或夹板门。</w:t>
            </w:r>
          </w:p>
        </w:tc>
        <w:tc>
          <w:tcPr>
            <w:tcW w:w="2039" w:type="dxa"/>
            <w:tcBorders>
              <w:top w:val="nil"/>
              <w:left w:val="nil"/>
              <w:bottom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1605</w:t>
            </w:r>
          </w:p>
        </w:tc>
      </w:tr>
      <w:tr>
        <w:tblPrEx>
          <w:tblLayout w:type="fixed"/>
          <w:tblCellMar>
            <w:top w:w="0" w:type="dxa"/>
            <w:left w:w="108" w:type="dxa"/>
            <w:bottom w:w="0" w:type="dxa"/>
            <w:right w:w="108" w:type="dxa"/>
          </w:tblCellMar>
        </w:tblPrEx>
        <w:trPr>
          <w:cantSplit/>
          <w:trHeight w:val="23" w:hRule="atLeast"/>
          <w:jc w:val="center"/>
        </w:trPr>
        <w:tc>
          <w:tcPr>
            <w:tcW w:w="852" w:type="dxa"/>
            <w:vMerge w:val="continue"/>
            <w:tcBorders>
              <w:left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p>
        </w:tc>
        <w:tc>
          <w:tcPr>
            <w:tcW w:w="999" w:type="dxa"/>
            <w:tcBorders>
              <w:top w:val="nil"/>
              <w:left w:val="nil"/>
              <w:bottom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五等</w:t>
            </w:r>
          </w:p>
        </w:tc>
        <w:tc>
          <w:tcPr>
            <w:tcW w:w="6701" w:type="dxa"/>
            <w:tcBorders>
              <w:top w:val="nil"/>
              <w:left w:val="nil"/>
              <w:bottom w:val="single" w:color="auto" w:sz="4" w:space="0"/>
              <w:right w:val="single" w:color="auto" w:sz="4" w:space="0"/>
            </w:tcBorders>
            <w:vAlign w:val="center"/>
          </w:tcPr>
          <w:p>
            <w:pPr>
              <w:widowControl/>
              <w:spacing w:beforeLines="0" w:afterLines="0" w:line="290" w:lineRule="exact"/>
              <w:jc w:val="both"/>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外墙煽灰，楼地面用水磨石，水泥框夹板门窗。</w:t>
            </w:r>
          </w:p>
        </w:tc>
        <w:tc>
          <w:tcPr>
            <w:tcW w:w="2039" w:type="dxa"/>
            <w:tcBorders>
              <w:top w:val="nil"/>
              <w:left w:val="nil"/>
              <w:bottom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1510</w:t>
            </w:r>
          </w:p>
        </w:tc>
      </w:tr>
      <w:tr>
        <w:tblPrEx>
          <w:tblLayout w:type="fixed"/>
          <w:tblCellMar>
            <w:top w:w="0" w:type="dxa"/>
            <w:left w:w="108" w:type="dxa"/>
            <w:bottom w:w="0" w:type="dxa"/>
            <w:right w:w="108" w:type="dxa"/>
          </w:tblCellMar>
        </w:tblPrEx>
        <w:trPr>
          <w:cantSplit/>
          <w:trHeight w:val="23" w:hRule="atLeast"/>
          <w:jc w:val="center"/>
        </w:trPr>
        <w:tc>
          <w:tcPr>
            <w:tcW w:w="852" w:type="dxa"/>
            <w:vMerge w:val="continue"/>
            <w:tcBorders>
              <w:left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p>
        </w:tc>
        <w:tc>
          <w:tcPr>
            <w:tcW w:w="999" w:type="dxa"/>
            <w:tcBorders>
              <w:top w:val="nil"/>
              <w:left w:val="nil"/>
              <w:bottom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六等</w:t>
            </w:r>
          </w:p>
        </w:tc>
        <w:tc>
          <w:tcPr>
            <w:tcW w:w="6701" w:type="dxa"/>
            <w:tcBorders>
              <w:top w:val="nil"/>
              <w:left w:val="nil"/>
              <w:bottom w:val="single" w:color="auto" w:sz="4" w:space="0"/>
              <w:right w:val="single" w:color="auto" w:sz="4" w:space="0"/>
            </w:tcBorders>
            <w:vAlign w:val="center"/>
          </w:tcPr>
          <w:p>
            <w:pPr>
              <w:widowControl/>
              <w:spacing w:beforeLines="0" w:afterLines="0" w:line="290" w:lineRule="exact"/>
              <w:jc w:val="both"/>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内、外墙未装饰（清水墙），楼地面未抹水泥沙浆，门窗未安装。</w:t>
            </w:r>
          </w:p>
        </w:tc>
        <w:tc>
          <w:tcPr>
            <w:tcW w:w="2039" w:type="dxa"/>
            <w:tcBorders>
              <w:top w:val="nil"/>
              <w:left w:val="nil"/>
              <w:bottom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1220</w:t>
            </w:r>
          </w:p>
        </w:tc>
      </w:tr>
      <w:tr>
        <w:tblPrEx>
          <w:tblLayout w:type="fixed"/>
          <w:tblCellMar>
            <w:top w:w="0" w:type="dxa"/>
            <w:left w:w="108" w:type="dxa"/>
            <w:bottom w:w="0" w:type="dxa"/>
            <w:right w:w="108" w:type="dxa"/>
          </w:tblCellMar>
        </w:tblPrEx>
        <w:trPr>
          <w:cantSplit/>
          <w:trHeight w:val="23" w:hRule="atLeast"/>
          <w:jc w:val="center"/>
        </w:trPr>
        <w:tc>
          <w:tcPr>
            <w:tcW w:w="852" w:type="dxa"/>
            <w:vMerge w:val="continue"/>
            <w:tcBorders>
              <w:left w:val="single" w:color="auto" w:sz="4" w:space="0"/>
              <w:bottom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p>
        </w:tc>
        <w:tc>
          <w:tcPr>
            <w:tcW w:w="999" w:type="dxa"/>
            <w:tcBorders>
              <w:top w:val="nil"/>
              <w:left w:val="nil"/>
              <w:bottom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七等</w:t>
            </w:r>
          </w:p>
        </w:tc>
        <w:tc>
          <w:tcPr>
            <w:tcW w:w="6701" w:type="dxa"/>
            <w:tcBorders>
              <w:top w:val="nil"/>
              <w:left w:val="nil"/>
              <w:bottom w:val="single" w:color="auto" w:sz="4" w:space="0"/>
              <w:right w:val="single" w:color="auto" w:sz="4" w:space="0"/>
            </w:tcBorders>
            <w:vAlign w:val="center"/>
          </w:tcPr>
          <w:p>
            <w:pPr>
              <w:widowControl/>
              <w:spacing w:beforeLines="0" w:afterLines="0" w:line="290" w:lineRule="exact"/>
              <w:jc w:val="both"/>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内、外墙残缺，楼地面未抹水泥沙浆，门窗未安装。</w:t>
            </w:r>
          </w:p>
        </w:tc>
        <w:tc>
          <w:tcPr>
            <w:tcW w:w="2039" w:type="dxa"/>
            <w:tcBorders>
              <w:top w:val="nil"/>
              <w:left w:val="nil"/>
              <w:bottom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800</w:t>
            </w:r>
          </w:p>
        </w:tc>
      </w:tr>
      <w:tr>
        <w:tblPrEx>
          <w:tblLayout w:type="fixed"/>
          <w:tblCellMar>
            <w:top w:w="0" w:type="dxa"/>
            <w:left w:w="108" w:type="dxa"/>
            <w:bottom w:w="0" w:type="dxa"/>
            <w:right w:w="108" w:type="dxa"/>
          </w:tblCellMar>
        </w:tblPrEx>
        <w:trPr>
          <w:cantSplit/>
          <w:trHeight w:val="23" w:hRule="atLeast"/>
          <w:jc w:val="center"/>
        </w:trPr>
        <w:tc>
          <w:tcPr>
            <w:tcW w:w="852" w:type="dxa"/>
            <w:vMerge w:val="restart"/>
            <w:tcBorders>
              <w:top w:val="nil"/>
              <w:left w:val="single" w:color="auto" w:sz="4" w:space="0"/>
              <w:right w:val="single" w:color="auto" w:sz="4" w:space="0"/>
            </w:tcBorders>
            <w:vAlign w:val="center"/>
          </w:tcPr>
          <w:p>
            <w:pPr>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砖</w:t>
            </w:r>
            <w:r>
              <w:rPr>
                <w:rFonts w:hint="default" w:ascii="Times New Roman" w:hAnsi="Times New Roman" w:cs="Times New Roman"/>
                <w:color w:val="auto"/>
                <w:kern w:val="0"/>
                <w:sz w:val="28"/>
                <w:szCs w:val="28"/>
              </w:rPr>
              <w:br w:type="textWrapping"/>
            </w:r>
            <w:r>
              <w:rPr>
                <w:rFonts w:hint="default" w:ascii="Times New Roman" w:hAnsi="Times New Roman" w:cs="Times New Roman"/>
                <w:color w:val="auto"/>
                <w:kern w:val="0"/>
                <w:sz w:val="28"/>
                <w:szCs w:val="28"/>
              </w:rPr>
              <w:t>混</w:t>
            </w:r>
          </w:p>
          <w:p>
            <w:pPr>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结</w:t>
            </w:r>
            <w:r>
              <w:rPr>
                <w:rFonts w:hint="default" w:ascii="Times New Roman" w:hAnsi="Times New Roman" w:cs="Times New Roman"/>
                <w:color w:val="auto"/>
                <w:kern w:val="0"/>
                <w:sz w:val="28"/>
                <w:szCs w:val="28"/>
              </w:rPr>
              <w:br w:type="textWrapping"/>
            </w:r>
            <w:r>
              <w:rPr>
                <w:rFonts w:hint="default" w:ascii="Times New Roman" w:hAnsi="Times New Roman" w:cs="Times New Roman"/>
                <w:color w:val="auto"/>
                <w:kern w:val="0"/>
                <w:sz w:val="28"/>
                <w:szCs w:val="28"/>
              </w:rPr>
              <w:t>构</w:t>
            </w:r>
          </w:p>
        </w:tc>
        <w:tc>
          <w:tcPr>
            <w:tcW w:w="999" w:type="dxa"/>
            <w:tcBorders>
              <w:top w:val="nil"/>
              <w:left w:val="nil"/>
              <w:bottom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一等</w:t>
            </w:r>
          </w:p>
        </w:tc>
        <w:tc>
          <w:tcPr>
            <w:tcW w:w="6701" w:type="dxa"/>
            <w:tcBorders>
              <w:top w:val="nil"/>
              <w:left w:val="nil"/>
              <w:bottom w:val="single" w:color="auto" w:sz="4" w:space="0"/>
              <w:right w:val="single" w:color="auto" w:sz="4" w:space="0"/>
            </w:tcBorders>
            <w:vAlign w:val="center"/>
          </w:tcPr>
          <w:p>
            <w:pPr>
              <w:widowControl/>
              <w:spacing w:beforeLines="0" w:afterLines="0" w:line="290" w:lineRule="exact"/>
              <w:jc w:val="both"/>
              <w:rPr>
                <w:rFonts w:hint="default" w:ascii="Times New Roman" w:hAnsi="Times New Roman" w:cs="Times New Roman"/>
                <w:color w:val="auto"/>
                <w:kern w:val="0"/>
                <w:sz w:val="28"/>
                <w:szCs w:val="28"/>
              </w:rPr>
            </w:pPr>
            <w:r>
              <w:rPr>
                <w:rFonts w:hint="default" w:ascii="Times New Roman" w:hAnsi="Times New Roman" w:cs="Times New Roman"/>
                <w:color w:val="auto"/>
                <w:spacing w:val="-5"/>
                <w:kern w:val="0"/>
                <w:sz w:val="28"/>
                <w:szCs w:val="28"/>
              </w:rPr>
              <w:t>外墙贴高级釉面砖或纸皮石，内墙面高档装饰及吊顶天花,楼地面铺石材或木地板,铝合金门窗,镶板或夹板门。</w:t>
            </w:r>
          </w:p>
        </w:tc>
        <w:tc>
          <w:tcPr>
            <w:tcW w:w="2039" w:type="dxa"/>
            <w:tcBorders>
              <w:top w:val="nil"/>
              <w:left w:val="nil"/>
              <w:bottom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2045</w:t>
            </w:r>
          </w:p>
        </w:tc>
      </w:tr>
      <w:tr>
        <w:tblPrEx>
          <w:tblLayout w:type="fixed"/>
          <w:tblCellMar>
            <w:top w:w="0" w:type="dxa"/>
            <w:left w:w="108" w:type="dxa"/>
            <w:bottom w:w="0" w:type="dxa"/>
            <w:right w:w="108" w:type="dxa"/>
          </w:tblCellMar>
        </w:tblPrEx>
        <w:trPr>
          <w:cantSplit/>
          <w:trHeight w:val="23" w:hRule="atLeast"/>
          <w:jc w:val="center"/>
        </w:trPr>
        <w:tc>
          <w:tcPr>
            <w:tcW w:w="852" w:type="dxa"/>
            <w:vMerge w:val="continue"/>
            <w:tcBorders>
              <w:left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p>
        </w:tc>
        <w:tc>
          <w:tcPr>
            <w:tcW w:w="999" w:type="dxa"/>
            <w:tcBorders>
              <w:top w:val="nil"/>
              <w:left w:val="nil"/>
              <w:bottom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二等</w:t>
            </w:r>
          </w:p>
        </w:tc>
        <w:tc>
          <w:tcPr>
            <w:tcW w:w="6701" w:type="dxa"/>
            <w:tcBorders>
              <w:top w:val="nil"/>
              <w:left w:val="nil"/>
              <w:bottom w:val="single" w:color="auto" w:sz="4" w:space="0"/>
              <w:right w:val="single" w:color="auto" w:sz="4" w:space="0"/>
            </w:tcBorders>
            <w:vAlign w:val="center"/>
          </w:tcPr>
          <w:p>
            <w:pPr>
              <w:widowControl/>
              <w:spacing w:beforeLines="0" w:afterLines="0" w:line="290" w:lineRule="exact"/>
              <w:jc w:val="both"/>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外墙贴釉面砖或纸皮石,内墙面及天花抹灰扫白，楼地面铺彩釉地砖，铝合金门窗，镶板或夹板门。</w:t>
            </w:r>
          </w:p>
        </w:tc>
        <w:tc>
          <w:tcPr>
            <w:tcW w:w="2039" w:type="dxa"/>
            <w:tcBorders>
              <w:top w:val="nil"/>
              <w:left w:val="nil"/>
              <w:bottom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1650</w:t>
            </w:r>
          </w:p>
        </w:tc>
      </w:tr>
      <w:tr>
        <w:tblPrEx>
          <w:tblLayout w:type="fixed"/>
          <w:tblCellMar>
            <w:top w:w="0" w:type="dxa"/>
            <w:left w:w="108" w:type="dxa"/>
            <w:bottom w:w="0" w:type="dxa"/>
            <w:right w:w="108" w:type="dxa"/>
          </w:tblCellMar>
        </w:tblPrEx>
        <w:trPr>
          <w:cantSplit/>
          <w:trHeight w:val="23" w:hRule="atLeast"/>
          <w:jc w:val="center"/>
        </w:trPr>
        <w:tc>
          <w:tcPr>
            <w:tcW w:w="852" w:type="dxa"/>
            <w:vMerge w:val="continue"/>
            <w:tcBorders>
              <w:left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p>
        </w:tc>
        <w:tc>
          <w:tcPr>
            <w:tcW w:w="999" w:type="dxa"/>
            <w:tcBorders>
              <w:top w:val="nil"/>
              <w:left w:val="nil"/>
              <w:bottom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三等</w:t>
            </w:r>
          </w:p>
        </w:tc>
        <w:tc>
          <w:tcPr>
            <w:tcW w:w="6701" w:type="dxa"/>
            <w:tcBorders>
              <w:top w:val="nil"/>
              <w:left w:val="nil"/>
              <w:bottom w:val="single" w:color="auto" w:sz="4" w:space="0"/>
              <w:right w:val="single" w:color="auto" w:sz="4" w:space="0"/>
            </w:tcBorders>
            <w:vAlign w:val="center"/>
          </w:tcPr>
          <w:p>
            <w:pPr>
              <w:widowControl/>
              <w:spacing w:beforeLines="0" w:afterLines="0" w:line="290" w:lineRule="exact"/>
              <w:jc w:val="both"/>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外墙贴玻璃马赛克,内墙面及天花抹灰扫白，楼地面铺彩釉地砖，铝合金门窗采用，镶板或夹板门。</w:t>
            </w:r>
          </w:p>
        </w:tc>
        <w:tc>
          <w:tcPr>
            <w:tcW w:w="2039" w:type="dxa"/>
            <w:tcBorders>
              <w:top w:val="nil"/>
              <w:left w:val="nil"/>
              <w:bottom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1585</w:t>
            </w:r>
          </w:p>
        </w:tc>
      </w:tr>
      <w:tr>
        <w:tblPrEx>
          <w:tblLayout w:type="fixed"/>
          <w:tblCellMar>
            <w:top w:w="0" w:type="dxa"/>
            <w:left w:w="108" w:type="dxa"/>
            <w:bottom w:w="0" w:type="dxa"/>
            <w:right w:w="108" w:type="dxa"/>
          </w:tblCellMar>
        </w:tblPrEx>
        <w:trPr>
          <w:cantSplit/>
          <w:trHeight w:val="23" w:hRule="atLeast"/>
          <w:jc w:val="center"/>
        </w:trPr>
        <w:tc>
          <w:tcPr>
            <w:tcW w:w="852" w:type="dxa"/>
            <w:vMerge w:val="continue"/>
            <w:tcBorders>
              <w:left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p>
        </w:tc>
        <w:tc>
          <w:tcPr>
            <w:tcW w:w="999" w:type="dxa"/>
            <w:tcBorders>
              <w:top w:val="nil"/>
              <w:left w:val="nil"/>
              <w:bottom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四等</w:t>
            </w:r>
          </w:p>
        </w:tc>
        <w:tc>
          <w:tcPr>
            <w:tcW w:w="6701" w:type="dxa"/>
            <w:tcBorders>
              <w:top w:val="nil"/>
              <w:left w:val="nil"/>
              <w:bottom w:val="single" w:color="auto" w:sz="4" w:space="0"/>
              <w:right w:val="single" w:color="auto" w:sz="4" w:space="0"/>
            </w:tcBorders>
            <w:vAlign w:val="center"/>
          </w:tcPr>
          <w:p>
            <w:pPr>
              <w:widowControl/>
              <w:spacing w:beforeLines="0" w:afterLines="0" w:line="290" w:lineRule="exact"/>
              <w:jc w:val="both"/>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外墙为水刷石,内墙面及天花抹灰扫白，楼地面铺彩釉地砖，钢（木）门窗，镶板或夹板门。</w:t>
            </w:r>
          </w:p>
        </w:tc>
        <w:tc>
          <w:tcPr>
            <w:tcW w:w="2039" w:type="dxa"/>
            <w:tcBorders>
              <w:top w:val="nil"/>
              <w:left w:val="nil"/>
              <w:bottom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1535</w:t>
            </w:r>
          </w:p>
        </w:tc>
      </w:tr>
      <w:tr>
        <w:tblPrEx>
          <w:tblLayout w:type="fixed"/>
          <w:tblCellMar>
            <w:top w:w="0" w:type="dxa"/>
            <w:left w:w="108" w:type="dxa"/>
            <w:bottom w:w="0" w:type="dxa"/>
            <w:right w:w="108" w:type="dxa"/>
          </w:tblCellMar>
        </w:tblPrEx>
        <w:trPr>
          <w:cantSplit/>
          <w:trHeight w:val="23" w:hRule="atLeast"/>
          <w:jc w:val="center"/>
        </w:trPr>
        <w:tc>
          <w:tcPr>
            <w:tcW w:w="852" w:type="dxa"/>
            <w:vMerge w:val="continue"/>
            <w:tcBorders>
              <w:left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p>
        </w:tc>
        <w:tc>
          <w:tcPr>
            <w:tcW w:w="999" w:type="dxa"/>
            <w:tcBorders>
              <w:top w:val="nil"/>
              <w:left w:val="nil"/>
              <w:bottom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五等</w:t>
            </w:r>
          </w:p>
        </w:tc>
        <w:tc>
          <w:tcPr>
            <w:tcW w:w="6701" w:type="dxa"/>
            <w:tcBorders>
              <w:top w:val="nil"/>
              <w:left w:val="nil"/>
              <w:bottom w:val="single" w:color="auto" w:sz="4" w:space="0"/>
              <w:right w:val="single" w:color="auto" w:sz="4" w:space="0"/>
            </w:tcBorders>
            <w:vAlign w:val="center"/>
          </w:tcPr>
          <w:p>
            <w:pPr>
              <w:widowControl/>
              <w:spacing w:beforeLines="0" w:afterLines="0" w:line="290" w:lineRule="exact"/>
              <w:jc w:val="both"/>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外墙煽灰，楼地面用水磨石，水泥框夹板门窗。</w:t>
            </w:r>
          </w:p>
        </w:tc>
        <w:tc>
          <w:tcPr>
            <w:tcW w:w="2039" w:type="dxa"/>
            <w:tcBorders>
              <w:top w:val="nil"/>
              <w:left w:val="nil"/>
              <w:bottom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1440</w:t>
            </w:r>
          </w:p>
        </w:tc>
      </w:tr>
      <w:tr>
        <w:tblPrEx>
          <w:tblLayout w:type="fixed"/>
          <w:tblCellMar>
            <w:top w:w="0" w:type="dxa"/>
            <w:left w:w="108" w:type="dxa"/>
            <w:bottom w:w="0" w:type="dxa"/>
            <w:right w:w="108" w:type="dxa"/>
          </w:tblCellMar>
        </w:tblPrEx>
        <w:trPr>
          <w:cantSplit/>
          <w:trHeight w:val="23" w:hRule="atLeast"/>
          <w:jc w:val="center"/>
        </w:trPr>
        <w:tc>
          <w:tcPr>
            <w:tcW w:w="852" w:type="dxa"/>
            <w:vMerge w:val="continue"/>
            <w:tcBorders>
              <w:left w:val="single" w:color="auto" w:sz="4" w:space="0"/>
              <w:bottom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p>
        </w:tc>
        <w:tc>
          <w:tcPr>
            <w:tcW w:w="999" w:type="dxa"/>
            <w:tcBorders>
              <w:top w:val="nil"/>
              <w:left w:val="nil"/>
              <w:bottom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六等</w:t>
            </w:r>
          </w:p>
        </w:tc>
        <w:tc>
          <w:tcPr>
            <w:tcW w:w="6701" w:type="dxa"/>
            <w:tcBorders>
              <w:top w:val="nil"/>
              <w:left w:val="nil"/>
              <w:bottom w:val="single" w:color="auto" w:sz="4" w:space="0"/>
              <w:right w:val="single" w:color="auto" w:sz="4" w:space="0"/>
            </w:tcBorders>
            <w:vAlign w:val="center"/>
          </w:tcPr>
          <w:p>
            <w:pPr>
              <w:widowControl/>
              <w:spacing w:beforeLines="0" w:afterLines="0" w:line="290" w:lineRule="exact"/>
              <w:jc w:val="both"/>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内、外墙未装饰（清水墙），楼地面未抹水泥沙浆，门窗未安装。</w:t>
            </w:r>
          </w:p>
        </w:tc>
        <w:tc>
          <w:tcPr>
            <w:tcW w:w="2039" w:type="dxa"/>
            <w:tcBorders>
              <w:top w:val="nil"/>
              <w:left w:val="nil"/>
              <w:bottom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1010</w:t>
            </w:r>
          </w:p>
        </w:tc>
      </w:tr>
      <w:tr>
        <w:tblPrEx>
          <w:tblLayout w:type="fixed"/>
          <w:tblCellMar>
            <w:top w:w="0" w:type="dxa"/>
            <w:left w:w="108" w:type="dxa"/>
            <w:bottom w:w="0" w:type="dxa"/>
            <w:right w:w="108" w:type="dxa"/>
          </w:tblCellMar>
        </w:tblPrEx>
        <w:trPr>
          <w:cantSplit/>
          <w:trHeight w:val="23" w:hRule="atLeast"/>
          <w:jc w:val="center"/>
        </w:trPr>
        <w:tc>
          <w:tcPr>
            <w:tcW w:w="852" w:type="dxa"/>
            <w:vMerge w:val="restart"/>
            <w:tcBorders>
              <w:top w:val="nil"/>
              <w:left w:val="single" w:color="auto" w:sz="4" w:space="0"/>
              <w:bottom w:val="single" w:color="000000" w:sz="4" w:space="0"/>
              <w:right w:val="single" w:color="auto" w:sz="4" w:space="0"/>
            </w:tcBorders>
            <w:vAlign w:val="center"/>
          </w:tcPr>
          <w:p>
            <w:pPr>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砖</w:t>
            </w:r>
            <w:r>
              <w:rPr>
                <w:rFonts w:hint="default" w:ascii="Times New Roman" w:hAnsi="Times New Roman" w:cs="Times New Roman"/>
                <w:color w:val="auto"/>
                <w:kern w:val="0"/>
                <w:sz w:val="28"/>
                <w:szCs w:val="28"/>
              </w:rPr>
              <w:br w:type="textWrapping"/>
            </w:r>
            <w:r>
              <w:rPr>
                <w:rFonts w:hint="default" w:ascii="Times New Roman" w:hAnsi="Times New Roman" w:cs="Times New Roman"/>
                <w:color w:val="auto"/>
                <w:kern w:val="0"/>
                <w:sz w:val="28"/>
                <w:szCs w:val="28"/>
              </w:rPr>
              <w:t>木</w:t>
            </w:r>
            <w:r>
              <w:rPr>
                <w:rFonts w:hint="default" w:ascii="Times New Roman" w:hAnsi="Times New Roman" w:cs="Times New Roman"/>
                <w:color w:val="auto"/>
                <w:kern w:val="0"/>
                <w:sz w:val="28"/>
                <w:szCs w:val="28"/>
              </w:rPr>
              <w:br w:type="textWrapping"/>
            </w:r>
            <w:r>
              <w:rPr>
                <w:rFonts w:hint="default" w:ascii="Times New Roman" w:hAnsi="Times New Roman" w:cs="Times New Roman"/>
                <w:color w:val="auto"/>
                <w:kern w:val="0"/>
                <w:sz w:val="28"/>
                <w:szCs w:val="28"/>
              </w:rPr>
              <w:t>结</w:t>
            </w:r>
            <w:r>
              <w:rPr>
                <w:rFonts w:hint="default" w:ascii="Times New Roman" w:hAnsi="Times New Roman" w:cs="Times New Roman"/>
                <w:color w:val="auto"/>
                <w:kern w:val="0"/>
                <w:sz w:val="28"/>
                <w:szCs w:val="28"/>
              </w:rPr>
              <w:br w:type="textWrapping"/>
            </w:r>
            <w:r>
              <w:rPr>
                <w:rFonts w:hint="default" w:ascii="Times New Roman" w:hAnsi="Times New Roman" w:cs="Times New Roman"/>
                <w:color w:val="auto"/>
                <w:kern w:val="0"/>
                <w:sz w:val="28"/>
                <w:szCs w:val="28"/>
              </w:rPr>
              <w:t>构</w:t>
            </w:r>
          </w:p>
        </w:tc>
        <w:tc>
          <w:tcPr>
            <w:tcW w:w="999" w:type="dxa"/>
            <w:tcBorders>
              <w:top w:val="nil"/>
              <w:left w:val="nil"/>
              <w:bottom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一等</w:t>
            </w:r>
          </w:p>
        </w:tc>
        <w:tc>
          <w:tcPr>
            <w:tcW w:w="6701" w:type="dxa"/>
            <w:tcBorders>
              <w:top w:val="nil"/>
              <w:left w:val="nil"/>
              <w:bottom w:val="single" w:color="auto" w:sz="4" w:space="0"/>
              <w:right w:val="single" w:color="auto" w:sz="4" w:space="0"/>
            </w:tcBorders>
            <w:vAlign w:val="center"/>
          </w:tcPr>
          <w:p>
            <w:pPr>
              <w:widowControl/>
              <w:spacing w:beforeLines="0" w:afterLines="0" w:line="290" w:lineRule="exact"/>
              <w:jc w:val="both"/>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外部装修处理，内部设备完善的庭院式或花园式房屋。</w:t>
            </w:r>
          </w:p>
        </w:tc>
        <w:tc>
          <w:tcPr>
            <w:tcW w:w="2039" w:type="dxa"/>
            <w:tcBorders>
              <w:top w:val="nil"/>
              <w:left w:val="nil"/>
              <w:bottom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1020</w:t>
            </w:r>
          </w:p>
        </w:tc>
      </w:tr>
      <w:tr>
        <w:tblPrEx>
          <w:tblLayout w:type="fixed"/>
          <w:tblCellMar>
            <w:top w:w="0" w:type="dxa"/>
            <w:left w:w="108" w:type="dxa"/>
            <w:bottom w:w="0" w:type="dxa"/>
            <w:right w:w="108" w:type="dxa"/>
          </w:tblCellMar>
        </w:tblPrEx>
        <w:trPr>
          <w:cantSplit/>
          <w:trHeight w:val="23" w:hRule="atLeast"/>
          <w:jc w:val="center"/>
        </w:trPr>
        <w:tc>
          <w:tcPr>
            <w:tcW w:w="852" w:type="dxa"/>
            <w:vMerge w:val="continue"/>
            <w:tcBorders>
              <w:top w:val="nil"/>
              <w:left w:val="single" w:color="auto" w:sz="4" w:space="0"/>
              <w:bottom w:val="single" w:color="000000"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p>
        </w:tc>
        <w:tc>
          <w:tcPr>
            <w:tcW w:w="999" w:type="dxa"/>
            <w:tcBorders>
              <w:top w:val="nil"/>
              <w:left w:val="nil"/>
              <w:bottom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二等</w:t>
            </w:r>
          </w:p>
        </w:tc>
        <w:tc>
          <w:tcPr>
            <w:tcW w:w="6701" w:type="dxa"/>
            <w:tcBorders>
              <w:top w:val="nil"/>
              <w:left w:val="nil"/>
              <w:bottom w:val="single" w:color="auto" w:sz="4" w:space="0"/>
              <w:right w:val="single" w:color="auto" w:sz="4" w:space="0"/>
            </w:tcBorders>
            <w:vAlign w:val="center"/>
          </w:tcPr>
          <w:p>
            <w:pPr>
              <w:widowControl/>
              <w:spacing w:beforeLines="0" w:afterLines="0" w:line="290" w:lineRule="exact"/>
              <w:jc w:val="both"/>
              <w:rPr>
                <w:rFonts w:hint="default" w:ascii="Times New Roman" w:hAnsi="Times New Roman" w:cs="Times New Roman"/>
                <w:color w:val="auto"/>
                <w:kern w:val="0"/>
                <w:sz w:val="28"/>
                <w:szCs w:val="28"/>
              </w:rPr>
            </w:pPr>
            <w:r>
              <w:rPr>
                <w:rFonts w:hint="default" w:ascii="Times New Roman" w:hAnsi="Times New Roman" w:cs="Times New Roman"/>
                <w:color w:val="auto"/>
                <w:spacing w:val="-5"/>
                <w:kern w:val="0"/>
                <w:sz w:val="28"/>
                <w:szCs w:val="28"/>
              </w:rPr>
              <w:t>外部未装修处理，室内有专用设备的普通砖木结构房屋。</w:t>
            </w:r>
          </w:p>
        </w:tc>
        <w:tc>
          <w:tcPr>
            <w:tcW w:w="2039" w:type="dxa"/>
            <w:tcBorders>
              <w:top w:val="nil"/>
              <w:left w:val="nil"/>
              <w:bottom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920</w:t>
            </w:r>
          </w:p>
        </w:tc>
      </w:tr>
      <w:tr>
        <w:tblPrEx>
          <w:tblLayout w:type="fixed"/>
          <w:tblCellMar>
            <w:top w:w="0" w:type="dxa"/>
            <w:left w:w="108" w:type="dxa"/>
            <w:bottom w:w="0" w:type="dxa"/>
            <w:right w:w="108" w:type="dxa"/>
          </w:tblCellMar>
        </w:tblPrEx>
        <w:trPr>
          <w:cantSplit/>
          <w:trHeight w:val="23" w:hRule="atLeast"/>
          <w:jc w:val="center"/>
        </w:trPr>
        <w:tc>
          <w:tcPr>
            <w:tcW w:w="852" w:type="dxa"/>
            <w:vMerge w:val="continue"/>
            <w:tcBorders>
              <w:top w:val="nil"/>
              <w:left w:val="single" w:color="auto" w:sz="4" w:space="0"/>
              <w:bottom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p>
        </w:tc>
        <w:tc>
          <w:tcPr>
            <w:tcW w:w="999" w:type="dxa"/>
            <w:tcBorders>
              <w:top w:val="single" w:color="auto" w:sz="4" w:space="0"/>
              <w:left w:val="nil"/>
              <w:bottom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三等</w:t>
            </w:r>
          </w:p>
        </w:tc>
        <w:tc>
          <w:tcPr>
            <w:tcW w:w="6701" w:type="dxa"/>
            <w:tcBorders>
              <w:top w:val="single" w:color="auto" w:sz="4" w:space="0"/>
              <w:left w:val="nil"/>
              <w:bottom w:val="single" w:color="auto" w:sz="4" w:space="0"/>
              <w:right w:val="single" w:color="auto" w:sz="4" w:space="0"/>
            </w:tcBorders>
            <w:vAlign w:val="center"/>
          </w:tcPr>
          <w:p>
            <w:pPr>
              <w:widowControl/>
              <w:spacing w:beforeLines="0" w:afterLines="0" w:line="290" w:lineRule="exact"/>
              <w:jc w:val="both"/>
              <w:rPr>
                <w:rFonts w:hint="default" w:ascii="Times New Roman" w:hAnsi="Times New Roman" w:cs="Times New Roman"/>
                <w:color w:val="auto"/>
                <w:kern w:val="0"/>
                <w:sz w:val="28"/>
                <w:szCs w:val="28"/>
              </w:rPr>
            </w:pPr>
            <w:r>
              <w:rPr>
                <w:rFonts w:hint="default" w:ascii="Times New Roman" w:hAnsi="Times New Roman" w:cs="Times New Roman"/>
                <w:color w:val="auto"/>
                <w:spacing w:val="-5"/>
                <w:kern w:val="0"/>
                <w:sz w:val="28"/>
                <w:szCs w:val="28"/>
              </w:rPr>
              <w:t>结构简单，材料较差，有室内水电设施；条形基础。</w:t>
            </w:r>
          </w:p>
        </w:tc>
        <w:tc>
          <w:tcPr>
            <w:tcW w:w="2039" w:type="dxa"/>
            <w:tcBorders>
              <w:top w:val="single" w:color="auto" w:sz="4" w:space="0"/>
              <w:left w:val="nil"/>
              <w:bottom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765</w:t>
            </w:r>
          </w:p>
        </w:tc>
      </w:tr>
      <w:tr>
        <w:tblPrEx>
          <w:tblLayout w:type="fixed"/>
          <w:tblCellMar>
            <w:top w:w="0" w:type="dxa"/>
            <w:left w:w="108" w:type="dxa"/>
            <w:bottom w:w="0" w:type="dxa"/>
            <w:right w:w="108" w:type="dxa"/>
          </w:tblCellMar>
        </w:tblPrEx>
        <w:trPr>
          <w:cantSplit/>
          <w:trHeight w:val="23" w:hRule="atLeast"/>
          <w:jc w:val="center"/>
        </w:trPr>
        <w:tc>
          <w:tcPr>
            <w:tcW w:w="852" w:type="dxa"/>
            <w:vMerge w:val="restart"/>
            <w:tcBorders>
              <w:top w:val="single" w:color="auto" w:sz="4" w:space="0"/>
              <w:left w:val="single" w:color="auto" w:sz="4" w:space="0"/>
              <w:bottom w:val="single" w:color="000000" w:sz="4" w:space="0"/>
              <w:right w:val="single" w:color="auto" w:sz="4" w:space="0"/>
            </w:tcBorders>
            <w:vAlign w:val="center"/>
          </w:tcPr>
          <w:p>
            <w:pPr>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简易结构</w:t>
            </w:r>
          </w:p>
        </w:tc>
        <w:tc>
          <w:tcPr>
            <w:tcW w:w="999" w:type="dxa"/>
            <w:tcBorders>
              <w:top w:val="single" w:color="auto" w:sz="4" w:space="0"/>
              <w:left w:val="nil"/>
              <w:bottom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一等</w:t>
            </w:r>
          </w:p>
        </w:tc>
        <w:tc>
          <w:tcPr>
            <w:tcW w:w="6701" w:type="dxa"/>
            <w:tcBorders>
              <w:top w:val="single" w:color="auto" w:sz="4" w:space="0"/>
              <w:left w:val="nil"/>
              <w:bottom w:val="single" w:color="auto" w:sz="4" w:space="0"/>
              <w:right w:val="single" w:color="auto" w:sz="4" w:space="0"/>
            </w:tcBorders>
            <w:vAlign w:val="center"/>
          </w:tcPr>
          <w:p>
            <w:pPr>
              <w:widowControl/>
              <w:spacing w:beforeLines="0" w:afterLines="0" w:line="290" w:lineRule="exact"/>
              <w:jc w:val="both"/>
              <w:rPr>
                <w:rFonts w:hint="default" w:ascii="Times New Roman" w:hAnsi="Times New Roman" w:cs="Times New Roman"/>
                <w:color w:val="auto"/>
                <w:kern w:val="0"/>
                <w:sz w:val="28"/>
                <w:szCs w:val="28"/>
              </w:rPr>
            </w:pPr>
            <w:r>
              <w:rPr>
                <w:rFonts w:hint="default" w:ascii="Times New Roman" w:hAnsi="Times New Roman" w:cs="Times New Roman"/>
                <w:color w:val="auto"/>
                <w:spacing w:val="-8"/>
                <w:kern w:val="0"/>
                <w:sz w:val="28"/>
                <w:szCs w:val="28"/>
              </w:rPr>
              <w:t>结构简单，松皮屋，室内简单水泥地面，有室内水电设施。</w:t>
            </w:r>
          </w:p>
        </w:tc>
        <w:tc>
          <w:tcPr>
            <w:tcW w:w="2039" w:type="dxa"/>
            <w:tcBorders>
              <w:top w:val="single" w:color="auto" w:sz="4" w:space="0"/>
              <w:left w:val="nil"/>
              <w:bottom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600</w:t>
            </w:r>
          </w:p>
        </w:tc>
      </w:tr>
      <w:tr>
        <w:tblPrEx>
          <w:tblLayout w:type="fixed"/>
          <w:tblCellMar>
            <w:top w:w="0" w:type="dxa"/>
            <w:left w:w="108" w:type="dxa"/>
            <w:bottom w:w="0" w:type="dxa"/>
            <w:right w:w="108" w:type="dxa"/>
          </w:tblCellMar>
        </w:tblPrEx>
        <w:trPr>
          <w:cantSplit/>
          <w:trHeight w:val="23" w:hRule="atLeast"/>
          <w:jc w:val="center"/>
        </w:trPr>
        <w:tc>
          <w:tcPr>
            <w:tcW w:w="852" w:type="dxa"/>
            <w:vMerge w:val="continue"/>
            <w:tcBorders>
              <w:top w:val="nil"/>
              <w:left w:val="single" w:color="auto" w:sz="4" w:space="0"/>
              <w:bottom w:val="single" w:color="000000"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p>
        </w:tc>
        <w:tc>
          <w:tcPr>
            <w:tcW w:w="999" w:type="dxa"/>
            <w:tcBorders>
              <w:top w:val="single" w:color="auto" w:sz="4" w:space="0"/>
              <w:left w:val="nil"/>
              <w:bottom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二等</w:t>
            </w:r>
          </w:p>
        </w:tc>
        <w:tc>
          <w:tcPr>
            <w:tcW w:w="6701" w:type="dxa"/>
            <w:tcBorders>
              <w:top w:val="single" w:color="auto" w:sz="4" w:space="0"/>
              <w:left w:val="nil"/>
              <w:bottom w:val="single" w:color="auto" w:sz="4" w:space="0"/>
              <w:right w:val="single" w:color="auto" w:sz="4" w:space="0"/>
            </w:tcBorders>
            <w:vAlign w:val="center"/>
          </w:tcPr>
          <w:p>
            <w:pPr>
              <w:widowControl/>
              <w:spacing w:beforeLines="0" w:afterLines="0" w:line="290" w:lineRule="exact"/>
              <w:jc w:val="both"/>
              <w:rPr>
                <w:rFonts w:hint="default" w:ascii="Times New Roman" w:hAnsi="Times New Roman" w:cs="Times New Roman"/>
                <w:color w:val="auto"/>
                <w:kern w:val="0"/>
                <w:sz w:val="28"/>
                <w:szCs w:val="28"/>
              </w:rPr>
            </w:pPr>
            <w:r>
              <w:rPr>
                <w:rFonts w:hint="default" w:ascii="Times New Roman" w:hAnsi="Times New Roman" w:cs="Times New Roman"/>
                <w:color w:val="auto"/>
                <w:spacing w:val="-8"/>
                <w:kern w:val="0"/>
                <w:sz w:val="28"/>
                <w:szCs w:val="28"/>
              </w:rPr>
              <w:t>结构简单，茅寮屋，室内简单水泥地面，有室内水电设施。</w:t>
            </w:r>
          </w:p>
        </w:tc>
        <w:tc>
          <w:tcPr>
            <w:tcW w:w="2039" w:type="dxa"/>
            <w:tcBorders>
              <w:top w:val="single" w:color="auto" w:sz="4" w:space="0"/>
              <w:left w:val="nil"/>
              <w:bottom w:val="single" w:color="auto" w:sz="4" w:space="0"/>
              <w:right w:val="single" w:color="auto" w:sz="4" w:space="0"/>
            </w:tcBorders>
            <w:vAlign w:val="center"/>
          </w:tcPr>
          <w:p>
            <w:pPr>
              <w:widowControl/>
              <w:spacing w:beforeLines="0" w:afterLines="0" w:line="290" w:lineRule="exact"/>
              <w:jc w:val="center"/>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400</w:t>
            </w:r>
          </w:p>
        </w:tc>
      </w:tr>
    </w:tbl>
    <w:p>
      <w:pPr>
        <w:tabs>
          <w:tab w:val="left" w:pos="350"/>
          <w:tab w:val="left" w:pos="1582"/>
        </w:tabs>
        <w:spacing w:beforeLines="0" w:afterLines="0" w:line="260" w:lineRule="exact"/>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备注：</w:t>
      </w:r>
    </w:p>
    <w:p>
      <w:pPr>
        <w:tabs>
          <w:tab w:val="left" w:pos="350"/>
          <w:tab w:val="left" w:pos="1582"/>
        </w:tabs>
        <w:spacing w:beforeLines="0" w:afterLines="0" w:line="260" w:lineRule="exact"/>
        <w:ind w:firstLine="472" w:firstLineChars="200"/>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①楼房结构从高等级到低等级向下套算，在等级分类标准的小项中有大部分小项以上整体达到标准即可认定为该等级。</w:t>
      </w:r>
    </w:p>
    <w:p>
      <w:pPr>
        <w:tabs>
          <w:tab w:val="left" w:pos="350"/>
          <w:tab w:val="left" w:pos="1582"/>
        </w:tabs>
        <w:spacing w:beforeLines="0" w:afterLines="0" w:line="260" w:lineRule="exact"/>
        <w:ind w:firstLine="472" w:firstLineChars="200"/>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②上述标准为房（檐、层）高2.5-4米范围（含）。房（檐、层）高超过4米的，每增加1米另行按标准补偿10％，房（檐、层）高低于2.5米的，以实际房（檐、层）高÷2.5米×原标准，折算补偿。</w:t>
      </w:r>
    </w:p>
    <w:p>
      <w:pPr>
        <w:tabs>
          <w:tab w:val="left" w:pos="350"/>
          <w:tab w:val="left" w:pos="1582"/>
        </w:tabs>
        <w:spacing w:beforeLines="0" w:afterLines="0" w:line="260" w:lineRule="exact"/>
        <w:ind w:firstLine="472" w:firstLineChars="200"/>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③房屋的全封闭外阳台、有顶盖外楼梯按其房屋补偿标准计算，房屋的未封闭外阳台、无顶盖外楼梯按其房屋补偿标准的50％计算。</w:t>
      </w:r>
    </w:p>
    <w:p>
      <w:pPr>
        <w:tabs>
          <w:tab w:val="left" w:pos="350"/>
          <w:tab w:val="left" w:pos="1582"/>
        </w:tabs>
        <w:spacing w:beforeLines="0" w:afterLines="0" w:line="260" w:lineRule="exact"/>
        <w:ind w:firstLine="472" w:firstLineChars="200"/>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④泥砖与红砖混建的以砖木结构三等套算。</w:t>
      </w:r>
    </w:p>
    <w:p>
      <w:pPr>
        <w:rPr>
          <w:rFonts w:hint="eastAsia" w:ascii="黑体" w:hAnsi="黑体" w:eastAsia="黑体" w:cs="黑体"/>
          <w:color w:val="auto"/>
          <w:sz w:val="32"/>
          <w:szCs w:val="32"/>
        </w:rPr>
      </w:pPr>
      <w:r>
        <w:rPr>
          <w:rFonts w:hint="eastAsia" w:ascii="黑体" w:hAnsi="黑体" w:eastAsia="黑体" w:cs="黑体"/>
          <w:color w:val="auto"/>
          <w:sz w:val="32"/>
          <w:szCs w:val="32"/>
        </w:rPr>
        <w:t>附件2</w:t>
      </w:r>
    </w:p>
    <w:p>
      <w:pPr>
        <w:spacing w:beforeLines="0" w:afterLines="0" w:line="760" w:lineRule="exact"/>
        <w:ind w:firstLine="0" w:firstLineChars="0"/>
        <w:jc w:val="center"/>
        <w:rPr>
          <w:rFonts w:hint="eastAsia" w:ascii="仿宋_GB2312" w:hAnsi="宋体"/>
          <w:b/>
          <w:bCs/>
          <w:color w:val="auto"/>
          <w:szCs w:val="40"/>
        </w:rPr>
      </w:pPr>
      <w:r>
        <w:rPr>
          <w:rFonts w:hint="eastAsia" w:ascii="黑体" w:hAnsi="宋体" w:eastAsia="黑体"/>
          <w:color w:val="auto"/>
          <w:kern w:val="0"/>
          <w:sz w:val="36"/>
          <w:szCs w:val="36"/>
        </w:rPr>
        <w:t>一般地上附着物（除房屋）补偿标准</w:t>
      </w:r>
    </w:p>
    <w:tbl>
      <w:tblPr>
        <w:tblStyle w:val="5"/>
        <w:tblW w:w="10145" w:type="dxa"/>
        <w:jc w:val="center"/>
        <w:tblInd w:w="93"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335"/>
        <w:gridCol w:w="2540"/>
        <w:gridCol w:w="1226"/>
        <w:gridCol w:w="1371"/>
        <w:gridCol w:w="367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tblHeader/>
          <w:jc w:val="center"/>
        </w:trPr>
        <w:tc>
          <w:tcPr>
            <w:tcW w:w="1335" w:type="dxa"/>
            <w:tcMar>
              <w:left w:w="28" w:type="dxa"/>
              <w:right w:w="28" w:type="dxa"/>
            </w:tcMar>
            <w:vAlign w:val="center"/>
          </w:tcPr>
          <w:p>
            <w:pPr>
              <w:widowControl/>
              <w:spacing w:beforeLines="0" w:afterLines="0" w:line="280" w:lineRule="exact"/>
              <w:jc w:val="center"/>
              <w:rPr>
                <w:rFonts w:hint="eastAsia" w:ascii="黑体" w:hAnsi="黑体" w:eastAsia="黑体" w:cs="黑体"/>
                <w:bCs/>
                <w:color w:val="auto"/>
                <w:kern w:val="0"/>
                <w:sz w:val="24"/>
                <w:szCs w:val="24"/>
              </w:rPr>
            </w:pPr>
            <w:r>
              <w:rPr>
                <w:rFonts w:hint="eastAsia" w:ascii="黑体" w:hAnsi="黑体" w:eastAsia="黑体" w:cs="黑体"/>
                <w:bCs/>
                <w:color w:val="auto"/>
                <w:kern w:val="0"/>
                <w:sz w:val="24"/>
                <w:szCs w:val="24"/>
              </w:rPr>
              <w:t>名称</w:t>
            </w:r>
          </w:p>
        </w:tc>
        <w:tc>
          <w:tcPr>
            <w:tcW w:w="2540" w:type="dxa"/>
            <w:tcMar>
              <w:left w:w="28" w:type="dxa"/>
              <w:right w:w="28" w:type="dxa"/>
            </w:tcMar>
            <w:vAlign w:val="center"/>
          </w:tcPr>
          <w:p>
            <w:pPr>
              <w:widowControl/>
              <w:spacing w:beforeLines="0" w:afterLines="0" w:line="280" w:lineRule="exact"/>
              <w:jc w:val="center"/>
              <w:rPr>
                <w:rFonts w:hint="eastAsia" w:ascii="黑体" w:hAnsi="黑体" w:eastAsia="黑体" w:cs="黑体"/>
                <w:bCs/>
                <w:color w:val="auto"/>
                <w:kern w:val="0"/>
                <w:sz w:val="24"/>
                <w:szCs w:val="24"/>
              </w:rPr>
            </w:pPr>
            <w:r>
              <w:rPr>
                <w:rFonts w:hint="eastAsia" w:ascii="黑体" w:hAnsi="黑体" w:eastAsia="黑体" w:cs="黑体"/>
                <w:bCs/>
                <w:color w:val="auto"/>
                <w:kern w:val="0"/>
                <w:sz w:val="24"/>
                <w:szCs w:val="24"/>
              </w:rPr>
              <w:t>类别</w:t>
            </w:r>
          </w:p>
        </w:tc>
        <w:tc>
          <w:tcPr>
            <w:tcW w:w="1226" w:type="dxa"/>
            <w:tcMar>
              <w:left w:w="28" w:type="dxa"/>
              <w:right w:w="28" w:type="dxa"/>
            </w:tcMar>
            <w:vAlign w:val="center"/>
          </w:tcPr>
          <w:p>
            <w:pPr>
              <w:widowControl/>
              <w:spacing w:beforeLines="0" w:afterLines="0" w:line="280" w:lineRule="exact"/>
              <w:jc w:val="center"/>
              <w:rPr>
                <w:rFonts w:hint="eastAsia" w:ascii="黑体" w:hAnsi="黑体" w:eastAsia="黑体" w:cs="黑体"/>
                <w:bCs/>
                <w:color w:val="auto"/>
                <w:kern w:val="0"/>
                <w:sz w:val="24"/>
                <w:szCs w:val="24"/>
              </w:rPr>
            </w:pPr>
            <w:r>
              <w:rPr>
                <w:rFonts w:hint="eastAsia" w:ascii="黑体" w:hAnsi="黑体" w:eastAsia="黑体" w:cs="黑体"/>
                <w:bCs/>
                <w:color w:val="auto"/>
                <w:kern w:val="0"/>
                <w:sz w:val="24"/>
                <w:szCs w:val="24"/>
              </w:rPr>
              <w:t>单位</w:t>
            </w:r>
          </w:p>
        </w:tc>
        <w:tc>
          <w:tcPr>
            <w:tcW w:w="1371" w:type="dxa"/>
            <w:tcMar>
              <w:left w:w="28" w:type="dxa"/>
              <w:right w:w="28" w:type="dxa"/>
            </w:tcMar>
            <w:vAlign w:val="center"/>
          </w:tcPr>
          <w:p>
            <w:pPr>
              <w:widowControl/>
              <w:spacing w:beforeLines="0" w:afterLines="0" w:line="280" w:lineRule="exact"/>
              <w:jc w:val="center"/>
              <w:rPr>
                <w:rFonts w:hint="eastAsia" w:ascii="黑体" w:hAnsi="黑体" w:eastAsia="黑体" w:cs="黑体"/>
                <w:bCs/>
                <w:color w:val="auto"/>
                <w:kern w:val="0"/>
                <w:sz w:val="24"/>
                <w:szCs w:val="24"/>
              </w:rPr>
            </w:pPr>
            <w:r>
              <w:rPr>
                <w:rFonts w:hint="eastAsia" w:ascii="黑体" w:hAnsi="黑体" w:eastAsia="黑体" w:cs="黑体"/>
                <w:bCs/>
                <w:color w:val="auto"/>
                <w:kern w:val="0"/>
                <w:sz w:val="24"/>
                <w:szCs w:val="24"/>
              </w:rPr>
              <w:t>单价（元）</w:t>
            </w:r>
          </w:p>
        </w:tc>
        <w:tc>
          <w:tcPr>
            <w:tcW w:w="3673" w:type="dxa"/>
            <w:tcMar>
              <w:left w:w="28" w:type="dxa"/>
              <w:right w:w="28" w:type="dxa"/>
            </w:tcMar>
            <w:vAlign w:val="center"/>
          </w:tcPr>
          <w:p>
            <w:pPr>
              <w:widowControl/>
              <w:spacing w:beforeLines="0" w:afterLines="0" w:line="280" w:lineRule="exact"/>
              <w:jc w:val="center"/>
              <w:rPr>
                <w:rFonts w:hint="eastAsia" w:ascii="黑体" w:hAnsi="黑体" w:eastAsia="黑体" w:cs="黑体"/>
                <w:bCs/>
                <w:color w:val="auto"/>
                <w:kern w:val="0"/>
                <w:sz w:val="24"/>
                <w:szCs w:val="24"/>
              </w:rPr>
            </w:pPr>
            <w:r>
              <w:rPr>
                <w:rFonts w:hint="eastAsia" w:ascii="黑体" w:hAnsi="黑体" w:eastAsia="黑体" w:cs="黑体"/>
                <w:bCs/>
                <w:color w:val="auto"/>
                <w:kern w:val="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3875" w:type="dxa"/>
            <w:gridSpan w:val="2"/>
            <w:vMerge w:val="restart"/>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自搭阁楼</w:t>
            </w:r>
          </w:p>
        </w:tc>
        <w:tc>
          <w:tcPr>
            <w:tcW w:w="1226" w:type="dxa"/>
            <w:vMerge w:val="restart"/>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平方米</w:t>
            </w:r>
          </w:p>
        </w:tc>
        <w:tc>
          <w:tcPr>
            <w:tcW w:w="1371"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150</w:t>
            </w:r>
          </w:p>
        </w:tc>
        <w:tc>
          <w:tcPr>
            <w:tcW w:w="3673"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3875" w:type="dxa"/>
            <w:gridSpan w:val="2"/>
            <w:vMerge w:val="continue"/>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p>
        </w:tc>
        <w:tc>
          <w:tcPr>
            <w:tcW w:w="1226" w:type="dxa"/>
            <w:vMerge w:val="continue"/>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p>
        </w:tc>
        <w:tc>
          <w:tcPr>
            <w:tcW w:w="1371"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300</w:t>
            </w:r>
          </w:p>
        </w:tc>
        <w:tc>
          <w:tcPr>
            <w:tcW w:w="3673" w:type="dxa"/>
            <w:tcMar>
              <w:left w:w="28" w:type="dxa"/>
              <w:right w:w="28" w:type="dxa"/>
            </w:tcMar>
            <w:vAlign w:val="center"/>
          </w:tcPr>
          <w:p>
            <w:pPr>
              <w:widowControl/>
              <w:spacing w:beforeLines="0" w:afterLines="0" w:line="280" w:lineRule="exact"/>
              <w:jc w:val="both"/>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住人插层，下净高2.0米，上净高1.5米以上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1335" w:type="dxa"/>
            <w:vMerge w:val="restart"/>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围墙</w:t>
            </w:r>
          </w:p>
        </w:tc>
        <w:tc>
          <w:tcPr>
            <w:tcW w:w="2540"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简易围墙</w:t>
            </w:r>
          </w:p>
        </w:tc>
        <w:tc>
          <w:tcPr>
            <w:tcW w:w="1226"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平方米</w:t>
            </w:r>
          </w:p>
        </w:tc>
        <w:tc>
          <w:tcPr>
            <w:tcW w:w="1371"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180</w:t>
            </w:r>
          </w:p>
        </w:tc>
        <w:tc>
          <w:tcPr>
            <w:tcW w:w="3673" w:type="dxa"/>
            <w:tcMar>
              <w:left w:w="28" w:type="dxa"/>
              <w:right w:w="28" w:type="dxa"/>
            </w:tcMar>
            <w:vAlign w:val="center"/>
          </w:tcPr>
          <w:p>
            <w:pPr>
              <w:widowControl/>
              <w:spacing w:beforeLines="0" w:afterLines="0" w:line="280" w:lineRule="exact"/>
              <w:jc w:val="both"/>
              <w:rPr>
                <w:rFonts w:hint="default" w:ascii="Times New Roman" w:hAnsi="Times New Roman" w:cs="Times New Roman"/>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1335" w:type="dxa"/>
            <w:vMerge w:val="continue"/>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p>
        </w:tc>
        <w:tc>
          <w:tcPr>
            <w:tcW w:w="2540"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实体围墙</w:t>
            </w:r>
          </w:p>
        </w:tc>
        <w:tc>
          <w:tcPr>
            <w:tcW w:w="1226"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平方米</w:t>
            </w:r>
          </w:p>
        </w:tc>
        <w:tc>
          <w:tcPr>
            <w:tcW w:w="1371"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280</w:t>
            </w:r>
          </w:p>
        </w:tc>
        <w:tc>
          <w:tcPr>
            <w:tcW w:w="3673" w:type="dxa"/>
            <w:tcMar>
              <w:left w:w="28" w:type="dxa"/>
              <w:right w:w="28" w:type="dxa"/>
            </w:tcMar>
            <w:vAlign w:val="center"/>
          </w:tcPr>
          <w:p>
            <w:pPr>
              <w:widowControl/>
              <w:spacing w:beforeLines="0" w:afterLines="0" w:line="280" w:lineRule="exact"/>
              <w:jc w:val="both"/>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有砖有柱有基础的围墙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1335" w:type="dxa"/>
            <w:vMerge w:val="continue"/>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p>
        </w:tc>
        <w:tc>
          <w:tcPr>
            <w:tcW w:w="2540"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花岗岩钢枝</w:t>
            </w:r>
          </w:p>
        </w:tc>
        <w:tc>
          <w:tcPr>
            <w:tcW w:w="1226"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平方米</w:t>
            </w:r>
          </w:p>
        </w:tc>
        <w:tc>
          <w:tcPr>
            <w:tcW w:w="1371"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450</w:t>
            </w:r>
          </w:p>
        </w:tc>
        <w:tc>
          <w:tcPr>
            <w:tcW w:w="3673" w:type="dxa"/>
            <w:tcMar>
              <w:left w:w="28" w:type="dxa"/>
              <w:right w:w="28" w:type="dxa"/>
            </w:tcMar>
            <w:vAlign w:val="center"/>
          </w:tcPr>
          <w:p>
            <w:pPr>
              <w:widowControl/>
              <w:spacing w:beforeLines="0" w:afterLines="0" w:line="280" w:lineRule="exact"/>
              <w:jc w:val="both"/>
              <w:rPr>
                <w:rFonts w:hint="default" w:ascii="Times New Roman" w:hAnsi="Times New Roman" w:cs="Times New Roman"/>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3875" w:type="dxa"/>
            <w:gridSpan w:val="2"/>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独立的农用粪池</w:t>
            </w:r>
          </w:p>
        </w:tc>
        <w:tc>
          <w:tcPr>
            <w:tcW w:w="1226"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平方米</w:t>
            </w:r>
          </w:p>
        </w:tc>
        <w:tc>
          <w:tcPr>
            <w:tcW w:w="1371"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180</w:t>
            </w:r>
          </w:p>
        </w:tc>
        <w:tc>
          <w:tcPr>
            <w:tcW w:w="3673" w:type="dxa"/>
            <w:tcMar>
              <w:left w:w="28" w:type="dxa"/>
              <w:right w:w="28" w:type="dxa"/>
            </w:tcMar>
            <w:vAlign w:val="center"/>
          </w:tcPr>
          <w:p>
            <w:pPr>
              <w:widowControl/>
              <w:spacing w:beforeLines="0" w:afterLines="0" w:line="280" w:lineRule="exact"/>
              <w:jc w:val="both"/>
              <w:rPr>
                <w:rFonts w:hint="default" w:ascii="Times New Roman" w:hAnsi="Times New Roman" w:cs="Times New Roman"/>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3875" w:type="dxa"/>
            <w:gridSpan w:val="2"/>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独立村民房屋化粪池</w:t>
            </w:r>
          </w:p>
        </w:tc>
        <w:tc>
          <w:tcPr>
            <w:tcW w:w="1226"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平方米</w:t>
            </w:r>
          </w:p>
        </w:tc>
        <w:tc>
          <w:tcPr>
            <w:tcW w:w="1371"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250</w:t>
            </w:r>
          </w:p>
        </w:tc>
        <w:tc>
          <w:tcPr>
            <w:tcW w:w="3673" w:type="dxa"/>
            <w:tcMar>
              <w:left w:w="28" w:type="dxa"/>
              <w:right w:w="28" w:type="dxa"/>
            </w:tcMar>
            <w:vAlign w:val="center"/>
          </w:tcPr>
          <w:p>
            <w:pPr>
              <w:widowControl/>
              <w:spacing w:beforeLines="0" w:afterLines="0" w:line="280" w:lineRule="exact"/>
              <w:jc w:val="both"/>
              <w:rPr>
                <w:rFonts w:hint="default" w:ascii="Times New Roman" w:hAnsi="Times New Roman" w:cs="Times New Roman"/>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1335" w:type="dxa"/>
            <w:vMerge w:val="restart"/>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挡土（可视立面面积）</w:t>
            </w:r>
          </w:p>
        </w:tc>
        <w:tc>
          <w:tcPr>
            <w:tcW w:w="2540"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砖挡土墙</w:t>
            </w:r>
          </w:p>
        </w:tc>
        <w:tc>
          <w:tcPr>
            <w:tcW w:w="1226"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平方米</w:t>
            </w:r>
          </w:p>
        </w:tc>
        <w:tc>
          <w:tcPr>
            <w:tcW w:w="1371"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360</w:t>
            </w:r>
          </w:p>
        </w:tc>
        <w:tc>
          <w:tcPr>
            <w:tcW w:w="3673" w:type="dxa"/>
            <w:tcMar>
              <w:left w:w="28" w:type="dxa"/>
              <w:right w:w="28" w:type="dxa"/>
            </w:tcMar>
            <w:vAlign w:val="center"/>
          </w:tcPr>
          <w:p>
            <w:pPr>
              <w:widowControl/>
              <w:spacing w:beforeLines="0" w:afterLines="0" w:line="280" w:lineRule="exact"/>
              <w:jc w:val="both"/>
              <w:rPr>
                <w:rFonts w:hint="default" w:ascii="Times New Roman" w:hAnsi="Times New Roman" w:cs="Times New Roman"/>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1335" w:type="dxa"/>
            <w:vMerge w:val="continue"/>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p>
        </w:tc>
        <w:tc>
          <w:tcPr>
            <w:tcW w:w="2540"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毛石挡土墙</w:t>
            </w:r>
          </w:p>
        </w:tc>
        <w:tc>
          <w:tcPr>
            <w:tcW w:w="1226"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平方米</w:t>
            </w:r>
          </w:p>
        </w:tc>
        <w:tc>
          <w:tcPr>
            <w:tcW w:w="1371"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560</w:t>
            </w:r>
          </w:p>
        </w:tc>
        <w:tc>
          <w:tcPr>
            <w:tcW w:w="3673" w:type="dxa"/>
            <w:tcMar>
              <w:left w:w="28" w:type="dxa"/>
              <w:right w:w="28" w:type="dxa"/>
            </w:tcMar>
            <w:vAlign w:val="center"/>
          </w:tcPr>
          <w:p>
            <w:pPr>
              <w:widowControl/>
              <w:spacing w:beforeLines="0" w:afterLines="0" w:line="280" w:lineRule="exact"/>
              <w:jc w:val="both"/>
              <w:rPr>
                <w:rFonts w:hint="default" w:ascii="Times New Roman" w:hAnsi="Times New Roman" w:cs="Times New Roman"/>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1335" w:type="dxa"/>
            <w:vMerge w:val="continue"/>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p>
        </w:tc>
        <w:tc>
          <w:tcPr>
            <w:tcW w:w="2540"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钢筋混泥土挡土墙</w:t>
            </w:r>
          </w:p>
        </w:tc>
        <w:tc>
          <w:tcPr>
            <w:tcW w:w="1226"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平方米</w:t>
            </w:r>
          </w:p>
        </w:tc>
        <w:tc>
          <w:tcPr>
            <w:tcW w:w="1371"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800</w:t>
            </w:r>
          </w:p>
        </w:tc>
        <w:tc>
          <w:tcPr>
            <w:tcW w:w="3673" w:type="dxa"/>
            <w:tcMar>
              <w:left w:w="28" w:type="dxa"/>
              <w:right w:w="28" w:type="dxa"/>
            </w:tcMar>
            <w:vAlign w:val="center"/>
          </w:tcPr>
          <w:p>
            <w:pPr>
              <w:widowControl/>
              <w:spacing w:beforeLines="0" w:afterLines="0" w:line="280" w:lineRule="exact"/>
              <w:jc w:val="both"/>
              <w:rPr>
                <w:rFonts w:hint="default" w:ascii="Times New Roman" w:hAnsi="Times New Roman" w:cs="Times New Roman"/>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1335" w:type="dxa"/>
            <w:vMerge w:val="restart"/>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井</w:t>
            </w:r>
          </w:p>
        </w:tc>
        <w:tc>
          <w:tcPr>
            <w:tcW w:w="2540"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手压井</w:t>
            </w:r>
          </w:p>
        </w:tc>
        <w:tc>
          <w:tcPr>
            <w:tcW w:w="1226"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口</w:t>
            </w:r>
          </w:p>
        </w:tc>
        <w:tc>
          <w:tcPr>
            <w:tcW w:w="1371"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3000</w:t>
            </w:r>
          </w:p>
        </w:tc>
        <w:tc>
          <w:tcPr>
            <w:tcW w:w="3673" w:type="dxa"/>
            <w:tcMar>
              <w:left w:w="28" w:type="dxa"/>
              <w:right w:w="28" w:type="dxa"/>
            </w:tcMar>
            <w:vAlign w:val="center"/>
          </w:tcPr>
          <w:p>
            <w:pPr>
              <w:widowControl/>
              <w:spacing w:beforeLines="0" w:afterLines="0" w:line="280" w:lineRule="exact"/>
              <w:jc w:val="both"/>
              <w:rPr>
                <w:rFonts w:hint="default" w:ascii="Times New Roman" w:hAnsi="Times New Roman" w:cs="Times New Roman"/>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1335" w:type="dxa"/>
            <w:vMerge w:val="continue"/>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p>
        </w:tc>
        <w:tc>
          <w:tcPr>
            <w:tcW w:w="2540"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水井</w:t>
            </w:r>
          </w:p>
        </w:tc>
        <w:tc>
          <w:tcPr>
            <w:tcW w:w="1226"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口</w:t>
            </w:r>
          </w:p>
        </w:tc>
        <w:tc>
          <w:tcPr>
            <w:tcW w:w="1371"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5000</w:t>
            </w:r>
          </w:p>
        </w:tc>
        <w:tc>
          <w:tcPr>
            <w:tcW w:w="3673" w:type="dxa"/>
            <w:tcMar>
              <w:left w:w="28" w:type="dxa"/>
              <w:right w:w="28" w:type="dxa"/>
            </w:tcMar>
            <w:vAlign w:val="center"/>
          </w:tcPr>
          <w:p>
            <w:pPr>
              <w:widowControl/>
              <w:spacing w:beforeLines="0" w:afterLines="0" w:line="280" w:lineRule="exact"/>
              <w:jc w:val="both"/>
              <w:rPr>
                <w:rFonts w:hint="default" w:ascii="Times New Roman" w:hAnsi="Times New Roman" w:cs="Times New Roman"/>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1335" w:type="dxa"/>
            <w:vMerge w:val="continue"/>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p>
        </w:tc>
        <w:tc>
          <w:tcPr>
            <w:tcW w:w="2540"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机井</w:t>
            </w:r>
          </w:p>
        </w:tc>
        <w:tc>
          <w:tcPr>
            <w:tcW w:w="1226"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口</w:t>
            </w:r>
          </w:p>
        </w:tc>
        <w:tc>
          <w:tcPr>
            <w:tcW w:w="1371"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10000</w:t>
            </w:r>
          </w:p>
        </w:tc>
        <w:tc>
          <w:tcPr>
            <w:tcW w:w="3673" w:type="dxa"/>
            <w:tcMar>
              <w:left w:w="28" w:type="dxa"/>
              <w:right w:w="28" w:type="dxa"/>
            </w:tcMar>
            <w:vAlign w:val="center"/>
          </w:tcPr>
          <w:p>
            <w:pPr>
              <w:widowControl/>
              <w:spacing w:beforeLines="0" w:afterLines="0" w:line="280" w:lineRule="exact"/>
              <w:jc w:val="both"/>
              <w:rPr>
                <w:rFonts w:hint="default" w:ascii="Times New Roman" w:hAnsi="Times New Roman" w:cs="Times New Roman"/>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3875" w:type="dxa"/>
            <w:gridSpan w:val="2"/>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骨坛</w:t>
            </w:r>
          </w:p>
        </w:tc>
        <w:tc>
          <w:tcPr>
            <w:tcW w:w="1226"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具</w:t>
            </w:r>
          </w:p>
        </w:tc>
        <w:tc>
          <w:tcPr>
            <w:tcW w:w="1371"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1000</w:t>
            </w:r>
          </w:p>
        </w:tc>
        <w:tc>
          <w:tcPr>
            <w:tcW w:w="3673" w:type="dxa"/>
            <w:vMerge w:val="restart"/>
            <w:tcMar>
              <w:left w:w="28" w:type="dxa"/>
              <w:right w:w="28" w:type="dxa"/>
            </w:tcMar>
            <w:vAlign w:val="center"/>
          </w:tcPr>
          <w:p>
            <w:pPr>
              <w:widowControl/>
              <w:spacing w:beforeLines="0" w:afterLines="0" w:line="280" w:lineRule="exact"/>
              <w:jc w:val="both"/>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如与市殡葬公司收费标准不一致，参照市殡葬公司收费标准执行。</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1335" w:type="dxa"/>
            <w:vMerge w:val="restart"/>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坟墓</w:t>
            </w:r>
          </w:p>
        </w:tc>
        <w:tc>
          <w:tcPr>
            <w:tcW w:w="2540"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土坟</w:t>
            </w:r>
          </w:p>
        </w:tc>
        <w:tc>
          <w:tcPr>
            <w:tcW w:w="1226"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穴</w:t>
            </w:r>
          </w:p>
        </w:tc>
        <w:tc>
          <w:tcPr>
            <w:tcW w:w="1371"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2500</w:t>
            </w:r>
          </w:p>
        </w:tc>
        <w:tc>
          <w:tcPr>
            <w:tcW w:w="3673" w:type="dxa"/>
            <w:vMerge w:val="continue"/>
            <w:tcMar>
              <w:left w:w="28" w:type="dxa"/>
              <w:right w:w="28" w:type="dxa"/>
            </w:tcMar>
            <w:vAlign w:val="center"/>
          </w:tcPr>
          <w:p>
            <w:pPr>
              <w:widowControl/>
              <w:spacing w:beforeLines="0" w:afterLines="0" w:line="280" w:lineRule="exact"/>
              <w:jc w:val="both"/>
              <w:rPr>
                <w:rFonts w:hint="default" w:ascii="Times New Roman" w:hAnsi="Times New Roman" w:cs="Times New Roman"/>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1335" w:type="dxa"/>
            <w:vMerge w:val="continue"/>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p>
        </w:tc>
        <w:tc>
          <w:tcPr>
            <w:tcW w:w="2540" w:type="dxa"/>
            <w:tcBorders>
              <w:bottom w:val="single" w:color="auto" w:sz="4" w:space="0"/>
            </w:tcBorders>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灰砂结构</w:t>
            </w:r>
          </w:p>
        </w:tc>
        <w:tc>
          <w:tcPr>
            <w:tcW w:w="1226" w:type="dxa"/>
            <w:tcBorders>
              <w:bottom w:val="single" w:color="auto" w:sz="4" w:space="0"/>
            </w:tcBorders>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穴</w:t>
            </w:r>
          </w:p>
        </w:tc>
        <w:tc>
          <w:tcPr>
            <w:tcW w:w="1371" w:type="dxa"/>
            <w:tcBorders>
              <w:bottom w:val="single" w:color="auto" w:sz="4" w:space="0"/>
            </w:tcBorders>
            <w:tcMar>
              <w:left w:w="28" w:type="dxa"/>
              <w:right w:w="28" w:type="dxa"/>
            </w:tcMar>
            <w:vAlign w:val="center"/>
          </w:tcPr>
          <w:p>
            <w:pPr>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3000</w:t>
            </w:r>
          </w:p>
        </w:tc>
        <w:tc>
          <w:tcPr>
            <w:tcW w:w="3673" w:type="dxa"/>
            <w:vMerge w:val="continue"/>
            <w:tcMar>
              <w:left w:w="28" w:type="dxa"/>
              <w:right w:w="28" w:type="dxa"/>
            </w:tcMar>
            <w:vAlign w:val="center"/>
          </w:tcPr>
          <w:p>
            <w:pPr>
              <w:widowControl/>
              <w:spacing w:beforeLines="0" w:afterLines="0" w:line="280" w:lineRule="exact"/>
              <w:jc w:val="both"/>
              <w:rPr>
                <w:rFonts w:hint="default" w:ascii="Times New Roman" w:hAnsi="Times New Roman" w:cs="Times New Roman"/>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1335" w:type="dxa"/>
            <w:vMerge w:val="continue"/>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p>
        </w:tc>
        <w:tc>
          <w:tcPr>
            <w:tcW w:w="2540" w:type="dxa"/>
            <w:tcBorders>
              <w:top w:val="single" w:color="auto" w:sz="4" w:space="0"/>
            </w:tcBorders>
            <w:tcMar>
              <w:left w:w="28" w:type="dxa"/>
              <w:right w:w="28" w:type="dxa"/>
            </w:tcMar>
            <w:vAlign w:val="center"/>
          </w:tcPr>
          <w:p>
            <w:pPr>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砖砌结构</w:t>
            </w:r>
          </w:p>
        </w:tc>
        <w:tc>
          <w:tcPr>
            <w:tcW w:w="1226" w:type="dxa"/>
            <w:tcBorders>
              <w:top w:val="single" w:color="auto" w:sz="4" w:space="0"/>
            </w:tcBorders>
            <w:tcMar>
              <w:left w:w="28" w:type="dxa"/>
              <w:right w:w="28" w:type="dxa"/>
            </w:tcMar>
            <w:vAlign w:val="center"/>
          </w:tcPr>
          <w:p>
            <w:pPr>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穴</w:t>
            </w:r>
          </w:p>
        </w:tc>
        <w:tc>
          <w:tcPr>
            <w:tcW w:w="1371" w:type="dxa"/>
            <w:tcBorders>
              <w:top w:val="single" w:color="auto" w:sz="4" w:space="0"/>
            </w:tcBorders>
            <w:tcMar>
              <w:left w:w="28" w:type="dxa"/>
              <w:right w:w="28" w:type="dxa"/>
            </w:tcMar>
            <w:vAlign w:val="center"/>
          </w:tcPr>
          <w:p>
            <w:pPr>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5000</w:t>
            </w:r>
          </w:p>
        </w:tc>
        <w:tc>
          <w:tcPr>
            <w:tcW w:w="3673" w:type="dxa"/>
            <w:vMerge w:val="continue"/>
            <w:tcMar>
              <w:left w:w="28" w:type="dxa"/>
              <w:right w:w="28" w:type="dxa"/>
            </w:tcMar>
            <w:vAlign w:val="center"/>
          </w:tcPr>
          <w:p>
            <w:pPr>
              <w:widowControl/>
              <w:spacing w:beforeLines="0" w:afterLines="0" w:line="280" w:lineRule="exact"/>
              <w:jc w:val="both"/>
              <w:rPr>
                <w:rFonts w:hint="default" w:ascii="Times New Roman" w:hAnsi="Times New Roman" w:cs="Times New Roman"/>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1335" w:type="dxa"/>
            <w:vMerge w:val="restart"/>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水池</w:t>
            </w:r>
          </w:p>
        </w:tc>
        <w:tc>
          <w:tcPr>
            <w:tcW w:w="2540"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砖砌水池</w:t>
            </w:r>
          </w:p>
        </w:tc>
        <w:tc>
          <w:tcPr>
            <w:tcW w:w="1226"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立方米</w:t>
            </w:r>
          </w:p>
        </w:tc>
        <w:tc>
          <w:tcPr>
            <w:tcW w:w="1371"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120</w:t>
            </w:r>
          </w:p>
        </w:tc>
        <w:tc>
          <w:tcPr>
            <w:tcW w:w="3673" w:type="dxa"/>
            <w:tcMar>
              <w:left w:w="28" w:type="dxa"/>
              <w:right w:w="28" w:type="dxa"/>
            </w:tcMar>
            <w:vAlign w:val="center"/>
          </w:tcPr>
          <w:p>
            <w:pPr>
              <w:widowControl/>
              <w:spacing w:beforeLines="0" w:afterLines="0" w:line="280" w:lineRule="exact"/>
              <w:jc w:val="both"/>
              <w:rPr>
                <w:rFonts w:hint="default" w:ascii="Times New Roman" w:hAnsi="Times New Roman" w:cs="Times New Roman"/>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1335" w:type="dxa"/>
            <w:vMerge w:val="continue"/>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p>
        </w:tc>
        <w:tc>
          <w:tcPr>
            <w:tcW w:w="2540"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砼水池</w:t>
            </w:r>
          </w:p>
        </w:tc>
        <w:tc>
          <w:tcPr>
            <w:tcW w:w="1226"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立方米</w:t>
            </w:r>
          </w:p>
        </w:tc>
        <w:tc>
          <w:tcPr>
            <w:tcW w:w="1371"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180</w:t>
            </w:r>
          </w:p>
        </w:tc>
        <w:tc>
          <w:tcPr>
            <w:tcW w:w="3673" w:type="dxa"/>
            <w:tcMar>
              <w:left w:w="28" w:type="dxa"/>
              <w:right w:w="28" w:type="dxa"/>
            </w:tcMar>
            <w:vAlign w:val="center"/>
          </w:tcPr>
          <w:p>
            <w:pPr>
              <w:widowControl/>
              <w:spacing w:beforeLines="0" w:afterLines="0" w:line="280" w:lineRule="exact"/>
              <w:jc w:val="both"/>
              <w:rPr>
                <w:rFonts w:hint="default" w:ascii="Times New Roman" w:hAnsi="Times New Roman" w:cs="Times New Roman"/>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1335" w:type="dxa"/>
            <w:vMerge w:val="continue"/>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p>
        </w:tc>
        <w:tc>
          <w:tcPr>
            <w:tcW w:w="2540"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不锈钢水池</w:t>
            </w:r>
          </w:p>
        </w:tc>
        <w:tc>
          <w:tcPr>
            <w:tcW w:w="1226"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立方米</w:t>
            </w:r>
          </w:p>
        </w:tc>
        <w:tc>
          <w:tcPr>
            <w:tcW w:w="1371"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500</w:t>
            </w:r>
          </w:p>
        </w:tc>
        <w:tc>
          <w:tcPr>
            <w:tcW w:w="3673" w:type="dxa"/>
            <w:tcMar>
              <w:left w:w="28" w:type="dxa"/>
              <w:right w:w="28" w:type="dxa"/>
            </w:tcMar>
            <w:vAlign w:val="center"/>
          </w:tcPr>
          <w:p>
            <w:pPr>
              <w:widowControl/>
              <w:spacing w:beforeLines="0" w:afterLines="0" w:line="280" w:lineRule="exact"/>
              <w:jc w:val="both"/>
              <w:rPr>
                <w:rFonts w:hint="default" w:ascii="Times New Roman" w:hAnsi="Times New Roman" w:cs="Times New Roman"/>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3875" w:type="dxa"/>
            <w:gridSpan w:val="2"/>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花基、花糟、花池</w:t>
            </w:r>
          </w:p>
        </w:tc>
        <w:tc>
          <w:tcPr>
            <w:tcW w:w="1226"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平方米</w:t>
            </w:r>
          </w:p>
        </w:tc>
        <w:tc>
          <w:tcPr>
            <w:tcW w:w="1371"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100</w:t>
            </w:r>
          </w:p>
        </w:tc>
        <w:tc>
          <w:tcPr>
            <w:tcW w:w="3673" w:type="dxa"/>
            <w:tcMar>
              <w:left w:w="28" w:type="dxa"/>
              <w:right w:w="28" w:type="dxa"/>
            </w:tcMar>
            <w:vAlign w:val="center"/>
          </w:tcPr>
          <w:p>
            <w:pPr>
              <w:widowControl/>
              <w:spacing w:beforeLines="0" w:afterLines="0" w:line="280" w:lineRule="exact"/>
              <w:jc w:val="both"/>
              <w:rPr>
                <w:rFonts w:hint="default" w:ascii="Times New Roman" w:hAnsi="Times New Roman" w:cs="Times New Roman"/>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3875" w:type="dxa"/>
            <w:gridSpan w:val="2"/>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门柱、钢大门</w:t>
            </w:r>
          </w:p>
        </w:tc>
        <w:tc>
          <w:tcPr>
            <w:tcW w:w="1226"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个</w:t>
            </w:r>
          </w:p>
        </w:tc>
        <w:tc>
          <w:tcPr>
            <w:tcW w:w="1371"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6000</w:t>
            </w:r>
          </w:p>
        </w:tc>
        <w:tc>
          <w:tcPr>
            <w:tcW w:w="3673" w:type="dxa"/>
            <w:vMerge w:val="restart"/>
            <w:tcMar>
              <w:left w:w="28" w:type="dxa"/>
              <w:right w:w="28" w:type="dxa"/>
            </w:tcMar>
            <w:vAlign w:val="center"/>
          </w:tcPr>
          <w:p>
            <w:pPr>
              <w:widowControl/>
              <w:spacing w:beforeLines="0" w:afterLines="0" w:line="280" w:lineRule="exact"/>
              <w:jc w:val="both"/>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宽4米以上按评估补偿</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3875" w:type="dxa"/>
            <w:gridSpan w:val="2"/>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门楼、钢大门</w:t>
            </w:r>
          </w:p>
        </w:tc>
        <w:tc>
          <w:tcPr>
            <w:tcW w:w="1226"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个</w:t>
            </w:r>
          </w:p>
        </w:tc>
        <w:tc>
          <w:tcPr>
            <w:tcW w:w="1371"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12000</w:t>
            </w:r>
          </w:p>
        </w:tc>
        <w:tc>
          <w:tcPr>
            <w:tcW w:w="3673" w:type="dxa"/>
            <w:vMerge w:val="continue"/>
            <w:tcMar>
              <w:left w:w="28" w:type="dxa"/>
              <w:right w:w="28" w:type="dxa"/>
            </w:tcMar>
            <w:vAlign w:val="center"/>
          </w:tcPr>
          <w:p>
            <w:pPr>
              <w:widowControl/>
              <w:spacing w:beforeLines="0" w:afterLines="0" w:line="280" w:lineRule="exact"/>
              <w:jc w:val="both"/>
              <w:rPr>
                <w:rFonts w:hint="default" w:ascii="Times New Roman" w:hAnsi="Times New Roman" w:cs="Times New Roman"/>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1335" w:type="dxa"/>
            <w:vMerge w:val="restart"/>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户外水泥</w:t>
            </w:r>
          </w:p>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地面</w:t>
            </w:r>
          </w:p>
        </w:tc>
        <w:tc>
          <w:tcPr>
            <w:tcW w:w="2540"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厚度15厘米以下</w:t>
            </w:r>
          </w:p>
        </w:tc>
        <w:tc>
          <w:tcPr>
            <w:tcW w:w="1226"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平方米</w:t>
            </w:r>
          </w:p>
        </w:tc>
        <w:tc>
          <w:tcPr>
            <w:tcW w:w="1371"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120</w:t>
            </w:r>
          </w:p>
        </w:tc>
        <w:tc>
          <w:tcPr>
            <w:tcW w:w="3673" w:type="dxa"/>
            <w:tcMar>
              <w:left w:w="28" w:type="dxa"/>
              <w:right w:w="28" w:type="dxa"/>
            </w:tcMar>
            <w:vAlign w:val="center"/>
          </w:tcPr>
          <w:p>
            <w:pPr>
              <w:widowControl/>
              <w:spacing w:beforeLines="0" w:afterLines="0" w:line="280" w:lineRule="exact"/>
              <w:jc w:val="both"/>
              <w:rPr>
                <w:rFonts w:hint="default" w:ascii="Times New Roman" w:hAnsi="Times New Roman" w:cs="Times New Roman"/>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1335" w:type="dxa"/>
            <w:vMerge w:val="continue"/>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p>
        </w:tc>
        <w:tc>
          <w:tcPr>
            <w:tcW w:w="2540"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厚度15厘米以上</w:t>
            </w:r>
          </w:p>
        </w:tc>
        <w:tc>
          <w:tcPr>
            <w:tcW w:w="1226"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平方米</w:t>
            </w:r>
          </w:p>
        </w:tc>
        <w:tc>
          <w:tcPr>
            <w:tcW w:w="1371"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180</w:t>
            </w:r>
          </w:p>
        </w:tc>
        <w:tc>
          <w:tcPr>
            <w:tcW w:w="3673" w:type="dxa"/>
            <w:tcMar>
              <w:left w:w="28" w:type="dxa"/>
              <w:right w:w="28" w:type="dxa"/>
            </w:tcMar>
            <w:vAlign w:val="center"/>
          </w:tcPr>
          <w:p>
            <w:pPr>
              <w:widowControl/>
              <w:spacing w:beforeLines="0" w:afterLines="0" w:line="280" w:lineRule="exact"/>
              <w:jc w:val="both"/>
              <w:rPr>
                <w:rFonts w:hint="default" w:ascii="Times New Roman" w:hAnsi="Times New Roman" w:cs="Times New Roman"/>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1335" w:type="dxa"/>
            <w:vMerge w:val="restart"/>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行车道路</w:t>
            </w:r>
          </w:p>
        </w:tc>
        <w:tc>
          <w:tcPr>
            <w:tcW w:w="2540"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砼面厚度10～20厘米</w:t>
            </w:r>
          </w:p>
        </w:tc>
        <w:tc>
          <w:tcPr>
            <w:tcW w:w="1226"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平方米</w:t>
            </w:r>
          </w:p>
        </w:tc>
        <w:tc>
          <w:tcPr>
            <w:tcW w:w="1371"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180</w:t>
            </w:r>
          </w:p>
        </w:tc>
        <w:tc>
          <w:tcPr>
            <w:tcW w:w="3673" w:type="dxa"/>
            <w:tcMar>
              <w:left w:w="28" w:type="dxa"/>
              <w:right w:w="28" w:type="dxa"/>
            </w:tcMar>
            <w:vAlign w:val="center"/>
          </w:tcPr>
          <w:p>
            <w:pPr>
              <w:widowControl/>
              <w:spacing w:beforeLines="0" w:afterLines="0" w:line="280" w:lineRule="exact"/>
              <w:jc w:val="both"/>
              <w:rPr>
                <w:rFonts w:hint="default" w:ascii="Times New Roman" w:hAnsi="Times New Roman" w:cs="Times New Roman"/>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1335" w:type="dxa"/>
            <w:vMerge w:val="continue"/>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p>
        </w:tc>
        <w:tc>
          <w:tcPr>
            <w:tcW w:w="2540"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砼面厚度20～25厘米</w:t>
            </w:r>
          </w:p>
        </w:tc>
        <w:tc>
          <w:tcPr>
            <w:tcW w:w="1226"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平方米</w:t>
            </w:r>
          </w:p>
        </w:tc>
        <w:tc>
          <w:tcPr>
            <w:tcW w:w="1371"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240</w:t>
            </w:r>
          </w:p>
        </w:tc>
        <w:tc>
          <w:tcPr>
            <w:tcW w:w="3673" w:type="dxa"/>
            <w:tcMar>
              <w:left w:w="28" w:type="dxa"/>
              <w:right w:w="28" w:type="dxa"/>
            </w:tcMar>
            <w:vAlign w:val="center"/>
          </w:tcPr>
          <w:p>
            <w:pPr>
              <w:widowControl/>
              <w:spacing w:beforeLines="0" w:afterLines="0" w:line="280" w:lineRule="exact"/>
              <w:jc w:val="both"/>
              <w:rPr>
                <w:rFonts w:hint="default" w:ascii="Times New Roman" w:hAnsi="Times New Roman" w:cs="Times New Roman"/>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1335" w:type="dxa"/>
            <w:vMerge w:val="continue"/>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p>
        </w:tc>
        <w:tc>
          <w:tcPr>
            <w:tcW w:w="2540"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砼面厚度25厘米以上</w:t>
            </w:r>
          </w:p>
        </w:tc>
        <w:tc>
          <w:tcPr>
            <w:tcW w:w="1226"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平方米</w:t>
            </w:r>
          </w:p>
        </w:tc>
        <w:tc>
          <w:tcPr>
            <w:tcW w:w="1371"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280</w:t>
            </w:r>
          </w:p>
        </w:tc>
        <w:tc>
          <w:tcPr>
            <w:tcW w:w="3673" w:type="dxa"/>
            <w:tcMar>
              <w:left w:w="28" w:type="dxa"/>
              <w:right w:w="28" w:type="dxa"/>
            </w:tcMar>
            <w:vAlign w:val="center"/>
          </w:tcPr>
          <w:p>
            <w:pPr>
              <w:widowControl/>
              <w:spacing w:beforeLines="0" w:afterLines="0" w:line="280" w:lineRule="exact"/>
              <w:jc w:val="both"/>
              <w:rPr>
                <w:rFonts w:hint="default" w:ascii="Times New Roman" w:hAnsi="Times New Roman" w:cs="Times New Roman"/>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3875" w:type="dxa"/>
            <w:gridSpan w:val="2"/>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电话迁移</w:t>
            </w:r>
          </w:p>
        </w:tc>
        <w:tc>
          <w:tcPr>
            <w:tcW w:w="1226"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号</w:t>
            </w:r>
          </w:p>
        </w:tc>
        <w:tc>
          <w:tcPr>
            <w:tcW w:w="1371"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200</w:t>
            </w:r>
          </w:p>
        </w:tc>
        <w:tc>
          <w:tcPr>
            <w:tcW w:w="3673" w:type="dxa"/>
            <w:tcMar>
              <w:left w:w="28" w:type="dxa"/>
              <w:right w:w="28" w:type="dxa"/>
            </w:tcMar>
            <w:vAlign w:val="center"/>
          </w:tcPr>
          <w:p>
            <w:pPr>
              <w:widowControl/>
              <w:spacing w:beforeLines="0" w:afterLines="0" w:line="280" w:lineRule="exact"/>
              <w:jc w:val="both"/>
              <w:rPr>
                <w:rFonts w:hint="default" w:ascii="Times New Roman" w:hAnsi="Times New Roman" w:cs="Times New Roman"/>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3875" w:type="dxa"/>
            <w:gridSpan w:val="2"/>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有线电视迁移</w:t>
            </w:r>
          </w:p>
        </w:tc>
        <w:tc>
          <w:tcPr>
            <w:tcW w:w="1226"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线</w:t>
            </w:r>
          </w:p>
        </w:tc>
        <w:tc>
          <w:tcPr>
            <w:tcW w:w="1371"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150</w:t>
            </w:r>
          </w:p>
        </w:tc>
        <w:tc>
          <w:tcPr>
            <w:tcW w:w="3673" w:type="dxa"/>
            <w:tcMar>
              <w:left w:w="28" w:type="dxa"/>
              <w:right w:w="28" w:type="dxa"/>
            </w:tcMar>
            <w:vAlign w:val="center"/>
          </w:tcPr>
          <w:p>
            <w:pPr>
              <w:widowControl/>
              <w:spacing w:beforeLines="0" w:afterLines="0" w:line="280" w:lineRule="exact"/>
              <w:jc w:val="both"/>
              <w:rPr>
                <w:rFonts w:hint="default" w:ascii="Times New Roman" w:hAnsi="Times New Roman" w:cs="Times New Roman"/>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3875" w:type="dxa"/>
            <w:gridSpan w:val="2"/>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宽带网络迁移</w:t>
            </w:r>
          </w:p>
        </w:tc>
        <w:tc>
          <w:tcPr>
            <w:tcW w:w="1226"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线</w:t>
            </w:r>
          </w:p>
        </w:tc>
        <w:tc>
          <w:tcPr>
            <w:tcW w:w="1371"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200</w:t>
            </w:r>
          </w:p>
        </w:tc>
        <w:tc>
          <w:tcPr>
            <w:tcW w:w="3673" w:type="dxa"/>
            <w:tcMar>
              <w:left w:w="28" w:type="dxa"/>
              <w:right w:w="28" w:type="dxa"/>
            </w:tcMar>
            <w:vAlign w:val="center"/>
          </w:tcPr>
          <w:p>
            <w:pPr>
              <w:widowControl/>
              <w:spacing w:beforeLines="0" w:afterLines="0" w:line="280" w:lineRule="exact"/>
              <w:jc w:val="both"/>
              <w:rPr>
                <w:rFonts w:hint="default" w:ascii="Times New Roman" w:hAnsi="Times New Roman" w:cs="Times New Roman"/>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3875" w:type="dxa"/>
            <w:gridSpan w:val="2"/>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户外独立水表</w:t>
            </w:r>
          </w:p>
        </w:tc>
        <w:tc>
          <w:tcPr>
            <w:tcW w:w="1226"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个</w:t>
            </w:r>
          </w:p>
        </w:tc>
        <w:tc>
          <w:tcPr>
            <w:tcW w:w="1371"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300</w:t>
            </w:r>
          </w:p>
        </w:tc>
        <w:tc>
          <w:tcPr>
            <w:tcW w:w="3673" w:type="dxa"/>
            <w:tcMar>
              <w:left w:w="28" w:type="dxa"/>
              <w:right w:w="28" w:type="dxa"/>
            </w:tcMar>
            <w:vAlign w:val="center"/>
          </w:tcPr>
          <w:p>
            <w:pPr>
              <w:widowControl/>
              <w:spacing w:beforeLines="0" w:afterLines="0" w:line="280" w:lineRule="exact"/>
              <w:jc w:val="both"/>
              <w:rPr>
                <w:rFonts w:hint="default" w:ascii="Times New Roman" w:hAnsi="Times New Roman" w:cs="Times New Roman"/>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3875" w:type="dxa"/>
            <w:gridSpan w:val="2"/>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户外独立电表</w:t>
            </w:r>
          </w:p>
        </w:tc>
        <w:tc>
          <w:tcPr>
            <w:tcW w:w="1226"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个</w:t>
            </w:r>
          </w:p>
        </w:tc>
        <w:tc>
          <w:tcPr>
            <w:tcW w:w="1371"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500</w:t>
            </w:r>
          </w:p>
        </w:tc>
        <w:tc>
          <w:tcPr>
            <w:tcW w:w="3673" w:type="dxa"/>
            <w:tcMar>
              <w:left w:w="28" w:type="dxa"/>
              <w:right w:w="28" w:type="dxa"/>
            </w:tcMar>
            <w:vAlign w:val="center"/>
          </w:tcPr>
          <w:p>
            <w:pPr>
              <w:widowControl/>
              <w:spacing w:beforeLines="0" w:afterLines="0" w:line="280" w:lineRule="exact"/>
              <w:jc w:val="both"/>
              <w:rPr>
                <w:rFonts w:hint="default" w:ascii="Times New Roman" w:hAnsi="Times New Roman" w:cs="Times New Roman"/>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3875" w:type="dxa"/>
            <w:gridSpan w:val="2"/>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管道煤气</w:t>
            </w:r>
          </w:p>
        </w:tc>
        <w:tc>
          <w:tcPr>
            <w:tcW w:w="1226"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户</w:t>
            </w:r>
          </w:p>
        </w:tc>
        <w:tc>
          <w:tcPr>
            <w:tcW w:w="1371"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3500</w:t>
            </w:r>
          </w:p>
        </w:tc>
        <w:tc>
          <w:tcPr>
            <w:tcW w:w="3673" w:type="dxa"/>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3875" w:type="dxa"/>
            <w:gridSpan w:val="2"/>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电动闸、牌坊、依法批准的广告牌</w:t>
            </w:r>
          </w:p>
        </w:tc>
        <w:tc>
          <w:tcPr>
            <w:tcW w:w="6270" w:type="dxa"/>
            <w:gridSpan w:val="3"/>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按原样原状恢复造价补偿</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3875" w:type="dxa"/>
            <w:gridSpan w:val="2"/>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交通标准、公交车站</w:t>
            </w:r>
          </w:p>
        </w:tc>
        <w:tc>
          <w:tcPr>
            <w:tcW w:w="6270" w:type="dxa"/>
            <w:gridSpan w:val="3"/>
            <w:tcMar>
              <w:left w:w="28" w:type="dxa"/>
              <w:right w:w="28" w:type="dxa"/>
            </w:tcMar>
            <w:vAlign w:val="center"/>
          </w:tcPr>
          <w:p>
            <w:pPr>
              <w:widowControl/>
              <w:spacing w:beforeLines="0" w:afterLines="0" w:line="28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按重置价格予以补偿或恢复</w:t>
            </w:r>
          </w:p>
        </w:tc>
      </w:tr>
    </w:tbl>
    <w:p>
      <w:pPr>
        <w:spacing w:line="400" w:lineRule="exact"/>
        <w:rPr>
          <w:rFonts w:hint="eastAsia" w:hAnsi="宋体"/>
          <w:color w:val="auto"/>
          <w:kern w:val="0"/>
          <w:sz w:val="24"/>
        </w:rPr>
      </w:pPr>
      <w:r>
        <w:rPr>
          <w:rFonts w:hint="eastAsia" w:hAnsi="宋体"/>
          <w:color w:val="auto"/>
          <w:kern w:val="0"/>
          <w:sz w:val="24"/>
        </w:rPr>
        <w:t>备注：</w:t>
      </w:r>
    </w:p>
    <w:p>
      <w:pPr>
        <w:spacing w:line="400" w:lineRule="exact"/>
        <w:ind w:firstLine="463" w:firstLineChars="196"/>
        <w:rPr>
          <w:rFonts w:hint="eastAsia" w:hAnsi="宋体"/>
          <w:color w:val="auto"/>
          <w:kern w:val="0"/>
          <w:sz w:val="24"/>
        </w:rPr>
      </w:pPr>
      <w:r>
        <w:rPr>
          <w:rFonts w:hint="eastAsia" w:hAnsi="宋体"/>
          <w:color w:val="auto"/>
          <w:kern w:val="0"/>
          <w:sz w:val="24"/>
        </w:rPr>
        <w:t>①围墙双面批荡按标准增加补偿10％，洗石米增加20％，贴瓷片增加30％；单面折半计算；</w:t>
      </w:r>
    </w:p>
    <w:p>
      <w:pPr>
        <w:tabs>
          <w:tab w:val="left" w:pos="350"/>
          <w:tab w:val="left" w:pos="1582"/>
        </w:tabs>
        <w:spacing w:line="400" w:lineRule="exact"/>
        <w:ind w:firstLine="472" w:firstLineChars="200"/>
        <w:rPr>
          <w:rFonts w:hint="eastAsia" w:hAnsi="宋体"/>
          <w:color w:val="auto"/>
          <w:kern w:val="0"/>
          <w:sz w:val="24"/>
        </w:rPr>
      </w:pPr>
      <w:r>
        <w:rPr>
          <w:rFonts w:hint="eastAsia" w:hAnsi="宋体"/>
          <w:color w:val="auto"/>
          <w:kern w:val="0"/>
          <w:sz w:val="24"/>
        </w:rPr>
        <w:t>②泵井必须带泵头且能正常使用，不能正常使用的水池、水井、泵井按标准的50%补偿。</w:t>
      </w:r>
    </w:p>
    <w:p>
      <w:pPr>
        <w:spacing w:line="400" w:lineRule="exact"/>
        <w:ind w:firstLine="472" w:firstLineChars="200"/>
        <w:rPr>
          <w:rFonts w:hint="eastAsia" w:hAnsi="宋体"/>
          <w:color w:val="auto"/>
          <w:kern w:val="0"/>
          <w:sz w:val="24"/>
        </w:rPr>
      </w:pPr>
      <w:r>
        <w:rPr>
          <w:rFonts w:hint="eastAsia" w:hAnsi="宋体"/>
          <w:color w:val="auto"/>
          <w:kern w:val="0"/>
          <w:sz w:val="24"/>
        </w:rPr>
        <w:t>③凡被征地单位和个人在拟征土地上不按生产生活的实际需要，恶意建造水池、水井、泵井和山坟等构筑物的，征地时一律不予补偿，并按违法用地追究责任。</w:t>
      </w:r>
    </w:p>
    <w:p>
      <w:pPr>
        <w:spacing w:line="400" w:lineRule="exact"/>
        <w:ind w:firstLine="472" w:firstLineChars="200"/>
        <w:rPr>
          <w:rFonts w:hint="eastAsia" w:hAnsi="宋体"/>
          <w:color w:val="auto"/>
          <w:kern w:val="0"/>
          <w:sz w:val="24"/>
        </w:rPr>
      </w:pPr>
      <w:r>
        <w:rPr>
          <w:rFonts w:hint="eastAsia" w:hAnsi="宋体"/>
          <w:color w:val="auto"/>
          <w:kern w:val="0"/>
          <w:sz w:val="24"/>
        </w:rPr>
        <w:t>④对征地范围内的山坟，各坟主应积极配合做好迁坟工作，对自行迁坟的坟主按本规定的标准给予补偿。对在限期内未能自行迁坟的，视作无主坟处理。</w:t>
      </w:r>
    </w:p>
    <w:p>
      <w:pPr>
        <w:spacing w:line="400" w:lineRule="exact"/>
        <w:ind w:firstLine="472" w:firstLineChars="200"/>
        <w:rPr>
          <w:rFonts w:hint="eastAsia" w:hAnsi="宋体"/>
          <w:color w:val="auto"/>
          <w:kern w:val="0"/>
          <w:sz w:val="24"/>
        </w:rPr>
      </w:pPr>
    </w:p>
    <w:p>
      <w:pPr>
        <w:spacing w:line="400" w:lineRule="exact"/>
        <w:ind w:firstLine="673" w:firstLineChars="213"/>
        <w:rPr>
          <w:rFonts w:hint="eastAsia" w:ascii="仿宋_GB2312" w:hAnsi="宋体"/>
          <w:color w:val="auto"/>
        </w:rPr>
      </w:pPr>
    </w:p>
    <w:p>
      <w:pPr>
        <w:rPr>
          <w:rFonts w:hint="eastAsia"/>
          <w:color w:val="auto"/>
        </w:rPr>
      </w:pPr>
    </w:p>
    <w:p/>
    <w:p>
      <w:pPr>
        <w:rPr>
          <w:rFonts w:hint="default" w:eastAsia="仿宋_GB2312"/>
          <w:lang w:eastAsia="zh-CN"/>
        </w:rPr>
      </w:pPr>
    </w:p>
    <w:p>
      <w:pPr>
        <w:rPr>
          <w:rFonts w:hint="default" w:eastAsia="仿宋_GB2312"/>
          <w:lang w:eastAsia="zh-CN"/>
        </w:rPr>
      </w:pPr>
    </w:p>
    <w:p>
      <w:pPr>
        <w:rPr>
          <w:rFonts w:hint="default" w:eastAsia="仿宋_GB2312"/>
          <w:lang w:eastAsia="zh-CN"/>
        </w:rPr>
      </w:pPr>
    </w:p>
    <w:p>
      <w:pPr>
        <w:rPr>
          <w:rFonts w:hint="default" w:eastAsia="仿宋_GB2312"/>
          <w:lang w:eastAsia="zh-CN"/>
        </w:rPr>
      </w:pPr>
    </w:p>
    <w:p>
      <w:pPr>
        <w:rPr>
          <w:rFonts w:hint="default" w:eastAsia="仿宋_GB2312"/>
          <w:lang w:eastAsia="zh-CN"/>
        </w:rPr>
      </w:pPr>
    </w:p>
    <w:p>
      <w:pPr>
        <w:rPr>
          <w:rFonts w:hint="default" w:eastAsia="仿宋_GB2312"/>
          <w:lang w:eastAsia="zh-CN"/>
        </w:rPr>
      </w:pPr>
    </w:p>
    <w:p>
      <w:pPr>
        <w:rPr>
          <w:rFonts w:hint="default" w:eastAsia="仿宋_GB2312"/>
          <w:lang w:eastAsia="zh-CN"/>
        </w:rPr>
      </w:pPr>
    </w:p>
    <w:p>
      <w:pPr>
        <w:rPr>
          <w:rFonts w:hint="default" w:eastAsia="仿宋_GB2312"/>
          <w:lang w:eastAsia="zh-CN"/>
        </w:rPr>
      </w:pPr>
    </w:p>
    <w:p>
      <w:pPr>
        <w:rPr>
          <w:rFonts w:hint="default" w:eastAsia="仿宋_GB2312"/>
          <w:lang w:eastAsia="zh-CN"/>
        </w:rPr>
      </w:pPr>
    </w:p>
    <w:p>
      <w:bookmarkStart w:id="0" w:name="_GoBack"/>
      <w:bookmarkEnd w:id="0"/>
    </w:p>
    <w:sectPr>
      <w:headerReference r:id="rId3" w:type="default"/>
      <w:footerReference r:id="rId4" w:type="default"/>
      <w:pgSz w:w="11906" w:h="16838"/>
      <w:pgMar w:top="1985" w:right="1531" w:bottom="1985" w:left="1531" w:header="0" w:footer="1701" w:gutter="0"/>
      <w:cols w:space="720" w:num="1"/>
      <w:docGrid w:type="linesAndChars" w:linePitch="58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仿宋_GB2312"/>
                              <w:sz w:val="1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8zarL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9kntszhNhi1mPAvDTe+hHHPN1HvMyqRwU2f1EP&#10;wTg2en9urhwTEfnRolksagwJjE0O4lcvzwPE9FF6S7LBKOD0SlP57nNMx9QpJVdz/l4bUyZoHBkY&#10;vb5qrsqDcwTBjcMaWcSRbLbSuB5Pyta+26OwATeAUYcrSon55LDBeVkmAyZjPRnbAHrTl23KTGL4&#10;sE3IppDMFY6wp8I4uiLztGZ5N/72S9bLz7D6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z&#10;zNqs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B18E7"/>
    <w:multiLevelType w:val="singleLevel"/>
    <w:tmpl w:val="5ABB18E7"/>
    <w:lvl w:ilvl="0" w:tentative="0">
      <w:start w:val="3"/>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8E35D9"/>
    <w:rsid w:val="488E35D9"/>
    <w:rsid w:val="4D7E6E1D"/>
    <w:rsid w:val="599964A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3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从化区科工商信局</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2018-03-30T09:57:00Z</dcterms:created>
  <dc:creator>办公室主任测试</dc:creator>
  <cp:lastModifiedBy>办公室主任测试</cp:lastModifiedBy>
  <dcterms:modified xsi:type="dcterms:W3CDTF">2018-03-30T10:00:13Z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