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0"/>
        <w:rPr>
          <w:rFonts w:hint="default" w:ascii="Times New Roman" w:hAnsi="Times New Roman" w:eastAsia="方正小标宋简体" w:cs="方正小标宋简体"/>
          <w:b w:val="0"/>
          <w:bCs w:val="0"/>
          <w:snapToGrid w:val="0"/>
          <w:kern w:val="0"/>
          <w:sz w:val="36"/>
          <w:szCs w:val="36"/>
          <w:lang w:val="en-US" w:eastAsia="zh-CN"/>
        </w:rPr>
      </w:pPr>
      <w:r>
        <w:rPr>
          <w:rFonts w:hint="eastAsia" w:ascii="Times New Roman" w:hAnsi="Times New Roman" w:eastAsia="方正小标宋简体" w:cs="方正小标宋简体"/>
          <w:b w:val="0"/>
          <w:bCs w:val="0"/>
          <w:snapToGrid w:val="0"/>
          <w:kern w:val="0"/>
          <w:sz w:val="36"/>
          <w:szCs w:val="36"/>
          <w:lang w:val="en-US" w:eastAsia="zh-CN"/>
        </w:rPr>
        <w:t>2022年广州市从化区温泉镇人民政府部门整体支出</w:t>
      </w:r>
      <w:r>
        <w:rPr>
          <w:rFonts w:hint="default" w:ascii="Times New Roman" w:hAnsi="Times New Roman" w:eastAsia="方正小标宋简体" w:cs="方正小标宋简体"/>
          <w:b w:val="0"/>
          <w:bCs w:val="0"/>
          <w:snapToGrid w:val="0"/>
          <w:kern w:val="0"/>
          <w:sz w:val="36"/>
          <w:szCs w:val="36"/>
          <w:lang w:val="en-US" w:eastAsia="zh-CN"/>
        </w:rPr>
        <w:t xml:space="preserve"> </w:t>
      </w:r>
    </w:p>
    <w:p>
      <w:pPr>
        <w:widowControl/>
        <w:spacing w:line="360" w:lineRule="auto"/>
        <w:jc w:val="center"/>
        <w:outlineLvl w:val="0"/>
        <w:rPr>
          <w:rFonts w:hint="eastAsia" w:ascii="Times New Roman" w:hAnsi="Times New Roman" w:eastAsia="方正小标宋简体" w:cs="方正小标宋简体"/>
          <w:b w:val="0"/>
          <w:bCs w:val="0"/>
          <w:snapToGrid w:val="0"/>
          <w:kern w:val="0"/>
          <w:sz w:val="36"/>
          <w:szCs w:val="36"/>
        </w:rPr>
      </w:pPr>
      <w:r>
        <w:rPr>
          <w:rFonts w:hint="default" w:ascii="Times New Roman" w:hAnsi="Times New Roman" w:eastAsia="方正小标宋简体" w:cs="方正小标宋简体"/>
          <w:b w:val="0"/>
          <w:bCs w:val="0"/>
          <w:snapToGrid w:val="0"/>
          <w:kern w:val="0"/>
          <w:sz w:val="36"/>
          <w:szCs w:val="36"/>
          <w:lang w:val="en-US" w:eastAsia="zh-CN"/>
        </w:rPr>
        <w:t>绩效评价报告</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上海元方智库公共管理咨询有限公司</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根据《广州市从化区财政局关于印发2023年广州市从化区财政资金支出绩效评价工作方案的通知》要求，受广州市从化区财政局委托，上海元方智库公共管理咨询有限公司（以下简称“评价组”）于2023年7-8月对2022年广州市从化区</w:t>
      </w:r>
      <w:r>
        <w:rPr>
          <w:rFonts w:hint="eastAsia" w:ascii="Times New Roman" w:hAnsi="Times New Roman" w:eastAsia="仿宋_GB2312" w:cs="宋体"/>
          <w:kern w:val="0"/>
          <w:sz w:val="32"/>
          <w:lang w:val="en-US" w:eastAsia="zh-CN"/>
        </w:rPr>
        <w:t>温泉</w:t>
      </w:r>
      <w:r>
        <w:rPr>
          <w:rFonts w:hint="eastAsia" w:ascii="Times New Roman" w:hAnsi="Times New Roman" w:eastAsia="仿宋_GB2312" w:cs="宋体"/>
          <w:kern w:val="0"/>
          <w:sz w:val="32"/>
        </w:rPr>
        <w:t>镇人民政府（下称“</w:t>
      </w:r>
      <w:r>
        <w:rPr>
          <w:rFonts w:hint="eastAsia" w:ascii="Times New Roman" w:hAnsi="Times New Roman" w:eastAsia="仿宋_GB2312" w:cs="宋体"/>
          <w:kern w:val="0"/>
          <w:sz w:val="32"/>
          <w:lang w:val="en-US" w:eastAsia="zh-CN"/>
        </w:rPr>
        <w:t>温泉</w:t>
      </w:r>
      <w:r>
        <w:rPr>
          <w:rFonts w:hint="eastAsia" w:ascii="Times New Roman" w:hAnsi="Times New Roman" w:eastAsia="仿宋_GB2312" w:cs="宋体"/>
          <w:kern w:val="0"/>
          <w:sz w:val="32"/>
        </w:rPr>
        <w:t>镇政府”）开展部门整体绩效评价。经书面评审、现场核查、综合分析，部门整体绩效评价得分8</w:t>
      </w:r>
      <w:r>
        <w:rPr>
          <w:rFonts w:hint="eastAsia" w:ascii="Times New Roman" w:hAnsi="Times New Roman" w:eastAsia="仿宋_GB2312" w:cs="宋体"/>
          <w:kern w:val="0"/>
          <w:sz w:val="32"/>
          <w:lang w:val="en-US" w:eastAsia="zh-CN"/>
        </w:rPr>
        <w:t>9</w:t>
      </w:r>
      <w:r>
        <w:rPr>
          <w:rFonts w:hint="eastAsia" w:ascii="Times New Roman" w:hAnsi="Times New Roman" w:eastAsia="仿宋_GB2312" w:cs="宋体"/>
          <w:kern w:val="0"/>
          <w:sz w:val="32"/>
        </w:rPr>
        <w:t>.</w:t>
      </w:r>
      <w:r>
        <w:rPr>
          <w:rFonts w:hint="eastAsia" w:ascii="Times New Roman" w:hAnsi="Times New Roman" w:eastAsia="仿宋_GB2312" w:cs="宋体"/>
          <w:kern w:val="0"/>
          <w:sz w:val="32"/>
          <w:lang w:val="en-US" w:eastAsia="zh-CN"/>
        </w:rPr>
        <w:t>1</w:t>
      </w:r>
      <w:r>
        <w:rPr>
          <w:rFonts w:hint="eastAsia" w:ascii="Times New Roman" w:hAnsi="Times New Roman" w:eastAsia="仿宋_GB2312" w:cs="宋体"/>
          <w:kern w:val="0"/>
          <w:sz w:val="32"/>
        </w:rPr>
        <w:t>9分，评价等级为“</w:t>
      </w:r>
      <w:r>
        <w:rPr>
          <w:rFonts w:hint="eastAsia" w:ascii="Times New Roman" w:hAnsi="Times New Roman" w:eastAsia="仿宋_GB2312" w:cs="宋体"/>
          <w:kern w:val="0"/>
          <w:sz w:val="32"/>
          <w:lang w:val="en-US" w:eastAsia="zh-CN"/>
        </w:rPr>
        <w:t>良</w:t>
      </w:r>
      <w:r>
        <w:rPr>
          <w:rFonts w:hint="eastAsia" w:ascii="Times New Roman" w:hAnsi="Times New Roman" w:eastAsia="仿宋_GB2312" w:cs="宋体"/>
          <w:kern w:val="0"/>
          <w:sz w:val="32"/>
        </w:rPr>
        <w:t>”。</w:t>
      </w:r>
    </w:p>
    <w:p>
      <w:pPr>
        <w:pStyle w:val="2"/>
        <w:rPr>
          <w:rFonts w:hint="eastAsia"/>
        </w:rPr>
      </w:pPr>
    </w:p>
    <w:p>
      <w:pPr>
        <w:widowControl/>
        <w:ind w:firstLine="643" w:firstLineChars="200"/>
        <w:jc w:val="both"/>
        <w:outlineLvl w:val="0"/>
        <w:rPr>
          <w:rFonts w:hint="eastAsia" w:ascii="Times New Roman" w:hAnsi="Times New Roman" w:eastAsia="黑体" w:cs="黑体"/>
          <w:b/>
          <w:snapToGrid w:val="0"/>
          <w:kern w:val="0"/>
          <w:sz w:val="32"/>
          <w:szCs w:val="32"/>
          <w:highlight w:val="none"/>
        </w:rPr>
      </w:pPr>
      <w:r>
        <w:rPr>
          <w:rFonts w:hint="eastAsia" w:ascii="Times New Roman" w:hAnsi="Times New Roman" w:eastAsia="黑体" w:cs="黑体"/>
          <w:b/>
          <w:snapToGrid w:val="0"/>
          <w:kern w:val="0"/>
          <w:sz w:val="32"/>
          <w:szCs w:val="32"/>
          <w:highlight w:val="none"/>
          <w:lang w:val="en-US" w:eastAsia="zh-CN"/>
        </w:rPr>
        <w:t xml:space="preserve">一、评价部门概况 </w:t>
      </w:r>
    </w:p>
    <w:p>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（一）部门基本情况</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1.部门职责</w:t>
      </w:r>
    </w:p>
    <w:p>
      <w:pPr>
        <w:spacing w:line="360" w:lineRule="auto"/>
        <w:ind w:firstLine="640" w:firstLineChars="200"/>
        <w:jc w:val="both"/>
        <w:rPr>
          <w:rFonts w:hint="eastAsia"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温泉</w:t>
      </w:r>
      <w:r>
        <w:rPr>
          <w:rFonts w:hint="eastAsia" w:ascii="Times New Roman" w:hAnsi="Times New Roman" w:eastAsia="仿宋_GB2312" w:cs="宋体"/>
          <w:kern w:val="0"/>
          <w:sz w:val="32"/>
        </w:rPr>
        <w:t>镇政府</w:t>
      </w:r>
      <w:r>
        <w:rPr>
          <w:rFonts w:hint="eastAsia" w:ascii="Times New Roman" w:hAnsi="Times New Roman" w:eastAsia="仿宋_GB2312" w:cs="宋体"/>
          <w:kern w:val="0"/>
          <w:sz w:val="32"/>
          <w:lang w:val="en-US" w:eastAsia="zh-CN"/>
        </w:rPr>
        <w:t>主要职责共7项，主要为执行本级人民代表大会的决议和上级国家行政机关的决定和命令；执行本行政区域内的经济和社会发展计划、预算；</w:t>
      </w:r>
      <w:r>
        <w:rPr>
          <w:rFonts w:hint="eastAsia" w:ascii="Times New Roman" w:hAnsi="Times New Roman" w:eastAsia="仿宋_GB2312"/>
          <w:snapToGrid w:val="0"/>
          <w:sz w:val="32"/>
          <w:szCs w:val="32"/>
          <w:highlight w:val="none"/>
        </w:rPr>
        <w:t>保护国家和全民所有的财产和劳动群众集体所有的财产</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保障各种经济组织的合法权益</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保障少数民族的权利和尊重少数民族的风俗习惯，保障华侨的合法权益</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保障宪法和法律赋予妇女的男女平等、同工同酬和婚姻自由等各项权利</w:t>
      </w:r>
      <w:r>
        <w:rPr>
          <w:rFonts w:hint="eastAsia" w:ascii="Times New Roman" w:hAnsi="Times New Roman" w:eastAsia="仿宋_GB2312"/>
          <w:snapToGrid w:val="0"/>
          <w:sz w:val="32"/>
          <w:szCs w:val="32"/>
          <w:highlight w:val="none"/>
          <w:lang w:val="en-US" w:eastAsia="zh-CN"/>
        </w:rPr>
        <w:t>等。</w:t>
      </w:r>
    </w:p>
    <w:p>
      <w:pPr>
        <w:spacing w:line="360" w:lineRule="auto"/>
        <w:ind w:firstLine="643" w:firstLineChars="200"/>
        <w:jc w:val="both"/>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2.部门整体收支情况</w:t>
      </w:r>
    </w:p>
    <w:p>
      <w:pPr>
        <w:spacing w:line="360" w:lineRule="auto"/>
        <w:ind w:firstLine="640" w:firstLineChars="200"/>
        <w:jc w:val="both"/>
        <w:rPr>
          <w:rFonts w:hint="eastAsia"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2022年，温泉镇政府总收入55,520.70万元，总支出50,153.5万元，部门整体资金支出率为90.33%。</w:t>
      </w:r>
    </w:p>
    <w:p>
      <w:pPr>
        <w:spacing w:line="360" w:lineRule="auto"/>
        <w:ind w:firstLine="640" w:firstLineChars="200"/>
        <w:jc w:val="both"/>
        <w:rPr>
          <w:rFonts w:hint="default"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2022年，温泉镇政府财政收入308,61.31万元，财政支出308,61.31万元，部门财政资金整体支出率为100%。</w:t>
      </w:r>
    </w:p>
    <w:p>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（二）部门目标完成情况</w:t>
      </w:r>
    </w:p>
    <w:p>
      <w:pPr>
        <w:spacing w:line="360" w:lineRule="auto"/>
        <w:ind w:firstLine="640" w:firstLineChars="200"/>
        <w:jc w:val="both"/>
        <w:rPr>
          <w:rFonts w:hint="eastAsia" w:ascii="Times New Roman" w:hAnsi="Times New Roman" w:eastAsia="仿宋_GB2312"/>
          <w:snapToGrid w:val="0"/>
          <w:sz w:val="32"/>
          <w:szCs w:val="32"/>
          <w:highlight w:val="none"/>
          <w:lang w:val="en-US" w:eastAsia="zh-CN"/>
        </w:rPr>
      </w:pPr>
      <w:r>
        <w:rPr>
          <w:rFonts w:hint="eastAsia" w:ascii="Times New Roman" w:hAnsi="Times New Roman" w:eastAsia="仿宋_GB2312" w:cs="仿宋_GB2312"/>
          <w:sz w:val="32"/>
          <w:szCs w:val="32"/>
          <w:highlight w:val="none"/>
        </w:rPr>
        <w:t>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w:t>
      </w:r>
      <w:r>
        <w:rPr>
          <w:rFonts w:hint="eastAsia" w:ascii="Times New Roman" w:hAnsi="Times New Roman" w:eastAsia="仿宋_GB2312" w:cs="宋体"/>
          <w:kern w:val="0"/>
          <w:sz w:val="32"/>
          <w:lang w:val="en-US" w:eastAsia="zh-CN"/>
        </w:rPr>
        <w:t>温泉镇政府</w:t>
      </w:r>
      <w:r>
        <w:rPr>
          <w:rFonts w:hint="eastAsia" w:ascii="Times New Roman" w:hAnsi="Times New Roman" w:eastAsia="仿宋_GB2312" w:cs="仿宋_GB2312"/>
          <w:sz w:val="32"/>
          <w:szCs w:val="32"/>
          <w:highlight w:val="none"/>
        </w:rPr>
        <w:t>共设置</w:t>
      </w:r>
      <w:r>
        <w:rPr>
          <w:rFonts w:hint="eastAsia" w:ascii="Times New Roman" w:hAnsi="Times New Roman" w:eastAsia="仿宋_GB2312" w:cs="仿宋_GB2312"/>
          <w:sz w:val="32"/>
          <w:szCs w:val="32"/>
          <w:highlight w:val="none"/>
          <w:lang w:val="en-US" w:eastAsia="zh-CN"/>
        </w:rPr>
        <w:t>22</w:t>
      </w:r>
      <w:r>
        <w:rPr>
          <w:rFonts w:hint="eastAsia" w:ascii="Times New Roman" w:hAnsi="Times New Roman" w:eastAsia="仿宋_GB2312" w:cs="仿宋_GB2312"/>
          <w:sz w:val="32"/>
          <w:szCs w:val="32"/>
          <w:highlight w:val="none"/>
        </w:rPr>
        <w:t>个</w:t>
      </w:r>
      <w:r>
        <w:rPr>
          <w:rFonts w:hint="eastAsia" w:ascii="Times New Roman" w:hAnsi="Times New Roman" w:eastAsia="仿宋_GB2312" w:cs="仿宋_GB2312"/>
          <w:sz w:val="32"/>
          <w:szCs w:val="32"/>
          <w:highlight w:val="none"/>
          <w:lang w:val="en-US" w:eastAsia="zh-CN"/>
        </w:rPr>
        <w:t>绩效</w:t>
      </w:r>
      <w:r>
        <w:rPr>
          <w:rFonts w:hint="eastAsia" w:ascii="Times New Roman" w:hAnsi="Times New Roman" w:eastAsia="仿宋_GB2312" w:cs="仿宋_GB2312"/>
          <w:sz w:val="32"/>
          <w:szCs w:val="32"/>
          <w:highlight w:val="none"/>
        </w:rPr>
        <w:t>目标。截止2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年1</w:t>
      </w:r>
      <w:r>
        <w:rPr>
          <w:rFonts w:ascii="Times New Roman" w:hAnsi="Times New Roman" w:eastAsia="仿宋_GB2312" w:cs="仿宋_GB2312"/>
          <w:sz w:val="32"/>
          <w:szCs w:val="32"/>
          <w:highlight w:val="none"/>
        </w:rPr>
        <w:t>2</w:t>
      </w:r>
      <w:r>
        <w:rPr>
          <w:rFonts w:hint="eastAsia" w:ascii="Times New Roman" w:hAnsi="Times New Roman" w:eastAsia="仿宋_GB2312" w:cs="仿宋_GB2312"/>
          <w:sz w:val="32"/>
          <w:szCs w:val="32"/>
          <w:highlight w:val="none"/>
        </w:rPr>
        <w:t>月3</w:t>
      </w:r>
      <w:r>
        <w:rPr>
          <w:rFonts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highlight w:val="none"/>
        </w:rPr>
        <w:t>日，已完成</w:t>
      </w:r>
      <w:r>
        <w:rPr>
          <w:rFonts w:hint="eastAsia" w:ascii="Times New Roman" w:hAnsi="Times New Roman" w:eastAsia="仿宋_GB2312" w:cs="仿宋_GB2312"/>
          <w:sz w:val="32"/>
          <w:szCs w:val="32"/>
          <w:highlight w:val="none"/>
          <w:lang w:val="en-US" w:eastAsia="zh-CN"/>
        </w:rPr>
        <w:t>15</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w:t>
      </w:r>
      <w:r>
        <w:rPr>
          <w:rFonts w:hint="eastAsia" w:ascii="Times New Roman" w:hAnsi="Times New Roman" w:eastAsia="仿宋_GB2312" w:cs="仿宋_GB2312"/>
          <w:sz w:val="32"/>
          <w:szCs w:val="32"/>
          <w:highlight w:val="none"/>
        </w:rPr>
        <w:t>，未完成</w:t>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目标因佐证资料不够充分</w:t>
      </w:r>
      <w:r>
        <w:rPr>
          <w:rFonts w:hint="eastAsia" w:ascii="Times New Roman" w:hAnsi="Times New Roman" w:eastAsia="仿宋_GB2312"/>
          <w:snapToGrid w:val="0"/>
          <w:sz w:val="32"/>
          <w:szCs w:val="32"/>
          <w:highlight w:val="none"/>
          <w:lang w:val="en-US" w:eastAsia="zh-CN"/>
        </w:rPr>
        <w:t>未能判断完成情况。</w:t>
      </w:r>
    </w:p>
    <w:p>
      <w:pPr>
        <w:spacing w:before="156" w:beforeLines="50" w:line="360" w:lineRule="auto"/>
        <w:jc w:val="center"/>
        <w:rPr>
          <w:rFonts w:ascii="Times New Roman" w:hAnsi="Times New Roman" w:eastAsia="黑体"/>
          <w:snapToGrid w:val="0"/>
          <w:sz w:val="32"/>
          <w:szCs w:val="32"/>
          <w:highlight w:val="none"/>
        </w:rPr>
      </w:pPr>
      <w:r>
        <w:rPr>
          <w:rFonts w:hint="eastAsia" w:ascii="Times New Roman" w:hAnsi="Times New Roman" w:eastAsia="黑体"/>
          <w:snapToGrid w:val="0"/>
          <w:sz w:val="32"/>
          <w:szCs w:val="32"/>
          <w:highlight w:val="none"/>
        </w:rPr>
        <w:t>表</w:t>
      </w:r>
      <w:r>
        <w:rPr>
          <w:rFonts w:hint="eastAsia" w:ascii="Times New Roman" w:hAnsi="Times New Roman" w:eastAsia="黑体"/>
          <w:snapToGrid w:val="0"/>
          <w:sz w:val="32"/>
          <w:szCs w:val="32"/>
          <w:highlight w:val="none"/>
          <w:lang w:val="en-US" w:eastAsia="zh-CN"/>
        </w:rPr>
        <w:t>1</w:t>
      </w:r>
      <w:r>
        <w:rPr>
          <w:rFonts w:ascii="Times New Roman" w:hAnsi="Times New Roman" w:eastAsia="黑体"/>
          <w:snapToGrid w:val="0"/>
          <w:sz w:val="32"/>
          <w:szCs w:val="32"/>
          <w:highlight w:val="none"/>
        </w:rPr>
        <w:t xml:space="preserve"> </w:t>
      </w:r>
      <w:r>
        <w:rPr>
          <w:rFonts w:hint="eastAsia" w:ascii="Times New Roman" w:hAnsi="Times New Roman" w:eastAsia="黑体"/>
          <w:snapToGrid w:val="0"/>
          <w:sz w:val="32"/>
          <w:szCs w:val="32"/>
          <w:highlight w:val="none"/>
        </w:rPr>
        <w:t>温泉镇政府</w:t>
      </w:r>
      <w:r>
        <w:rPr>
          <w:rFonts w:ascii="Times New Roman" w:hAnsi="Times New Roman" w:eastAsia="黑体"/>
          <w:snapToGrid w:val="0"/>
          <w:sz w:val="32"/>
          <w:szCs w:val="32"/>
          <w:highlight w:val="none"/>
        </w:rPr>
        <w:t>2022年</w:t>
      </w:r>
      <w:r>
        <w:rPr>
          <w:rFonts w:hint="eastAsia" w:ascii="Times New Roman" w:hAnsi="Times New Roman" w:eastAsia="黑体"/>
          <w:snapToGrid w:val="0"/>
          <w:sz w:val="32"/>
          <w:szCs w:val="32"/>
          <w:highlight w:val="none"/>
        </w:rPr>
        <w:t>部门</w:t>
      </w:r>
      <w:r>
        <w:rPr>
          <w:rFonts w:hint="eastAsia" w:ascii="Times New Roman" w:hAnsi="Times New Roman" w:eastAsia="黑体"/>
          <w:snapToGrid w:val="0"/>
          <w:sz w:val="32"/>
          <w:szCs w:val="32"/>
          <w:highlight w:val="none"/>
          <w:lang w:val="en-US" w:eastAsia="zh-CN"/>
        </w:rPr>
        <w:t>绩效目标</w:t>
      </w:r>
      <w:r>
        <w:rPr>
          <w:rFonts w:hint="eastAsia" w:ascii="Times New Roman" w:hAnsi="Times New Roman" w:eastAsia="黑体"/>
          <w:snapToGrid w:val="0"/>
          <w:sz w:val="32"/>
          <w:szCs w:val="32"/>
          <w:highlight w:val="none"/>
        </w:rPr>
        <w:t>完成情况</w:t>
      </w:r>
    </w:p>
    <w:tbl>
      <w:tblPr>
        <w:tblStyle w:val="7"/>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043"/>
        <w:gridCol w:w="1825"/>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91"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序号</w:t>
            </w:r>
          </w:p>
        </w:tc>
        <w:tc>
          <w:tcPr>
            <w:tcW w:w="4043"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三级指标</w:t>
            </w:r>
          </w:p>
        </w:tc>
        <w:tc>
          <w:tcPr>
            <w:tcW w:w="1825"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年度指标值</w:t>
            </w:r>
          </w:p>
        </w:tc>
        <w:tc>
          <w:tcPr>
            <w:tcW w:w="1860"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基建工程完成率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2</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养护维修工程完成率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3</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违法建筑拆除完成率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ascii="Times New Roman" w:hAnsi="Times New Roman" w:eastAsia="仿宋_GB2312"/>
                <w:szCs w:val="21"/>
                <w:highlight w:val="none"/>
              </w:rPr>
              <w:t>85.57%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4</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城管执法处理完成率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评价组认为佐证不够充分。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5</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低保、低收人员生活保障覆盖率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6</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环卫保洁面积覆盖率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7</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垃圾处理完成率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8</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城乡居民医疗保险参保率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w:t>
            </w:r>
            <w:r>
              <w:rPr>
                <w:rFonts w:ascii="Times New Roman" w:hAnsi="Times New Roman" w:eastAsia="仿宋_GB2312"/>
                <w:szCs w:val="21"/>
                <w:highlight w:val="none"/>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农村路灯养护覆盖率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举办文化活动场次完成率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1</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村社文化室正常运作率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2</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村社党群服务中心正常运作率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3</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基层管理人员配备达标率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90%或以上</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ascii="Times New Roman" w:hAnsi="Times New Roman" w:eastAsia="仿宋_GB2312"/>
                <w:szCs w:val="21"/>
                <w:highlight w:val="none"/>
              </w:rPr>
              <w:t>88.93%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4</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群众投诉、信访及时处理率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w:t>
            </w:r>
            <w:r>
              <w:rPr>
                <w:rFonts w:ascii="Times New Roman" w:hAnsi="Times New Roman" w:eastAsia="仿宋_GB2312"/>
                <w:szCs w:val="21"/>
                <w:highlight w:val="none"/>
              </w:rPr>
              <w:t>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5</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各类津贴补贴及时发放率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90%或以上</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lang w:val="en-US" w:eastAsia="zh-CN"/>
              </w:rPr>
            </w:pPr>
            <w:r>
              <w:rPr>
                <w:rFonts w:hint="eastAsia" w:ascii="Times New Roman" w:hAnsi="Times New Roman" w:eastAsia="仿宋_GB2312"/>
                <w:szCs w:val="21"/>
                <w:highlight w:val="none"/>
              </w:rPr>
              <w:t>1</w:t>
            </w:r>
            <w:r>
              <w:rPr>
                <w:rFonts w:hint="eastAsia" w:ascii="Times New Roman" w:hAnsi="Times New Roman" w:eastAsia="仿宋_GB2312"/>
                <w:szCs w:val="21"/>
                <w:highlight w:val="none"/>
                <w:lang w:val="en-US" w:eastAsia="zh-CN"/>
              </w:rPr>
              <w:t>6</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居家养老及日间托老服务人次数完成率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Cs w:val="21"/>
                <w:highlight w:val="none"/>
                <w:lang w:val="en-US" w:eastAsia="zh-CN"/>
              </w:rPr>
            </w:pPr>
            <w:r>
              <w:rPr>
                <w:rFonts w:hint="eastAsia" w:ascii="Times New Roman" w:hAnsi="Times New Roman" w:eastAsia="仿宋_GB2312"/>
                <w:szCs w:val="21"/>
                <w:highlight w:val="none"/>
                <w:lang w:val="en-US" w:eastAsia="zh-CN"/>
              </w:rPr>
              <w:t>17</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发现卫生黑点或被通报卫生问题及时整改率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Cs w:val="21"/>
                <w:highlight w:val="none"/>
                <w:lang w:val="en-US" w:eastAsia="zh-CN"/>
              </w:rPr>
            </w:pPr>
            <w:r>
              <w:rPr>
                <w:rFonts w:hint="eastAsia" w:ascii="Times New Roman" w:hAnsi="Times New Roman" w:eastAsia="仿宋_GB2312"/>
                <w:szCs w:val="21"/>
                <w:highlight w:val="none"/>
                <w:lang w:val="en-US" w:eastAsia="zh-CN"/>
              </w:rPr>
              <w:t>18</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广州全市街（镇）季度生活垃圾分类评价等级</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良或以上</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Cs w:val="21"/>
                <w:highlight w:val="none"/>
                <w:lang w:val="en-US" w:eastAsia="zh-CN"/>
              </w:rPr>
            </w:pPr>
            <w:r>
              <w:rPr>
                <w:rFonts w:hint="eastAsia" w:ascii="Times New Roman" w:hAnsi="Times New Roman" w:eastAsia="仿宋_GB2312"/>
                <w:szCs w:val="21"/>
                <w:highlight w:val="none"/>
                <w:lang w:val="en-US" w:eastAsia="zh-CN"/>
              </w:rPr>
              <w:t>19</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为从化新增引进投资或各类产值</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不少于5000万元</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8</w:t>
            </w:r>
            <w:r>
              <w:rPr>
                <w:rFonts w:ascii="Times New Roman" w:hAnsi="Times New Roman" w:eastAsia="仿宋_GB2312"/>
                <w:szCs w:val="21"/>
                <w:highlight w:val="none"/>
              </w:rPr>
              <w:t>000</w:t>
            </w:r>
            <w:r>
              <w:rPr>
                <w:rFonts w:hint="eastAsia" w:ascii="Times New Roman" w:hAnsi="Times New Roman" w:eastAsia="仿宋_GB2312"/>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Cs w:val="21"/>
                <w:highlight w:val="none"/>
                <w:lang w:val="en-US" w:eastAsia="zh-CN"/>
              </w:rPr>
            </w:pPr>
            <w:r>
              <w:rPr>
                <w:rFonts w:hint="eastAsia" w:ascii="Times New Roman" w:hAnsi="Times New Roman" w:eastAsia="仿宋_GB2312"/>
                <w:szCs w:val="21"/>
                <w:highlight w:val="none"/>
                <w:lang w:val="en-US" w:eastAsia="zh-CN"/>
              </w:rPr>
              <w:t>20</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行政村环境达标率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Cs w:val="21"/>
                <w:highlight w:val="none"/>
                <w:lang w:val="en-US" w:eastAsia="zh-CN"/>
              </w:rPr>
            </w:pPr>
            <w:r>
              <w:rPr>
                <w:rFonts w:hint="eastAsia" w:ascii="Times New Roman" w:hAnsi="Times New Roman" w:eastAsia="仿宋_GB2312"/>
                <w:szCs w:val="21"/>
                <w:highlight w:val="none"/>
                <w:lang w:val="en-US" w:eastAsia="zh-CN"/>
              </w:rPr>
              <w:t>21</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建筑物完好率</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90%或以上</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提供了资产卡片，但评价组认为佐证不够充分。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Cs w:val="21"/>
                <w:highlight w:val="none"/>
                <w:lang w:val="en-US" w:eastAsia="zh-CN"/>
              </w:rPr>
            </w:pPr>
            <w:r>
              <w:rPr>
                <w:rFonts w:hint="eastAsia" w:ascii="Times New Roman" w:hAnsi="Times New Roman" w:eastAsia="仿宋_GB2312"/>
                <w:szCs w:val="21"/>
                <w:highlight w:val="none"/>
                <w:lang w:val="en-US" w:eastAsia="zh-CN"/>
              </w:rPr>
              <w:t>22</w:t>
            </w:r>
          </w:p>
        </w:tc>
        <w:tc>
          <w:tcPr>
            <w:tcW w:w="4043"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居民综合满意度</w:t>
            </w:r>
          </w:p>
        </w:tc>
        <w:tc>
          <w:tcPr>
            <w:tcW w:w="1825"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90%或以上</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ascii="Times New Roman" w:hAnsi="Times New Roman" w:eastAsia="仿宋_GB2312"/>
                <w:szCs w:val="21"/>
                <w:highlight w:val="none"/>
              </w:rPr>
              <w:t>87.76%</w:t>
            </w:r>
          </w:p>
        </w:tc>
      </w:tr>
    </w:tbl>
    <w:p>
      <w:pPr>
        <w:pStyle w:val="2"/>
        <w:rPr>
          <w:rFonts w:hint="default"/>
          <w:lang w:val="en-US" w:eastAsia="zh-CN"/>
        </w:rPr>
      </w:pPr>
    </w:p>
    <w:p>
      <w:pPr>
        <w:widowControl/>
        <w:numPr>
          <w:ilvl w:val="0"/>
          <w:numId w:val="1"/>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r>
        <w:rPr>
          <w:rFonts w:hint="eastAsia" w:ascii="Times New Roman" w:hAnsi="Times New Roman" w:eastAsia="黑体" w:cs="黑体"/>
          <w:b/>
          <w:snapToGrid w:val="0"/>
          <w:kern w:val="0"/>
          <w:sz w:val="32"/>
          <w:szCs w:val="32"/>
          <w:highlight w:val="none"/>
          <w:lang w:val="en-US" w:eastAsia="zh-CN"/>
        </w:rPr>
        <w:t>评价结论</w:t>
      </w:r>
    </w:p>
    <w:p>
      <w:pPr>
        <w:spacing w:line="360" w:lineRule="auto"/>
        <w:ind w:firstLine="640" w:firstLineChars="200"/>
        <w:jc w:val="both"/>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总体而言，温泉镇政府2022年部门整体预算执行率高，制度建设全面，事项管理、采购管理资金管理基本规范。但仍存在部分问题，如基层队伍结构有待优化，资产管理合规性不足，部门预算准确度不高，部门整体绩效目标完成度有待提升等。部门整体绩效评价得分89.19</w:t>
      </w:r>
      <w:bookmarkStart w:id="14" w:name="_GoBack"/>
      <w:bookmarkEnd w:id="14"/>
      <w:r>
        <w:rPr>
          <w:rFonts w:hint="eastAsia" w:ascii="Times New Roman" w:hAnsi="Times New Roman" w:eastAsia="仿宋_GB2312" w:cs="仿宋_GB2312"/>
          <w:sz w:val="32"/>
          <w:szCs w:val="32"/>
          <w:highlight w:val="none"/>
          <w:lang w:val="en-US" w:eastAsia="zh-CN"/>
        </w:rPr>
        <w:t>分，绩效等级为“良”。一级指标得分情况见下表。</w:t>
      </w:r>
    </w:p>
    <w:p>
      <w:pPr>
        <w:spacing w:before="156" w:beforeLines="50" w:line="360" w:lineRule="auto"/>
        <w:jc w:val="center"/>
        <w:rPr>
          <w:rFonts w:ascii="Times New Roman" w:hAnsi="Times New Roman" w:eastAsia="黑体"/>
          <w:snapToGrid w:val="0"/>
          <w:sz w:val="32"/>
          <w:szCs w:val="32"/>
          <w:highlight w:val="none"/>
        </w:rPr>
      </w:pPr>
      <w:r>
        <w:rPr>
          <w:rFonts w:hint="eastAsia" w:ascii="Times New Roman" w:hAnsi="Times New Roman" w:eastAsia="黑体"/>
          <w:snapToGrid w:val="0"/>
          <w:sz w:val="32"/>
          <w:szCs w:val="32"/>
          <w:highlight w:val="none"/>
        </w:rPr>
        <w:t>表</w:t>
      </w:r>
      <w:r>
        <w:rPr>
          <w:rFonts w:hint="eastAsia" w:ascii="Times New Roman" w:hAnsi="Times New Roman" w:eastAsia="黑体"/>
          <w:snapToGrid w:val="0"/>
          <w:sz w:val="32"/>
          <w:szCs w:val="32"/>
          <w:highlight w:val="none"/>
          <w:lang w:val="en-US" w:eastAsia="zh-CN"/>
        </w:rPr>
        <w:t>1</w:t>
      </w:r>
      <w:r>
        <w:rPr>
          <w:rFonts w:ascii="Times New Roman" w:hAnsi="Times New Roman" w:eastAsia="黑体"/>
          <w:snapToGrid w:val="0"/>
          <w:sz w:val="32"/>
          <w:szCs w:val="32"/>
          <w:highlight w:val="none"/>
        </w:rPr>
        <w:t xml:space="preserve"> </w:t>
      </w:r>
      <w:r>
        <w:rPr>
          <w:rFonts w:hint="eastAsia" w:ascii="Times New Roman" w:hAnsi="Times New Roman" w:eastAsia="黑体"/>
          <w:snapToGrid w:val="0"/>
          <w:sz w:val="32"/>
          <w:szCs w:val="32"/>
          <w:highlight w:val="none"/>
        </w:rPr>
        <w:t>一级指标得分情况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一级指标</w:t>
            </w:r>
          </w:p>
        </w:tc>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满分</w:t>
            </w:r>
          </w:p>
        </w:tc>
        <w:tc>
          <w:tcPr>
            <w:tcW w:w="2131"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得分</w:t>
            </w:r>
          </w:p>
        </w:tc>
        <w:tc>
          <w:tcPr>
            <w:tcW w:w="2131"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履职效能</w:t>
            </w:r>
          </w:p>
        </w:tc>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5</w:t>
            </w:r>
            <w:r>
              <w:rPr>
                <w:rFonts w:ascii="Times New Roman" w:hAnsi="Times New Roman" w:eastAsia="仿宋_GB2312"/>
                <w:color w:val="000000"/>
                <w:highlight w:val="none"/>
              </w:rPr>
              <w:t>0</w:t>
            </w:r>
          </w:p>
        </w:tc>
        <w:tc>
          <w:tcPr>
            <w:tcW w:w="2131" w:type="dxa"/>
            <w:noWrap/>
            <w:vAlign w:val="center"/>
          </w:tcPr>
          <w:p>
            <w:pPr>
              <w:spacing w:line="280" w:lineRule="exact"/>
              <w:jc w:val="center"/>
              <w:rPr>
                <w:rFonts w:hint="default" w:ascii="Times New Roman" w:hAnsi="Times New Roman" w:eastAsia="仿宋_GB2312"/>
                <w:color w:val="000000"/>
                <w:highlight w:val="none"/>
                <w:lang w:val="en-US"/>
              </w:rPr>
            </w:pPr>
            <w:r>
              <w:rPr>
                <w:rFonts w:hint="eastAsia" w:ascii="Times New Roman" w:hAnsi="Times New Roman" w:eastAsia="仿宋_GB2312"/>
                <w:color w:val="000000"/>
                <w:highlight w:val="none"/>
                <w:lang w:val="en-US" w:eastAsia="zh-CN"/>
              </w:rPr>
              <w:t>48.5</w:t>
            </w:r>
          </w:p>
        </w:tc>
        <w:tc>
          <w:tcPr>
            <w:tcW w:w="2131"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lang w:val="en-US" w:eastAsia="zh-CN"/>
              </w:rPr>
              <w:t>97.00%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管理效率</w:t>
            </w:r>
          </w:p>
        </w:tc>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5</w:t>
            </w:r>
            <w:r>
              <w:rPr>
                <w:rFonts w:ascii="Times New Roman" w:hAnsi="Times New Roman" w:eastAsia="仿宋_GB2312"/>
                <w:color w:val="000000"/>
                <w:highlight w:val="none"/>
              </w:rPr>
              <w:t>0</w:t>
            </w:r>
          </w:p>
        </w:tc>
        <w:tc>
          <w:tcPr>
            <w:tcW w:w="2131" w:type="dxa"/>
            <w:noWrap/>
            <w:vAlign w:val="center"/>
          </w:tcPr>
          <w:p>
            <w:pPr>
              <w:spacing w:line="280" w:lineRule="exact"/>
              <w:jc w:val="center"/>
              <w:rPr>
                <w:rFonts w:hint="default" w:ascii="Times New Roman" w:hAnsi="Times New Roman" w:eastAsia="仿宋_GB2312"/>
                <w:color w:val="000000"/>
                <w:highlight w:val="none"/>
                <w:lang w:val="en-US"/>
              </w:rPr>
            </w:pPr>
            <w:r>
              <w:rPr>
                <w:rFonts w:hint="eastAsia" w:ascii="Times New Roman" w:hAnsi="Times New Roman" w:eastAsia="仿宋_GB2312"/>
                <w:color w:val="000000"/>
                <w:highlight w:val="none"/>
                <w:lang w:val="en-US" w:eastAsia="zh-CN"/>
              </w:rPr>
              <w:t>40.69</w:t>
            </w:r>
          </w:p>
        </w:tc>
        <w:tc>
          <w:tcPr>
            <w:tcW w:w="2131" w:type="dxa"/>
            <w:noWrap/>
            <w:vAlign w:val="center"/>
          </w:tcPr>
          <w:p>
            <w:pPr>
              <w:spacing w:line="280" w:lineRule="exact"/>
              <w:jc w:val="center"/>
              <w:rPr>
                <w:rFonts w:hint="default" w:ascii="Times New Roman" w:hAnsi="Times New Roman" w:eastAsia="仿宋_GB2312"/>
                <w:color w:val="000000"/>
                <w:highlight w:val="none"/>
                <w:lang w:val="en-US" w:eastAsia="zh-CN"/>
              </w:rPr>
            </w:pPr>
            <w:r>
              <w:rPr>
                <w:rFonts w:hint="eastAsia" w:ascii="Times New Roman" w:hAnsi="Times New Roman" w:eastAsia="仿宋_GB2312"/>
                <w:color w:val="000000"/>
                <w:highlight w:val="none"/>
                <w:lang w:val="en-US" w:eastAsia="zh-CN"/>
              </w:rPr>
              <w:t>81.38%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合计</w:t>
            </w:r>
          </w:p>
        </w:tc>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100</w:t>
            </w:r>
          </w:p>
        </w:tc>
        <w:tc>
          <w:tcPr>
            <w:tcW w:w="2131" w:type="dxa"/>
            <w:noWrap/>
            <w:vAlign w:val="center"/>
          </w:tcPr>
          <w:p>
            <w:pPr>
              <w:spacing w:line="280" w:lineRule="exact"/>
              <w:jc w:val="center"/>
              <w:rPr>
                <w:rFonts w:hint="default" w:ascii="Times New Roman" w:hAnsi="Times New Roman" w:eastAsia="仿宋_GB2312"/>
                <w:b/>
                <w:bCs/>
                <w:color w:val="000000"/>
                <w:highlight w:val="none"/>
                <w:lang w:val="en-US" w:eastAsia="zh-CN"/>
              </w:rPr>
            </w:pPr>
            <w:r>
              <w:rPr>
                <w:rFonts w:hint="eastAsia" w:ascii="Times New Roman" w:hAnsi="Times New Roman" w:eastAsia="仿宋_GB2312"/>
                <w:b/>
                <w:bCs/>
                <w:color w:val="000000"/>
                <w:highlight w:val="none"/>
                <w:lang w:val="en-US" w:eastAsia="zh-CN"/>
              </w:rPr>
              <w:t>89.19</w:t>
            </w:r>
          </w:p>
        </w:tc>
        <w:tc>
          <w:tcPr>
            <w:tcW w:w="2131"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lang w:val="en-US" w:eastAsia="zh-CN"/>
              </w:rPr>
              <w:t>89.19</w:t>
            </w:r>
            <w:r>
              <w:rPr>
                <w:rFonts w:hint="eastAsia" w:ascii="Times New Roman" w:hAnsi="Times New Roman" w:eastAsia="仿宋_GB2312"/>
                <w:b/>
                <w:bCs/>
                <w:color w:val="000000"/>
                <w:highlight w:val="none"/>
              </w:rPr>
              <w:t>%</w:t>
            </w:r>
          </w:p>
        </w:tc>
      </w:tr>
    </w:tbl>
    <w:p>
      <w:pPr>
        <w:pStyle w:val="2"/>
        <w:numPr>
          <w:ilvl w:val="0"/>
          <w:numId w:val="0"/>
        </w:numPr>
        <w:rPr>
          <w:rFonts w:hint="eastAsia"/>
          <w:lang w:val="en-US" w:eastAsia="zh-CN"/>
        </w:rPr>
      </w:pPr>
    </w:p>
    <w:p>
      <w:pPr>
        <w:widowControl/>
        <w:numPr>
          <w:ilvl w:val="0"/>
          <w:numId w:val="1"/>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bookmarkStart w:id="0" w:name="_Toc13131"/>
      <w:r>
        <w:rPr>
          <w:rFonts w:hint="eastAsia" w:ascii="Times New Roman" w:hAnsi="Times New Roman" w:eastAsia="黑体" w:cs="黑体"/>
          <w:b/>
          <w:snapToGrid w:val="0"/>
          <w:kern w:val="0"/>
          <w:sz w:val="32"/>
          <w:szCs w:val="32"/>
          <w:highlight w:val="none"/>
          <w:lang w:val="en-US" w:eastAsia="zh-CN"/>
        </w:rPr>
        <w:t>部门主要绩效或经验做法</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r>
        <w:rPr>
          <w:rFonts w:hint="eastAsia" w:ascii="Times New Roman" w:hAnsi="Times New Roman" w:eastAsia="楷体_GB2312" w:cs="楷体_GB2312"/>
          <w:b/>
          <w:bCs/>
          <w:snapToGrid w:val="0"/>
          <w:sz w:val="32"/>
          <w:szCs w:val="32"/>
          <w:highlight w:val="none"/>
        </w:rPr>
        <w:t>（一）</w:t>
      </w:r>
      <w:r>
        <w:rPr>
          <w:rFonts w:hint="eastAsia" w:ascii="Times New Roman" w:hAnsi="Times New Roman" w:eastAsia="楷体_GB2312" w:cs="楷体_GB2312"/>
          <w:b/>
          <w:bCs/>
          <w:snapToGrid w:val="0"/>
          <w:sz w:val="32"/>
          <w:szCs w:val="32"/>
          <w:highlight w:val="none"/>
          <w:lang w:val="en-US" w:eastAsia="zh-CN"/>
        </w:rPr>
        <w:t>推动地方</w:t>
      </w:r>
      <w:r>
        <w:rPr>
          <w:rFonts w:hint="eastAsia" w:ascii="Times New Roman" w:hAnsi="Times New Roman" w:eastAsia="楷体_GB2312" w:cs="楷体_GB2312"/>
          <w:b/>
          <w:bCs/>
          <w:snapToGrid w:val="0"/>
          <w:sz w:val="32"/>
          <w:szCs w:val="32"/>
          <w:highlight w:val="none"/>
        </w:rPr>
        <w:t>产业发展，</w:t>
      </w:r>
      <w:bookmarkEnd w:id="0"/>
      <w:r>
        <w:rPr>
          <w:rFonts w:hint="eastAsia" w:ascii="Times New Roman" w:hAnsi="Times New Roman" w:eastAsia="楷体_GB2312" w:cs="楷体_GB2312"/>
          <w:b/>
          <w:bCs/>
          <w:snapToGrid w:val="0"/>
          <w:sz w:val="32"/>
          <w:szCs w:val="32"/>
          <w:highlight w:val="none"/>
          <w:lang w:val="en-US" w:eastAsia="zh-CN"/>
        </w:rPr>
        <w:t>实现全镇</w:t>
      </w:r>
      <w:r>
        <w:rPr>
          <w:rFonts w:hint="eastAsia" w:ascii="Times New Roman" w:hAnsi="Times New Roman" w:eastAsia="楷体_GB2312" w:cs="楷体_GB2312"/>
          <w:b/>
          <w:bCs/>
          <w:snapToGrid w:val="0"/>
          <w:sz w:val="32"/>
          <w:szCs w:val="32"/>
          <w:highlight w:val="none"/>
        </w:rPr>
        <w:t>经济稳中向好运行</w:t>
      </w:r>
    </w:p>
    <w:p>
      <w:pPr>
        <w:spacing w:line="360" w:lineRule="auto"/>
        <w:ind w:firstLine="643"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一是</w:t>
      </w:r>
      <w:r>
        <w:rPr>
          <w:rFonts w:hint="eastAsia" w:ascii="Times New Roman" w:hAnsi="Times New Roman" w:eastAsia="仿宋_GB2312"/>
          <w:snapToGrid w:val="0"/>
          <w:sz w:val="32"/>
          <w:szCs w:val="32"/>
          <w:highlight w:val="none"/>
        </w:rPr>
        <w:t>招商引资效能提升。温泉镇发挥龙头企业引领作用，积极推动温泉文旅综合体项目落地，完善旅游基础配套设施；大力推进荔枝产业总部项目增资扩产，延伸荔枝产业链，加强对地方经济发展的贡献。在此措施下，全镇产业集聚效益增强，温泉总部经济新增进驻企业17家，已进驻企业222家，全年税收达1.34亿元，同比增长860.21%，较上年增加1.09亿元。全年共完成71个固定资产投资投项目，投资总额达8.14亿元，同比增长32.7%，增速在全区各镇街中排名第一。</w:t>
      </w:r>
      <w:r>
        <w:rPr>
          <w:rFonts w:hint="eastAsia" w:ascii="Times New Roman" w:hAnsi="Times New Roman" w:eastAsia="仿宋_GB2312"/>
          <w:b/>
          <w:bCs/>
          <w:snapToGrid w:val="0"/>
          <w:sz w:val="32"/>
          <w:szCs w:val="32"/>
          <w:highlight w:val="none"/>
        </w:rPr>
        <w:t>二是</w:t>
      </w:r>
      <w:r>
        <w:rPr>
          <w:rFonts w:hint="eastAsia" w:ascii="Times New Roman" w:hAnsi="Times New Roman" w:eastAsia="仿宋_GB2312"/>
          <w:snapToGrid w:val="0"/>
          <w:sz w:val="32"/>
          <w:szCs w:val="32"/>
          <w:highlight w:val="none"/>
        </w:rPr>
        <w:t>乡村振兴活力更加迸发。通过完善农业产业体系，温泉镇聚焦培育一批龙头企业，规划建设300亩加州鲈育苗园区，打造全国加州鲈产业示范点；引进先进技术建成冠军蓝莓项目育苗智慧大棚，着力提高作物产量品质；紧抓申报设施农用地备案及各项补贴申请工作，推动红松茸种植基地、斑斓基地增资扩产；协调指导合作社开展释迦扩产工作，努力打响本土蓝莓、红松茸、斑斓等农产品知名度。加强农商互联，借助荔枝节宣传平合，销售荔枝、龙眼和黄皮共15</w:t>
      </w:r>
      <w:r>
        <w:rPr>
          <w:rFonts w:ascii="Times New Roman" w:hAnsi="Times New Roman" w:eastAsia="仿宋_GB2312"/>
          <w:snapToGrid w:val="0"/>
          <w:sz w:val="32"/>
          <w:szCs w:val="32"/>
          <w:highlight w:val="none"/>
        </w:rPr>
        <w:t>,</w:t>
      </w:r>
      <w:r>
        <w:rPr>
          <w:rFonts w:hint="eastAsia" w:ascii="Times New Roman" w:hAnsi="Times New Roman" w:eastAsia="仿宋_GB2312"/>
          <w:snapToGrid w:val="0"/>
          <w:sz w:val="32"/>
          <w:szCs w:val="32"/>
          <w:highlight w:val="none"/>
        </w:rPr>
        <w:t>418吨，联农带农1</w:t>
      </w:r>
      <w:r>
        <w:rPr>
          <w:rFonts w:ascii="Times New Roman" w:hAnsi="Times New Roman" w:eastAsia="仿宋_GB2312"/>
          <w:snapToGrid w:val="0"/>
          <w:sz w:val="32"/>
          <w:szCs w:val="32"/>
          <w:highlight w:val="none"/>
        </w:rPr>
        <w:t>,</w:t>
      </w:r>
      <w:r>
        <w:rPr>
          <w:rFonts w:hint="eastAsia" w:ascii="Times New Roman" w:hAnsi="Times New Roman" w:eastAsia="仿宋_GB2312"/>
          <w:snapToGrid w:val="0"/>
          <w:sz w:val="32"/>
          <w:szCs w:val="32"/>
          <w:highlight w:val="none"/>
        </w:rPr>
        <w:t>500多户</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有效促进地方产业逐步升级</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2022年温泉镇全年生产总值达28.61亿元，同比增长超1.7%，全年农业生产总产值近7亿元，同比增速3.6%</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经济运行稳中向好。</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 w:name="_Toc4474"/>
      <w:r>
        <w:rPr>
          <w:rFonts w:hint="eastAsia" w:ascii="Times New Roman" w:hAnsi="Times New Roman" w:eastAsia="楷体_GB2312" w:cs="楷体_GB2312"/>
          <w:b/>
          <w:bCs/>
          <w:snapToGrid w:val="0"/>
          <w:sz w:val="32"/>
          <w:szCs w:val="32"/>
          <w:highlight w:val="none"/>
        </w:rPr>
        <w:t>（二）优化农村人居环境，推进生态文明建设</w:t>
      </w:r>
      <w:bookmarkEnd w:id="1"/>
    </w:p>
    <w:p>
      <w:pPr>
        <w:spacing w:line="360" w:lineRule="auto"/>
        <w:ind w:firstLine="643"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一是</w:t>
      </w:r>
      <w:r>
        <w:rPr>
          <w:rFonts w:hint="eastAsia" w:ascii="Times New Roman" w:hAnsi="Times New Roman" w:eastAsia="仿宋_GB2312"/>
          <w:snapToGrid w:val="0"/>
          <w:sz w:val="32"/>
          <w:szCs w:val="32"/>
          <w:highlight w:val="none"/>
        </w:rPr>
        <w:t>农村基础设施明显提升。温泉镇开展美丽圩镇创建工作，推进14个农田水利设施项目，覆盖18条村完善机耕路、排灌渠设施建设；推进500亩高标准农田建设，完成12 条村庄供水改造项目，打通农村群众饮水问题最后一公里；共完成33</w:t>
      </w:r>
      <w:r>
        <w:rPr>
          <w:rFonts w:ascii="Times New Roman" w:hAnsi="Times New Roman" w:eastAsia="仿宋_GB2312"/>
          <w:snapToGrid w:val="0"/>
          <w:sz w:val="32"/>
          <w:szCs w:val="32"/>
          <w:highlight w:val="none"/>
        </w:rPr>
        <w:t>,</w:t>
      </w:r>
      <w:r>
        <w:rPr>
          <w:rFonts w:hint="eastAsia" w:ascii="Times New Roman" w:hAnsi="Times New Roman" w:eastAsia="仿宋_GB2312"/>
          <w:snapToGrid w:val="0"/>
          <w:sz w:val="32"/>
          <w:szCs w:val="32"/>
          <w:highlight w:val="none"/>
        </w:rPr>
        <w:t>968栋自建房摸查整治，复查进度100%；开展辖内桥梁检测鉴定行动，对36座桥梁进行维修、加固、重建；新建乡村公厕6座，落实农村户厕回头看12</w:t>
      </w:r>
      <w:r>
        <w:rPr>
          <w:rFonts w:ascii="Times New Roman" w:hAnsi="Times New Roman" w:eastAsia="仿宋_GB2312"/>
          <w:snapToGrid w:val="0"/>
          <w:sz w:val="32"/>
          <w:szCs w:val="32"/>
          <w:highlight w:val="none"/>
        </w:rPr>
        <w:t>,</w:t>
      </w:r>
      <w:r>
        <w:rPr>
          <w:rFonts w:hint="eastAsia" w:ascii="Times New Roman" w:hAnsi="Times New Roman" w:eastAsia="仿宋_GB2312"/>
          <w:snapToGrid w:val="0"/>
          <w:sz w:val="32"/>
          <w:szCs w:val="32"/>
          <w:highlight w:val="none"/>
        </w:rPr>
        <w:t>443 户，户厕普及率达100%，农村人居环境整体得到有效提升。</w:t>
      </w:r>
      <w:r>
        <w:rPr>
          <w:rFonts w:hint="eastAsia" w:ascii="Times New Roman" w:hAnsi="Times New Roman" w:eastAsia="仿宋_GB2312"/>
          <w:b/>
          <w:bCs/>
          <w:snapToGrid w:val="0"/>
          <w:sz w:val="32"/>
          <w:szCs w:val="32"/>
          <w:highlight w:val="none"/>
        </w:rPr>
        <w:t>二是</w:t>
      </w:r>
      <w:r>
        <w:rPr>
          <w:rFonts w:hint="eastAsia" w:ascii="Times New Roman" w:hAnsi="Times New Roman" w:eastAsia="仿宋_GB2312"/>
          <w:snapToGrid w:val="0"/>
          <w:sz w:val="32"/>
          <w:szCs w:val="32"/>
          <w:highlight w:val="none"/>
        </w:rPr>
        <w:t>持续推进生态文明建设。温泉镇强化饮用水安全保障，委托第三方每月定期对各一级支流开展取样检测，全镇辖区一级支流水质已达年度水质标准；</w:t>
      </w:r>
      <w:r>
        <w:rPr>
          <w:rFonts w:hint="eastAsia" w:ascii="Times New Roman" w:hAnsi="Times New Roman" w:eastAsia="仿宋_GB2312" w:cs="仿宋_GB2312"/>
          <w:snapToGrid w:val="0"/>
          <w:sz w:val="32"/>
          <w:szCs w:val="32"/>
          <w:highlight w:val="none"/>
        </w:rPr>
        <w:t>扎实做好垃圾分类工作，落实市、区交办的垃圾分类问题整改</w:t>
      </w:r>
      <w:r>
        <w:rPr>
          <w:rFonts w:hint="eastAsia" w:ascii="Times New Roman" w:hAnsi="Times New Roman" w:eastAsia="仿宋_GB2312"/>
          <w:snapToGrid w:val="0"/>
          <w:sz w:val="32"/>
          <w:szCs w:val="32"/>
          <w:highlight w:val="none"/>
        </w:rPr>
        <w:t>1</w:t>
      </w:r>
      <w:r>
        <w:rPr>
          <w:rFonts w:ascii="Times New Roman" w:hAnsi="Times New Roman" w:eastAsia="仿宋_GB2312"/>
          <w:snapToGrid w:val="0"/>
          <w:sz w:val="32"/>
          <w:szCs w:val="32"/>
          <w:highlight w:val="none"/>
        </w:rPr>
        <w:t>,</w:t>
      </w:r>
      <w:r>
        <w:rPr>
          <w:rFonts w:hint="eastAsia" w:ascii="Times New Roman" w:hAnsi="Times New Roman" w:eastAsia="仿宋_GB2312"/>
          <w:snapToGrid w:val="0"/>
          <w:sz w:val="32"/>
          <w:szCs w:val="32"/>
          <w:highlight w:val="none"/>
        </w:rPr>
        <w:t>285宗。</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2" w:name="_Toc19223"/>
      <w:r>
        <w:rPr>
          <w:rFonts w:hint="eastAsia" w:ascii="Times New Roman" w:hAnsi="Times New Roman" w:eastAsia="楷体_GB2312" w:cs="楷体_GB2312"/>
          <w:b/>
          <w:bCs/>
          <w:snapToGrid w:val="0"/>
          <w:sz w:val="32"/>
          <w:szCs w:val="32"/>
          <w:highlight w:val="none"/>
        </w:rPr>
        <w:t>（三）持续发展社会民生事业，加强辖区安全管理</w:t>
      </w:r>
      <w:bookmarkEnd w:id="2"/>
    </w:p>
    <w:p>
      <w:pPr>
        <w:spacing w:line="360" w:lineRule="auto"/>
        <w:ind w:firstLine="643"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一是</w:t>
      </w:r>
      <w:r>
        <w:rPr>
          <w:rFonts w:hint="eastAsia" w:ascii="Times New Roman" w:hAnsi="Times New Roman" w:eastAsia="仿宋_GB2312"/>
          <w:snapToGrid w:val="0"/>
          <w:sz w:val="32"/>
          <w:szCs w:val="32"/>
          <w:highlight w:val="none"/>
        </w:rPr>
        <w:t>切实维护</w:t>
      </w:r>
      <w:r>
        <w:rPr>
          <w:rFonts w:hint="eastAsia" w:ascii="Times New Roman" w:hAnsi="Times New Roman" w:eastAsia="仿宋_GB2312"/>
          <w:snapToGrid w:val="0"/>
          <w:sz w:val="32"/>
          <w:szCs w:val="32"/>
          <w:highlight w:val="none"/>
          <w:lang w:val="en-US" w:eastAsia="zh-CN"/>
        </w:rPr>
        <w:t>农民工合法</w:t>
      </w:r>
      <w:r>
        <w:rPr>
          <w:rFonts w:hint="eastAsia" w:ascii="Times New Roman" w:hAnsi="Times New Roman" w:eastAsia="仿宋_GB2312"/>
          <w:snapToGrid w:val="0"/>
          <w:sz w:val="32"/>
          <w:szCs w:val="32"/>
          <w:highlight w:val="none"/>
        </w:rPr>
        <w:t>权益。</w:t>
      </w:r>
      <w:r>
        <w:rPr>
          <w:rFonts w:hint="eastAsia" w:ascii="Times New Roman" w:hAnsi="Times New Roman" w:eastAsia="仿宋_GB2312"/>
          <w:snapToGrid w:val="0"/>
          <w:sz w:val="32"/>
          <w:szCs w:val="32"/>
          <w:highlight w:val="none"/>
          <w:lang w:val="en-US" w:eastAsia="zh-CN"/>
        </w:rPr>
        <w:t>2022年</w:t>
      </w:r>
      <w:r>
        <w:rPr>
          <w:rFonts w:hint="eastAsia" w:ascii="Times New Roman" w:hAnsi="Times New Roman" w:eastAsia="仿宋_GB2312"/>
          <w:snapToGrid w:val="0"/>
          <w:sz w:val="32"/>
          <w:szCs w:val="32"/>
          <w:highlight w:val="none"/>
        </w:rPr>
        <w:t>共解决劳动纠纷案件20余起，帮助370多名农民工追回工资共计559.4万元。</w:t>
      </w:r>
      <w:r>
        <w:rPr>
          <w:rFonts w:hint="eastAsia" w:ascii="Times New Roman" w:hAnsi="Times New Roman" w:eastAsia="仿宋_GB2312"/>
          <w:b/>
          <w:bCs/>
          <w:snapToGrid w:val="0"/>
          <w:sz w:val="32"/>
          <w:szCs w:val="32"/>
          <w:highlight w:val="none"/>
        </w:rPr>
        <w:t>二是</w:t>
      </w:r>
      <w:r>
        <w:rPr>
          <w:rFonts w:hint="eastAsia" w:ascii="Times New Roman" w:hAnsi="Times New Roman" w:eastAsia="仿宋_GB2312"/>
          <w:snapToGrid w:val="0"/>
          <w:sz w:val="32"/>
          <w:szCs w:val="32"/>
          <w:highlight w:val="none"/>
        </w:rPr>
        <w:t>加强社会保障服务</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按时足额发放基本养老金、低保金、低收分类救济金等各类社会保障资金共1</w:t>
      </w:r>
      <w:r>
        <w:rPr>
          <w:rFonts w:ascii="Times New Roman" w:hAnsi="Times New Roman" w:eastAsia="仿宋_GB2312"/>
          <w:snapToGrid w:val="0"/>
          <w:sz w:val="32"/>
          <w:szCs w:val="32"/>
          <w:highlight w:val="none"/>
        </w:rPr>
        <w:t>,</w:t>
      </w:r>
      <w:r>
        <w:rPr>
          <w:rFonts w:hint="eastAsia" w:ascii="Times New Roman" w:hAnsi="Times New Roman" w:eastAsia="仿宋_GB2312"/>
          <w:snapToGrid w:val="0"/>
          <w:sz w:val="32"/>
          <w:szCs w:val="32"/>
          <w:highlight w:val="none"/>
        </w:rPr>
        <w:t>240多万元，发挥民政兜底保障作用。</w:t>
      </w:r>
      <w:r>
        <w:rPr>
          <w:rFonts w:hint="eastAsia" w:ascii="Times New Roman" w:hAnsi="Times New Roman" w:eastAsia="仿宋_GB2312"/>
          <w:b/>
          <w:bCs/>
          <w:snapToGrid w:val="0"/>
          <w:sz w:val="32"/>
          <w:szCs w:val="32"/>
          <w:highlight w:val="none"/>
        </w:rPr>
        <w:t>三是</w:t>
      </w:r>
      <w:r>
        <w:rPr>
          <w:rFonts w:hint="eastAsia" w:ascii="Times New Roman" w:hAnsi="Times New Roman" w:eastAsia="仿宋_GB2312"/>
          <w:snapToGrid w:val="0"/>
          <w:sz w:val="32"/>
          <w:szCs w:val="32"/>
          <w:highlight w:val="none"/>
        </w:rPr>
        <w:t>深化法治建设。全年共办结行政处罚案件61宗；在各村（社区）开展“法律明白人”培养工作，推动村级法律顾问、调解主任发挥积极作用，有效满足人民群众多层次、多领域法律服务需求，南平村获评省级“民主法治示范村（社区）”创建单位。积极发挥网格在防控违法犯罪、化解矛盾纠纷、排除安全隐患等方面作用，主动排查各类矛盾纠纷 120宗，案件类警情持续下降。</w:t>
      </w:r>
    </w:p>
    <w:p>
      <w:pPr>
        <w:ind w:firstLine="643" w:firstLineChars="200"/>
        <w:jc w:val="both"/>
        <w:outlineLvl w:val="0"/>
        <w:rPr>
          <w:rFonts w:hint="eastAsia" w:ascii="Times New Roman" w:hAnsi="Times New Roman" w:eastAsia="黑体" w:cs="黑体"/>
          <w:b/>
          <w:snapToGrid w:val="0"/>
          <w:sz w:val="32"/>
          <w:szCs w:val="32"/>
          <w:highlight w:val="none"/>
        </w:rPr>
      </w:pPr>
      <w:bookmarkStart w:id="3" w:name="_Toc16149"/>
      <w:bookmarkStart w:id="4" w:name="_Toc16826"/>
      <w:r>
        <w:rPr>
          <w:rFonts w:hint="eastAsia" w:ascii="Times New Roman" w:hAnsi="Times New Roman" w:eastAsia="黑体" w:cs="黑体"/>
          <w:b/>
          <w:snapToGrid w:val="0"/>
          <w:sz w:val="32"/>
          <w:szCs w:val="32"/>
          <w:highlight w:val="none"/>
          <w:lang w:val="en-US" w:eastAsia="zh-CN"/>
        </w:rPr>
        <w:t>四</w:t>
      </w:r>
      <w:r>
        <w:rPr>
          <w:rFonts w:hint="eastAsia" w:ascii="Times New Roman" w:hAnsi="Times New Roman" w:eastAsia="黑体" w:cs="黑体"/>
          <w:b/>
          <w:snapToGrid w:val="0"/>
          <w:sz w:val="32"/>
          <w:szCs w:val="32"/>
          <w:highlight w:val="none"/>
        </w:rPr>
        <w:t>、存在问题或不足</w:t>
      </w:r>
      <w:bookmarkEnd w:id="3"/>
      <w:bookmarkEnd w:id="4"/>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5" w:name="_Toc21394"/>
      <w:r>
        <w:rPr>
          <w:rFonts w:hint="eastAsia" w:ascii="Times New Roman" w:hAnsi="Times New Roman" w:eastAsia="楷体_GB2312" w:cs="楷体_GB2312"/>
          <w:b/>
          <w:bCs/>
          <w:snapToGrid w:val="0"/>
          <w:sz w:val="32"/>
          <w:szCs w:val="32"/>
          <w:highlight w:val="none"/>
        </w:rPr>
        <w:t>（一）干部队伍结构仍需进一步优化</w:t>
      </w:r>
      <w:bookmarkEnd w:id="5"/>
    </w:p>
    <w:p>
      <w:pPr>
        <w:spacing w:line="360" w:lineRule="auto"/>
        <w:ind w:firstLine="640" w:firstLineChars="200"/>
        <w:jc w:val="both"/>
        <w:rPr>
          <w:rFonts w:hint="default" w:ascii="Times New Roman" w:hAnsi="Times New Roman" w:eastAsia="仿宋_GB2312"/>
          <w:snapToGrid w:val="0"/>
          <w:sz w:val="32"/>
          <w:szCs w:val="32"/>
          <w:highlight w:val="none"/>
          <w:lang w:val="en-US" w:eastAsia="zh-CN"/>
        </w:rPr>
      </w:pPr>
      <w:r>
        <w:rPr>
          <w:rFonts w:hint="eastAsia" w:ascii="Times New Roman" w:hAnsi="Times New Roman" w:eastAsia="仿宋_GB2312"/>
          <w:snapToGrid w:val="0"/>
          <w:sz w:val="32"/>
          <w:szCs w:val="32"/>
          <w:highlight w:val="none"/>
        </w:rPr>
        <w:t>根据单位提供的《温泉镇村（社区）“两委”干部名册》，202</w:t>
      </w:r>
      <w:r>
        <w:rPr>
          <w:rFonts w:ascii="Times New Roman" w:hAnsi="Times New Roman" w:eastAsia="仿宋_GB2312"/>
          <w:snapToGrid w:val="0"/>
          <w:sz w:val="32"/>
          <w:szCs w:val="32"/>
          <w:highlight w:val="none"/>
        </w:rPr>
        <w:t>1</w:t>
      </w:r>
      <w:r>
        <w:rPr>
          <w:rFonts w:hint="eastAsia" w:ascii="Times New Roman" w:hAnsi="Times New Roman" w:eastAsia="仿宋_GB2312"/>
          <w:snapToGrid w:val="0"/>
          <w:sz w:val="32"/>
          <w:szCs w:val="32"/>
          <w:highlight w:val="none"/>
        </w:rPr>
        <w:t>年“两委”换届后，温泉镇</w:t>
      </w:r>
      <w:r>
        <w:rPr>
          <w:rFonts w:ascii="Times New Roman" w:hAnsi="Times New Roman" w:eastAsia="仿宋_GB2312"/>
          <w:snapToGrid w:val="0"/>
          <w:sz w:val="32"/>
          <w:szCs w:val="32"/>
          <w:highlight w:val="none"/>
        </w:rPr>
        <w:t>25</w:t>
      </w:r>
      <w:r>
        <w:rPr>
          <w:rFonts w:hint="eastAsia" w:ascii="Times New Roman" w:hAnsi="Times New Roman" w:eastAsia="仿宋_GB2312"/>
          <w:snapToGrid w:val="0"/>
          <w:sz w:val="32"/>
          <w:szCs w:val="32"/>
          <w:highlight w:val="none"/>
        </w:rPr>
        <w:t>个村（社区）“两委”干部大专以上学历占比为</w:t>
      </w:r>
      <w:r>
        <w:rPr>
          <w:rFonts w:ascii="Times New Roman" w:hAnsi="Times New Roman" w:eastAsia="仿宋_GB2312"/>
          <w:snapToGrid w:val="0"/>
          <w:sz w:val="32"/>
          <w:szCs w:val="32"/>
          <w:highlight w:val="none"/>
        </w:rPr>
        <w:t>56.69%</w:t>
      </w:r>
      <w:r>
        <w:rPr>
          <w:rFonts w:hint="eastAsia" w:ascii="Times New Roman" w:hAnsi="Times New Roman" w:eastAsia="仿宋_GB2312"/>
          <w:snapToGrid w:val="0"/>
          <w:sz w:val="32"/>
          <w:szCs w:val="32"/>
          <w:highlight w:val="none"/>
        </w:rPr>
        <w:t>，平均年龄4</w:t>
      </w:r>
      <w:r>
        <w:rPr>
          <w:rFonts w:ascii="Times New Roman" w:hAnsi="Times New Roman" w:eastAsia="仿宋_GB2312"/>
          <w:snapToGrid w:val="0"/>
          <w:sz w:val="32"/>
          <w:szCs w:val="32"/>
          <w:highlight w:val="none"/>
        </w:rPr>
        <w:t>4</w:t>
      </w:r>
      <w:r>
        <w:rPr>
          <w:rFonts w:hint="eastAsia" w:ascii="Times New Roman" w:hAnsi="Times New Roman" w:eastAsia="仿宋_GB2312"/>
          <w:snapToGrid w:val="0"/>
          <w:sz w:val="32"/>
          <w:szCs w:val="32"/>
          <w:highlight w:val="none"/>
        </w:rPr>
        <w:t>.</w:t>
      </w:r>
      <w:r>
        <w:rPr>
          <w:rFonts w:ascii="Times New Roman" w:hAnsi="Times New Roman" w:eastAsia="仿宋_GB2312"/>
          <w:snapToGrid w:val="0"/>
          <w:sz w:val="32"/>
          <w:szCs w:val="32"/>
          <w:highlight w:val="none"/>
        </w:rPr>
        <w:t>61</w:t>
      </w:r>
      <w:r>
        <w:rPr>
          <w:rFonts w:hint="eastAsia" w:ascii="Times New Roman" w:hAnsi="Times New Roman" w:eastAsia="仿宋_GB2312"/>
          <w:snapToGrid w:val="0"/>
          <w:sz w:val="32"/>
          <w:szCs w:val="32"/>
          <w:highlight w:val="none"/>
        </w:rPr>
        <w:t>岁，基层干部队伍在大专以上学历占比，及平均年龄上仍较大落后于全市平均水平</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lang w:val="en-US" w:eastAsia="zh-CN"/>
        </w:rPr>
        <w:t>其中，</w:t>
      </w:r>
      <w:r>
        <w:rPr>
          <w:rFonts w:hint="eastAsia" w:ascii="Times New Roman" w:hAnsi="Times New Roman" w:eastAsia="仿宋_GB2312"/>
          <w:snapToGrid w:val="0"/>
          <w:sz w:val="32"/>
          <w:szCs w:val="32"/>
          <w:highlight w:val="none"/>
        </w:rPr>
        <w:t>大专以上学历占比</w:t>
      </w:r>
      <w:r>
        <w:rPr>
          <w:rFonts w:hint="eastAsia" w:ascii="Times New Roman" w:hAnsi="Times New Roman" w:eastAsia="仿宋_GB2312"/>
          <w:snapToGrid w:val="0"/>
          <w:sz w:val="32"/>
          <w:szCs w:val="32"/>
          <w:highlight w:val="none"/>
          <w:lang w:val="en-US" w:eastAsia="zh-CN"/>
        </w:rPr>
        <w:t>较市平均水平落后约31.58个百分点，</w:t>
      </w:r>
      <w:r>
        <w:rPr>
          <w:rFonts w:hint="eastAsia" w:ascii="Times New Roman" w:hAnsi="Times New Roman" w:eastAsia="仿宋_GB2312"/>
          <w:snapToGrid w:val="0"/>
          <w:sz w:val="32"/>
          <w:szCs w:val="32"/>
          <w:highlight w:val="none"/>
        </w:rPr>
        <w:t>平均年龄</w:t>
      </w:r>
      <w:r>
        <w:rPr>
          <w:rFonts w:hint="eastAsia" w:ascii="Times New Roman" w:hAnsi="Times New Roman" w:eastAsia="仿宋_GB2312"/>
          <w:snapToGrid w:val="0"/>
          <w:sz w:val="32"/>
          <w:szCs w:val="32"/>
          <w:highlight w:val="none"/>
          <w:lang w:val="en-US" w:eastAsia="zh-CN"/>
        </w:rPr>
        <w:t>较市平均水平高4.72岁</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根据广州市组织部数据，2021年“两委”换届后，广州市“两委”班子成员大专以上学历占比88.27%，平均年龄3</w:t>
      </w:r>
      <w:r>
        <w:rPr>
          <w:rFonts w:ascii="Times New Roman" w:hAnsi="Times New Roman" w:eastAsia="仿宋_GB2312"/>
          <w:snapToGrid w:val="0"/>
          <w:sz w:val="32"/>
          <w:szCs w:val="32"/>
          <w:highlight w:val="none"/>
        </w:rPr>
        <w:t>9.89</w:t>
      </w:r>
      <w:r>
        <w:rPr>
          <w:rFonts w:hint="eastAsia" w:ascii="Times New Roman" w:hAnsi="Times New Roman" w:eastAsia="仿宋_GB2312"/>
          <w:snapToGrid w:val="0"/>
          <w:sz w:val="32"/>
          <w:szCs w:val="32"/>
          <w:highlight w:val="none"/>
        </w:rPr>
        <w:t>岁</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lang w:val="en-US" w:eastAsia="zh-CN"/>
        </w:rPr>
        <w:t>。</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6" w:name="_Toc26997"/>
      <w:r>
        <w:rPr>
          <w:rFonts w:hint="eastAsia" w:ascii="Times New Roman" w:hAnsi="Times New Roman" w:eastAsia="楷体_GB2312" w:cs="楷体_GB2312"/>
          <w:b/>
          <w:bCs/>
          <w:snapToGrid w:val="0"/>
          <w:sz w:val="32"/>
          <w:szCs w:val="32"/>
          <w:highlight w:val="none"/>
          <w:lang w:eastAsia="zh-CN"/>
        </w:rPr>
        <w:t>（二）</w:t>
      </w:r>
      <w:r>
        <w:rPr>
          <w:rFonts w:hint="eastAsia" w:ascii="Times New Roman" w:hAnsi="Times New Roman" w:eastAsia="楷体_GB2312" w:cs="楷体_GB2312"/>
          <w:b/>
          <w:bCs/>
          <w:snapToGrid w:val="0"/>
          <w:sz w:val="32"/>
          <w:szCs w:val="32"/>
          <w:highlight w:val="none"/>
        </w:rPr>
        <w:t>部门预算准确性不足</w:t>
      </w:r>
      <w:bookmarkEnd w:id="6"/>
    </w:p>
    <w:p>
      <w:pPr>
        <w:spacing w:line="360" w:lineRule="auto"/>
        <w:ind w:firstLine="640"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snapToGrid w:val="0"/>
          <w:sz w:val="32"/>
          <w:szCs w:val="32"/>
          <w:highlight w:val="none"/>
        </w:rPr>
        <w:t>根据温泉镇《2022年财政预算调整方案》，2022年财政收支预算共调整</w:t>
      </w:r>
      <w:r>
        <w:rPr>
          <w:rFonts w:ascii="Times New Roman" w:hAnsi="Times New Roman" w:eastAsia="仿宋_GB2312"/>
          <w:snapToGrid w:val="0"/>
          <w:sz w:val="32"/>
          <w:szCs w:val="32"/>
          <w:highlight w:val="none"/>
        </w:rPr>
        <w:t>21,136.93</w:t>
      </w:r>
      <w:r>
        <w:rPr>
          <w:rFonts w:hint="eastAsia" w:ascii="Times New Roman" w:hAnsi="Times New Roman" w:eastAsia="仿宋_GB2312"/>
          <w:snapToGrid w:val="0"/>
          <w:sz w:val="32"/>
          <w:szCs w:val="32"/>
          <w:highlight w:val="none"/>
        </w:rPr>
        <w:t>万元，预算调整率</w:t>
      </w:r>
      <w:r>
        <w:rPr>
          <w:rFonts w:ascii="Times New Roman" w:hAnsi="Times New Roman" w:eastAsia="仿宋_GB2312"/>
          <w:snapToGrid w:val="0"/>
          <w:sz w:val="32"/>
          <w:szCs w:val="32"/>
          <w:highlight w:val="none"/>
        </w:rPr>
        <w:t>138.55%</w:t>
      </w:r>
      <w:r>
        <w:rPr>
          <w:rFonts w:hint="eastAsia" w:ascii="Times New Roman" w:hAnsi="Times New Roman" w:eastAsia="仿宋_GB2312"/>
          <w:snapToGrid w:val="0"/>
          <w:sz w:val="32"/>
          <w:szCs w:val="32"/>
          <w:highlight w:val="none"/>
        </w:rPr>
        <w:t>，其中，政府性基金预算财政拨款收入和支出调整率达</w:t>
      </w:r>
      <w:r>
        <w:rPr>
          <w:rFonts w:ascii="Times New Roman" w:hAnsi="Times New Roman" w:eastAsia="仿宋_GB2312"/>
          <w:snapToGrid w:val="0"/>
          <w:sz w:val="32"/>
          <w:szCs w:val="32"/>
          <w:highlight w:val="none"/>
        </w:rPr>
        <w:t>414.92%</w:t>
      </w:r>
      <w:r>
        <w:rPr>
          <w:rFonts w:hint="eastAsia" w:ascii="Times New Roman" w:hAnsi="Times New Roman" w:eastAsia="仿宋_GB2312"/>
          <w:snapToGrid w:val="0"/>
          <w:sz w:val="32"/>
          <w:szCs w:val="32"/>
          <w:highlight w:val="none"/>
        </w:rPr>
        <w:t>，调整幅度较大。</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7" w:name="_Toc26408"/>
      <w:r>
        <w:rPr>
          <w:rFonts w:hint="eastAsia" w:ascii="Times New Roman" w:hAnsi="Times New Roman" w:eastAsia="楷体_GB2312" w:cs="楷体_GB2312"/>
          <w:b/>
          <w:bCs/>
          <w:snapToGrid w:val="0"/>
          <w:sz w:val="32"/>
          <w:szCs w:val="32"/>
          <w:highlight w:val="none"/>
        </w:rPr>
        <w:t>（</w:t>
      </w:r>
      <w:r>
        <w:rPr>
          <w:rFonts w:hint="eastAsia" w:ascii="Times New Roman" w:hAnsi="Times New Roman" w:eastAsia="楷体_GB2312" w:cs="楷体_GB2312"/>
          <w:b/>
          <w:bCs/>
          <w:snapToGrid w:val="0"/>
          <w:sz w:val="32"/>
          <w:szCs w:val="32"/>
          <w:highlight w:val="none"/>
          <w:lang w:eastAsia="zh-CN"/>
        </w:rPr>
        <w:t>三</w:t>
      </w:r>
      <w:r>
        <w:rPr>
          <w:rFonts w:hint="eastAsia" w:ascii="Times New Roman" w:hAnsi="Times New Roman" w:eastAsia="楷体_GB2312" w:cs="楷体_GB2312"/>
          <w:b/>
          <w:bCs/>
          <w:snapToGrid w:val="0"/>
          <w:sz w:val="32"/>
          <w:szCs w:val="32"/>
          <w:highlight w:val="none"/>
        </w:rPr>
        <w:t>）绩效目标设置科学性有待加强</w:t>
      </w:r>
      <w:bookmarkEnd w:id="7"/>
    </w:p>
    <w:p>
      <w:pPr>
        <w:spacing w:line="360" w:lineRule="auto"/>
        <w:ind w:firstLine="640"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snapToGrid w:val="0"/>
          <w:sz w:val="32"/>
          <w:szCs w:val="32"/>
          <w:highlight w:val="none"/>
        </w:rPr>
        <w:t>部门绩效目标设置存在以下不足：一是部分效益指标归类错误，如将产出指标“居家养老及日间托老服务人次数完成率”“发现卫生黑点或被通报卫生问题及时整改率”归类为效益指标。二是部分指标内涵不明确，考核方向不清晰。如“建筑物完好率”，“建筑物”的指向，及“完好”的标准均不清晰。三是总体绩效目标与重点工作任务衔接不足。部门设置的四项重点工作任务，未能完整覆盖总体绩效目标内容，如总体目标中的“稳步推进农村集体产权制度改革、土地‘三权’分置改革”</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“持续推进高标准基本农田建设”等内容，均未在重点工作任务内容中体现。</w:t>
      </w:r>
    </w:p>
    <w:p>
      <w:pPr>
        <w:ind w:firstLine="643" w:firstLineChars="200"/>
        <w:jc w:val="both"/>
        <w:outlineLvl w:val="0"/>
        <w:rPr>
          <w:rFonts w:hint="eastAsia" w:ascii="Times New Roman" w:hAnsi="Times New Roman" w:eastAsia="黑体" w:cs="黑体"/>
          <w:b/>
          <w:snapToGrid w:val="0"/>
          <w:sz w:val="32"/>
          <w:szCs w:val="32"/>
          <w:highlight w:val="none"/>
        </w:rPr>
      </w:pPr>
      <w:bookmarkStart w:id="8" w:name="_Toc27881"/>
      <w:bookmarkStart w:id="9" w:name="_Toc27241"/>
      <w:r>
        <w:rPr>
          <w:rFonts w:hint="eastAsia" w:ascii="Times New Roman" w:hAnsi="Times New Roman" w:eastAsia="黑体" w:cs="黑体"/>
          <w:b/>
          <w:snapToGrid w:val="0"/>
          <w:sz w:val="32"/>
          <w:szCs w:val="32"/>
          <w:highlight w:val="none"/>
          <w:lang w:val="en-US" w:eastAsia="zh-CN"/>
        </w:rPr>
        <w:t>五</w:t>
      </w:r>
      <w:r>
        <w:rPr>
          <w:rFonts w:hint="eastAsia" w:ascii="Times New Roman" w:hAnsi="Times New Roman" w:eastAsia="黑体" w:cs="黑体"/>
          <w:b/>
          <w:snapToGrid w:val="0"/>
          <w:sz w:val="32"/>
          <w:szCs w:val="32"/>
          <w:highlight w:val="none"/>
        </w:rPr>
        <w:t>、相关建议</w:t>
      </w:r>
      <w:bookmarkEnd w:id="8"/>
      <w:bookmarkEnd w:id="9"/>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0" w:name="_Toc20872"/>
      <w:r>
        <w:rPr>
          <w:rFonts w:hint="eastAsia" w:ascii="Times New Roman" w:hAnsi="Times New Roman" w:eastAsia="楷体_GB2312" w:cs="楷体_GB2312"/>
          <w:b/>
          <w:bCs/>
          <w:snapToGrid w:val="0"/>
          <w:sz w:val="32"/>
          <w:szCs w:val="32"/>
          <w:highlight w:val="none"/>
        </w:rPr>
        <w:t>（一）优化</w:t>
      </w:r>
      <w:r>
        <w:rPr>
          <w:rFonts w:hint="eastAsia" w:ascii="Times New Roman" w:hAnsi="Times New Roman" w:eastAsia="楷体_GB2312" w:cs="楷体_GB2312"/>
          <w:b/>
          <w:bCs/>
          <w:snapToGrid w:val="0"/>
          <w:sz w:val="32"/>
          <w:szCs w:val="32"/>
          <w:highlight w:val="none"/>
          <w:lang w:val="en-US" w:eastAsia="zh-CN"/>
        </w:rPr>
        <w:t>干部</w:t>
      </w:r>
      <w:r>
        <w:rPr>
          <w:rFonts w:hint="eastAsia" w:ascii="Times New Roman" w:hAnsi="Times New Roman" w:eastAsia="楷体_GB2312" w:cs="楷体_GB2312"/>
          <w:b/>
          <w:bCs/>
          <w:snapToGrid w:val="0"/>
          <w:sz w:val="32"/>
          <w:szCs w:val="32"/>
          <w:highlight w:val="none"/>
        </w:rPr>
        <w:t>人才结构</w:t>
      </w:r>
      <w:bookmarkEnd w:id="10"/>
    </w:p>
    <w:p>
      <w:pPr>
        <w:spacing w:line="360" w:lineRule="auto"/>
        <w:ind w:firstLine="640"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snapToGrid w:val="0"/>
          <w:sz w:val="32"/>
          <w:szCs w:val="32"/>
          <w:highlight w:val="none"/>
        </w:rPr>
        <w:t>一是优化人才入口结构。建议单位有意识地从学历方面优化现有干部队伍结构。通过引进人才、招聘选调生等方式，提高新进人员中具备高等教育学历</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35周岁以下人员比例，优化干部结构。二是进一步拓宽人才入口。单位可在现有公开招录和选调生路径基础上，多方面将本村致富能手、外出务工经商返乡人员、本乡本土返乡大学生、退伍军人等人才纳入干部队伍，建立符合当地发展需求专业背景的干部人才队伍。</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1" w:name="_Toc10933"/>
      <w:r>
        <w:rPr>
          <w:rFonts w:hint="eastAsia" w:ascii="Times New Roman" w:hAnsi="Times New Roman" w:eastAsia="楷体_GB2312" w:cs="楷体_GB2312"/>
          <w:b/>
          <w:bCs/>
          <w:snapToGrid w:val="0"/>
          <w:sz w:val="32"/>
          <w:szCs w:val="32"/>
          <w:highlight w:val="none"/>
        </w:rPr>
        <w:t>（二）</w:t>
      </w:r>
      <w:bookmarkEnd w:id="11"/>
      <w:bookmarkStart w:id="12" w:name="_Toc4098"/>
      <w:r>
        <w:rPr>
          <w:rFonts w:hint="eastAsia" w:ascii="Times New Roman" w:hAnsi="Times New Roman" w:eastAsia="楷体_GB2312" w:cs="楷体_GB2312"/>
          <w:b/>
          <w:bCs/>
          <w:snapToGrid w:val="0"/>
          <w:sz w:val="32"/>
          <w:szCs w:val="32"/>
          <w:highlight w:val="none"/>
        </w:rPr>
        <w:t>提高预算编制科学性</w:t>
      </w:r>
      <w:r>
        <w:rPr>
          <w:rFonts w:hint="eastAsia" w:ascii="Times New Roman" w:hAnsi="Times New Roman" w:eastAsia="楷体_GB2312" w:cs="楷体_GB2312"/>
          <w:b/>
          <w:bCs/>
          <w:snapToGrid w:val="0"/>
          <w:sz w:val="32"/>
          <w:szCs w:val="32"/>
          <w:highlight w:val="none"/>
          <w:lang w:val="en-US" w:eastAsia="zh-CN"/>
        </w:rPr>
        <w:t>和</w:t>
      </w:r>
      <w:r>
        <w:rPr>
          <w:rFonts w:hint="eastAsia" w:ascii="Times New Roman" w:hAnsi="Times New Roman" w:eastAsia="楷体_GB2312" w:cs="楷体_GB2312"/>
          <w:b/>
          <w:bCs/>
          <w:snapToGrid w:val="0"/>
          <w:sz w:val="32"/>
          <w:szCs w:val="32"/>
          <w:highlight w:val="none"/>
        </w:rPr>
        <w:t>准确性</w:t>
      </w:r>
      <w:bookmarkEnd w:id="12"/>
    </w:p>
    <w:p>
      <w:pPr>
        <w:widowControl w:val="0"/>
        <w:spacing w:line="360" w:lineRule="auto"/>
        <w:ind w:firstLine="640"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snapToGrid w:val="0"/>
          <w:sz w:val="32"/>
          <w:szCs w:val="32"/>
          <w:highlight w:val="none"/>
        </w:rPr>
        <w:t>一是在预算管理上，根据单位的年度工作重点和项目专项工作规划，本着“勤俭节约、保障运转”的原则进行预算的编制。编制范围尽可能的全面、不漏项，在预算编制时首先需满足固定性的、相对刚性的费用支出项目，尽量压缩变动性的、有控制空间的费用项目，进一步提高预算编制的科学性、合理性、严谨性和可控性。二是进一步加强对预算编制的前期调研工作，尽量减少预算调整的情况出现。</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3" w:name="_Toc15307"/>
      <w:r>
        <w:rPr>
          <w:rFonts w:hint="eastAsia" w:ascii="Times New Roman" w:hAnsi="Times New Roman" w:eastAsia="楷体_GB2312" w:cs="楷体_GB2312"/>
          <w:b/>
          <w:bCs/>
          <w:snapToGrid w:val="0"/>
          <w:sz w:val="32"/>
          <w:szCs w:val="32"/>
          <w:highlight w:val="none"/>
        </w:rPr>
        <w:t>（</w:t>
      </w:r>
      <w:r>
        <w:rPr>
          <w:rFonts w:hint="eastAsia" w:ascii="Times New Roman" w:hAnsi="Times New Roman" w:eastAsia="楷体_GB2312" w:cs="楷体_GB2312"/>
          <w:b/>
          <w:bCs/>
          <w:snapToGrid w:val="0"/>
          <w:sz w:val="32"/>
          <w:szCs w:val="32"/>
          <w:highlight w:val="none"/>
          <w:lang w:eastAsia="zh-CN"/>
        </w:rPr>
        <w:t>三</w:t>
      </w:r>
      <w:r>
        <w:rPr>
          <w:rFonts w:hint="eastAsia" w:ascii="Times New Roman" w:hAnsi="Times New Roman" w:eastAsia="楷体_GB2312" w:cs="楷体_GB2312"/>
          <w:b/>
          <w:bCs/>
          <w:snapToGrid w:val="0"/>
          <w:sz w:val="32"/>
          <w:szCs w:val="32"/>
          <w:highlight w:val="none"/>
        </w:rPr>
        <w:t>）提高绩效目标设置科学性</w:t>
      </w:r>
      <w:bookmarkEnd w:id="13"/>
    </w:p>
    <w:p>
      <w:pPr>
        <w:spacing w:line="360" w:lineRule="auto"/>
        <w:ind w:firstLine="640"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snapToGrid w:val="0"/>
          <w:sz w:val="32"/>
          <w:szCs w:val="32"/>
          <w:highlight w:val="none"/>
        </w:rPr>
        <w:t>一是明确指标考核内涵，对指标考核方向做好区分。建议将“居家养老及日间托老服务人次数完成率”“发现卫生黑点或被通报卫生问题及时整改率”等硬性要求任务设为产出指标。二是遵循指标设置“关键性”原则，删除“建筑物完好率”等非部门整体核心指标的指标。三是明确部门总体目标、绩效指标和年度重点工作任务的关系，做好三者之间的衔接对应。年度重点工作任务是达成部门总体目标、绩效指标的主要工作措施，要保证年度重点工作任务完成之后，部门总体目标、绩效指标也能得以实现，故年度重点工作任务应能覆盖部门总体目标的主要内容。</w:t>
      </w:r>
    </w:p>
    <w:p>
      <w:pPr>
        <w:pStyle w:val="2"/>
        <w:rPr>
          <w:rFonts w:hint="eastAsia"/>
        </w:rPr>
      </w:pPr>
    </w:p>
    <w:p>
      <w:pPr>
        <w:rPr>
          <w:rFonts w:ascii="仿宋_GB2312" w:hAnsi="仿宋_GB2312" w:eastAsia="仿宋_GB2312" w:cs="仿宋_GB2312"/>
          <w:b w:val="0"/>
          <w:bCs w:val="0"/>
          <w:color w:val="000000"/>
          <w:sz w:val="31"/>
          <w:szCs w:val="31"/>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DA984"/>
    <w:multiLevelType w:val="singleLevel"/>
    <w:tmpl w:val="357DA98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hZjIyY2Y5YjIzZTQ1NzNhNzljOTQ0ZjdlMjdhY2EifQ=="/>
  </w:docVars>
  <w:rsids>
    <w:rsidRoot w:val="57580035"/>
    <w:rsid w:val="1DD97567"/>
    <w:rsid w:val="20E95D13"/>
    <w:rsid w:val="2B911481"/>
    <w:rsid w:val="317F3029"/>
    <w:rsid w:val="37B95FBD"/>
    <w:rsid w:val="531D2B78"/>
    <w:rsid w:val="57580035"/>
    <w:rsid w:val="6BC84406"/>
    <w:rsid w:val="6C45464C"/>
    <w:rsid w:val="7EB33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0"/>
    <w:pPr>
      <w:ind w:left="1260" w:leftChars="6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99"/>
    <w:pPr>
      <w:snapToGrid w:val="0"/>
      <w:jc w:val="left"/>
    </w:pPr>
    <w:rPr>
      <w:sz w:val="18"/>
      <w:szCs w:val="18"/>
    </w:rPr>
  </w:style>
  <w:style w:type="character" w:styleId="9">
    <w:name w:val="footnote reference"/>
    <w:qFormat/>
    <w:uiPriority w:val="99"/>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2023-09-21T06:56:00Z</dcterms:created>
  <dc:creator>陈鲜鲜</dc:creator>
  <cp:lastModifiedBy>周怡</cp:lastModifiedBy>
  <dcterms:modified xsi:type="dcterms:W3CDTF">2023-09-28T11:48:22Z</dcterms:modified>
  <dc:title>2022年广州市从化区温泉镇人民政府部门整体支出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587B2C86F73548DCBECB9A962C553927_11</vt:lpwstr>
  </property>
</Properties>
</file>