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adjustRightInd w:val="0"/>
        <w:snapToGrid w:val="0"/>
        <w:spacing w:line="560" w:lineRule="atLeast"/>
        <w:ind w:firstLine="0" w:firstLineChars="0"/>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r>
        <w:rPr>
          <w:rFonts w:hint="eastAsia" w:ascii="方正小标宋_GBK" w:hAnsi="方正小标宋_GBK" w:eastAsia="方正小标宋_GBK" w:cs="方正小标宋_GBK"/>
          <w:b w:val="0"/>
          <w:bCs w:val="0"/>
          <w:kern w:val="36"/>
          <w:sz w:val="44"/>
          <w:szCs w:val="44"/>
          <w:shd w:val="clear" w:color="auto" w:fill="FFFFFF"/>
          <w:lang w:val="en-US" w:eastAsia="zh-CN" w:bidi="ar-SA"/>
        </w:rPr>
        <w:t>2022</w:t>
      </w:r>
      <w:r>
        <w:rPr>
          <w:rFonts w:hint="eastAsia" w:ascii="方正小标宋_GBK" w:hAnsi="方正小标宋_GBK" w:eastAsia="方正小标宋_GBK" w:cs="方正小标宋_GBK"/>
          <w:b w:val="0"/>
          <w:bCs w:val="0"/>
          <w:kern w:val="36"/>
          <w:sz w:val="44"/>
          <w:szCs w:val="44"/>
          <w:shd w:val="clear" w:color="auto" w:fill="FFFFFF"/>
          <w:lang w:val="en-US" w:eastAsia="zh-CN" w:bidi="ar-SA"/>
        </w:rPr>
        <w:t>年从化区政务服务数据管理局部门整体</w:t>
      </w:r>
    </w:p>
    <w:p>
      <w:pPr>
        <w:widowControl w:val="0"/>
        <w:overflowPunct/>
        <w:adjustRightInd w:val="0"/>
        <w:snapToGrid w:val="0"/>
        <w:spacing w:line="560" w:lineRule="atLeast"/>
        <w:ind w:firstLine="0" w:firstLineChars="0"/>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bookmarkStart w:id="12" w:name="_GoBack"/>
      <w:bookmarkEnd w:id="12"/>
      <w:r>
        <w:rPr>
          <w:rFonts w:hint="eastAsia" w:ascii="方正小标宋_GBK" w:hAnsi="方正小标宋_GBK" w:eastAsia="方正小标宋_GBK" w:cs="方正小标宋_GBK"/>
          <w:b w:val="0"/>
          <w:bCs w:val="0"/>
          <w:kern w:val="36"/>
          <w:sz w:val="44"/>
          <w:szCs w:val="44"/>
          <w:shd w:val="clear" w:color="auto" w:fill="FFFFFF"/>
          <w:lang w:val="en-US" w:eastAsia="zh-CN" w:bidi="ar-SA"/>
        </w:rPr>
        <w:t>支出绩效评价报告</w:t>
      </w:r>
    </w:p>
    <w:p>
      <w:pPr>
        <w:pStyle w:val="11"/>
        <w:ind w:firstLine="0" w:firstLineChars="0"/>
        <w:jc w:val="center"/>
        <w:rPr>
          <w:rFonts w:ascii="仿宋" w:hAnsi="仿宋" w:eastAsia="仿宋" w:cs="仿宋"/>
        </w:rPr>
      </w:pPr>
      <w:r>
        <w:rPr>
          <w:rFonts w:hint="eastAsia" w:ascii="仿宋" w:hAnsi="仿宋" w:eastAsia="仿宋" w:cs="仿宋"/>
        </w:rPr>
        <w:t>广州零点有数数据科技有限公司</w:t>
      </w:r>
    </w:p>
    <w:p>
      <w:pPr>
        <w:pStyle w:val="11"/>
        <w:ind w:firstLine="640"/>
        <w:jc w:val="center"/>
        <w:rPr>
          <w:rFonts w:ascii="宋体" w:hAnsi="宋体" w:eastAsia="宋体" w:cs="宋体"/>
        </w:rPr>
      </w:pPr>
    </w:p>
    <w:p>
      <w:pPr>
        <w:pStyle w:val="11"/>
        <w:ind w:firstLine="640"/>
        <w:rPr>
          <w:b/>
          <w:bCs/>
        </w:rPr>
      </w:pPr>
      <w:r>
        <w:rPr>
          <w:rFonts w:hint="eastAsia"/>
        </w:rPr>
        <w:t>根据</w:t>
      </w:r>
      <w:r>
        <w:rPr>
          <w:rFonts w:ascii="仿宋_GB2312"/>
        </w:rPr>
        <w:t>《</w:t>
      </w:r>
      <w:r>
        <w:rPr>
          <w:rFonts w:hint="eastAsia" w:ascii="仿宋_GB2312"/>
        </w:rPr>
        <w:t>广州市从化区财政局关于开展</w:t>
      </w:r>
      <w:r>
        <w:t>2023</w:t>
      </w:r>
      <w:r>
        <w:rPr>
          <w:rFonts w:ascii="仿宋_GB2312"/>
        </w:rPr>
        <w:t>年财政支出第三方绩效评价工作的通知》</w:t>
      </w:r>
      <w:r>
        <w:rPr>
          <w:rFonts w:hint="eastAsia"/>
        </w:rPr>
        <w:t>有关要求，受</w:t>
      </w:r>
      <w:r>
        <w:rPr>
          <w:rFonts w:ascii="仿宋_GB2312"/>
        </w:rPr>
        <w:t>广州市</w:t>
      </w:r>
      <w:r>
        <w:rPr>
          <w:rFonts w:hint="eastAsia" w:ascii="仿宋_GB2312"/>
        </w:rPr>
        <w:t>从化区</w:t>
      </w:r>
      <w:r>
        <w:rPr>
          <w:rFonts w:ascii="仿宋_GB2312"/>
        </w:rPr>
        <w:t>财政局</w:t>
      </w:r>
      <w:r>
        <w:rPr>
          <w:rFonts w:hint="eastAsia"/>
        </w:rPr>
        <w:t>委托，本机构对从化区政务服务数据管理局2</w:t>
      </w:r>
      <w:r>
        <w:t>022年度部门整体支出</w:t>
      </w:r>
      <w:r>
        <w:rPr>
          <w:rFonts w:hint="eastAsia"/>
        </w:rPr>
        <w:t>进行</w:t>
      </w:r>
      <w:r>
        <w:t>绩效评价</w:t>
      </w:r>
      <w:r>
        <w:rPr>
          <w:rFonts w:hint="eastAsia"/>
        </w:rPr>
        <w:t>。经现场核查与综合分析评价，最终得出评价结论，并形成本评价报告。</w:t>
      </w:r>
      <w:r>
        <w:rPr>
          <w:rFonts w:hint="eastAsia"/>
          <w:b/>
          <w:bCs/>
        </w:rPr>
        <w:t>经综合评定，评定从化区政务服务数据管理局2022年部门整体支出绩效评价绩效等级为“良”。</w:t>
      </w:r>
    </w:p>
    <w:p>
      <w:pPr>
        <w:pStyle w:val="10"/>
        <w:numPr>
          <w:ilvl w:val="0"/>
          <w:numId w:val="1"/>
        </w:numPr>
        <w:ind w:firstLine="643"/>
      </w:pPr>
      <w:r>
        <w:rPr>
          <w:rFonts w:hint="eastAsia"/>
        </w:rPr>
        <w:t>评价部门概况</w:t>
      </w:r>
    </w:p>
    <w:p>
      <w:pPr>
        <w:pStyle w:val="11"/>
        <w:ind w:firstLine="640"/>
        <w:rPr>
          <w:rStyle w:val="15"/>
        </w:rPr>
      </w:pPr>
      <w:r>
        <w:rPr>
          <w:rFonts w:hint="eastAsia" w:ascii="仿宋_GB2312"/>
          <w:color w:val="000000"/>
          <w:kern w:val="0"/>
          <w:szCs w:val="32"/>
        </w:rPr>
        <w:t>区政务服务局</w:t>
      </w:r>
      <w:r>
        <w:rPr>
          <w:color w:val="000000"/>
          <w:kern w:val="0"/>
          <w:szCs w:val="32"/>
        </w:rPr>
        <w:t>2022</w:t>
      </w:r>
      <w:r>
        <w:rPr>
          <w:rFonts w:ascii="仿宋_GB2312"/>
          <w:color w:val="000000"/>
          <w:kern w:val="0"/>
          <w:szCs w:val="32"/>
        </w:rPr>
        <w:t>年部门整体收入合计</w:t>
      </w:r>
      <w:r>
        <w:rPr>
          <w:color w:val="000000"/>
          <w:kern w:val="0"/>
          <w:szCs w:val="32"/>
        </w:rPr>
        <w:t>19,295,907.08</w:t>
      </w:r>
      <w:r>
        <w:rPr>
          <w:rFonts w:ascii="仿宋_GB2312"/>
          <w:color w:val="000000"/>
          <w:kern w:val="0"/>
          <w:szCs w:val="32"/>
        </w:rPr>
        <w:t>元，其中：财政拨款收</w:t>
      </w:r>
      <w:r>
        <w:rPr>
          <w:rStyle w:val="15"/>
        </w:rPr>
        <w:t>入19,154,854.22元，年初结转和结余141,052.86元</w:t>
      </w:r>
      <w:r>
        <w:rPr>
          <w:rStyle w:val="15"/>
          <w:rFonts w:hint="eastAsia"/>
        </w:rPr>
        <w:t>。年初预算数为</w:t>
      </w:r>
      <w:r>
        <w:rPr>
          <w:rStyle w:val="15"/>
        </w:rPr>
        <w:t>15,932,900.00元，调整后预算数为19,295,907.08</w:t>
      </w:r>
      <w:r>
        <w:rPr>
          <w:rStyle w:val="15"/>
          <w:rFonts w:hint="eastAsia"/>
        </w:rPr>
        <w:t>元，预算调整率为</w:t>
      </w:r>
      <w:r>
        <w:rPr>
          <w:rStyle w:val="15"/>
        </w:rPr>
        <w:t>21.11%。</w:t>
      </w:r>
    </w:p>
    <w:p>
      <w:pPr>
        <w:pStyle w:val="11"/>
        <w:ind w:firstLine="640"/>
        <w:rPr>
          <w:rStyle w:val="15"/>
        </w:rPr>
      </w:pPr>
      <w:r>
        <w:rPr>
          <w:rFonts w:hint="eastAsia"/>
        </w:rPr>
        <w:t>区政务服务局</w:t>
      </w:r>
      <w:r>
        <w:t>2022年部门整体支出合计19,214,209.86元，年末结转和结余81,697.22元，</w:t>
      </w:r>
      <w:r>
        <w:rPr>
          <w:rFonts w:hint="eastAsia"/>
        </w:rPr>
        <w:t>其中：基本支出10,236,566.66元，项目支出8,977,643.20元，预算支出率为9</w:t>
      </w:r>
      <w:r>
        <w:t>9.58%</w:t>
      </w:r>
      <w:r>
        <w:rPr>
          <w:rFonts w:hint="eastAsia"/>
        </w:rPr>
        <w:t>。</w:t>
      </w:r>
    </w:p>
    <w:p>
      <w:pPr>
        <w:pStyle w:val="11"/>
        <w:ind w:firstLine="640"/>
        <w:rPr>
          <w:snapToGrid w:val="0"/>
        </w:rPr>
      </w:pPr>
      <w:r>
        <w:t>经综合分析，评定</w:t>
      </w:r>
      <w:r>
        <w:rPr>
          <w:rFonts w:hint="eastAsia"/>
        </w:rPr>
        <w:t>从化区政务服务数据管理局</w:t>
      </w:r>
      <w:r>
        <w:t>2022年部门整体支出绩效评价得分为82.01分</w:t>
      </w:r>
      <w:r>
        <w:rPr>
          <w:rFonts w:hint="eastAsia"/>
        </w:rPr>
        <w:t>，绩效等级为“良”。整体来看，</w:t>
      </w:r>
      <w:r>
        <w:t>2022年，</w:t>
      </w:r>
      <w:r>
        <w:rPr>
          <w:rFonts w:hint="eastAsia"/>
        </w:rPr>
        <w:t>区政务服务局基本能够履行部门职能，不断提高从化区政务服务能力，便利企业群众办事，但在绩效管理水平、过程管理规范性、资金支出规范性、固定资产管理上存在问题，</w:t>
      </w:r>
      <w:r>
        <w:t>需进一步完善</w:t>
      </w:r>
      <w:r>
        <w:rPr>
          <w:rFonts w:hint="eastAsia"/>
        </w:rPr>
        <w:t>。</w:t>
      </w:r>
    </w:p>
    <w:p>
      <w:pPr>
        <w:pStyle w:val="10"/>
        <w:ind w:firstLine="643"/>
      </w:pPr>
      <w:r>
        <w:rPr>
          <w:rFonts w:hint="eastAsia"/>
        </w:rPr>
        <w:t>二、绩效目标分析</w:t>
      </w:r>
    </w:p>
    <w:p>
      <w:pPr>
        <w:pStyle w:val="12"/>
        <w:ind w:firstLine="643"/>
      </w:pPr>
      <w:r>
        <w:rPr>
          <w:rFonts w:hint="eastAsia"/>
        </w:rPr>
        <w:t>（一）目标设置</w:t>
      </w:r>
    </w:p>
    <w:p>
      <w:pPr>
        <w:pStyle w:val="11"/>
        <w:ind w:firstLine="643"/>
      </w:pPr>
      <w:r>
        <w:rPr>
          <w:rFonts w:hint="eastAsia"/>
          <w:b/>
          <w:bCs/>
        </w:rPr>
        <w:t>部门2022年年度总体工作：</w:t>
      </w:r>
      <w:r>
        <w:rPr>
          <w:rFonts w:hint="eastAsia"/>
        </w:rPr>
        <w:t>区政务服务局持续深入推进政务服务改革工作、不断推进政务信息化建设工作、稳步推进广州</w:t>
      </w:r>
      <w:r>
        <w:t>12345政府服务热线承办管理工作、通过机构运行保障，人员保障及信息化运行维护等方面，提升政务服务整体水平。</w:t>
      </w:r>
    </w:p>
    <w:p>
      <w:pPr>
        <w:pStyle w:val="11"/>
        <w:ind w:firstLine="643"/>
      </w:pPr>
      <w:r>
        <w:rPr>
          <w:rFonts w:hint="eastAsia"/>
          <w:b/>
          <w:bCs/>
        </w:rPr>
        <w:t>部门2022年年度重点工作任务：</w:t>
      </w:r>
      <w:r>
        <w:t>为保障全区信息化项目平稳运维，科学统筹安排信息化项目建设，促进“数字政府”改革建设健康稳步推进，打造市场化法治化国际化的优质营商环境，由</w:t>
      </w:r>
      <w:r>
        <w:rPr>
          <w:rFonts w:hint="eastAsia"/>
        </w:rPr>
        <w:t>区政务服务局</w:t>
      </w:r>
      <w:r>
        <w:t>实施区政务服务信息化系统建设运维项目。</w:t>
      </w:r>
    </w:p>
    <w:p>
      <w:pPr>
        <w:pStyle w:val="12"/>
        <w:numPr>
          <w:ilvl w:val="0"/>
          <w:numId w:val="2"/>
        </w:numPr>
        <w:ind w:firstLine="643"/>
      </w:pPr>
      <w:r>
        <w:rPr>
          <w:rFonts w:hint="eastAsia"/>
        </w:rPr>
        <w:t>目标完成</w:t>
      </w:r>
    </w:p>
    <w:p>
      <w:pPr>
        <w:pStyle w:val="11"/>
        <w:ind w:firstLine="640"/>
        <w:rPr>
          <w:sz w:val="21"/>
          <w:szCs w:val="21"/>
        </w:rPr>
      </w:pPr>
      <w:r>
        <w:rPr>
          <w:rFonts w:hint="eastAsia"/>
        </w:rPr>
        <w:t>2</w:t>
      </w:r>
      <w:r>
        <w:t>022</w:t>
      </w:r>
      <w:r>
        <w:rPr>
          <w:rFonts w:hint="eastAsia"/>
        </w:rPr>
        <w:t>年，区政务服务局基本完成了年初设置的绩效目标，除“咨询导办人员到岗率”、“工单转派及时率”、“工单转派准确率”、“提高群众工单满意度”等指标未达预期外，其余关键指标均达到预期实现值，详见附表。</w:t>
      </w:r>
    </w:p>
    <w:p>
      <w:pPr>
        <w:pStyle w:val="13"/>
      </w:pPr>
      <w:r>
        <w:rPr>
          <w:rFonts w:hint="eastAsia"/>
        </w:rPr>
        <w:t>附表 部门整体支出绩效目标及完成情况表</w:t>
      </w:r>
    </w:p>
    <w:tbl>
      <w:tblPr>
        <w:tblStyle w:val="7"/>
        <w:tblW w:w="928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645"/>
        <w:gridCol w:w="1079"/>
        <w:gridCol w:w="1066"/>
        <w:gridCol w:w="27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blHeader/>
        </w:trPr>
        <w:tc>
          <w:tcPr>
            <w:tcW w:w="1723" w:type="dxa"/>
            <w:shd w:val="clear" w:color="auto" w:fill="auto"/>
            <w:vAlign w:val="center"/>
          </w:tcPr>
          <w:p>
            <w:pPr>
              <w:pStyle w:val="14"/>
              <w:rPr>
                <w:b/>
                <w:bCs w:val="0"/>
              </w:rPr>
            </w:pPr>
            <w:r>
              <w:rPr>
                <w:rFonts w:hint="eastAsia"/>
                <w:b/>
                <w:bCs w:val="0"/>
              </w:rPr>
              <w:t>部门整体支出目标</w:t>
            </w:r>
          </w:p>
        </w:tc>
        <w:tc>
          <w:tcPr>
            <w:tcW w:w="2645" w:type="dxa"/>
            <w:shd w:val="clear" w:color="auto" w:fill="auto"/>
            <w:vAlign w:val="center"/>
          </w:tcPr>
          <w:p>
            <w:pPr>
              <w:pStyle w:val="14"/>
              <w:rPr>
                <w:b/>
                <w:bCs w:val="0"/>
              </w:rPr>
            </w:pPr>
            <w:r>
              <w:rPr>
                <w:rFonts w:hint="eastAsia"/>
                <w:b/>
                <w:bCs w:val="0"/>
              </w:rPr>
              <w:t>关键指标</w:t>
            </w:r>
          </w:p>
        </w:tc>
        <w:tc>
          <w:tcPr>
            <w:tcW w:w="1079" w:type="dxa"/>
            <w:shd w:val="clear" w:color="auto" w:fill="auto"/>
            <w:vAlign w:val="center"/>
          </w:tcPr>
          <w:p>
            <w:pPr>
              <w:pStyle w:val="14"/>
              <w:rPr>
                <w:b/>
                <w:bCs w:val="0"/>
              </w:rPr>
            </w:pPr>
            <w:r>
              <w:rPr>
                <w:rFonts w:hint="eastAsia"/>
                <w:b/>
                <w:bCs w:val="0"/>
              </w:rPr>
              <w:t>预期实现值</w:t>
            </w:r>
          </w:p>
        </w:tc>
        <w:tc>
          <w:tcPr>
            <w:tcW w:w="1066" w:type="dxa"/>
            <w:shd w:val="clear" w:color="auto" w:fill="auto"/>
            <w:vAlign w:val="center"/>
          </w:tcPr>
          <w:p>
            <w:pPr>
              <w:pStyle w:val="14"/>
              <w:rPr>
                <w:b/>
                <w:bCs w:val="0"/>
              </w:rPr>
            </w:pPr>
            <w:r>
              <w:rPr>
                <w:rFonts w:hint="eastAsia"/>
                <w:b/>
                <w:bCs w:val="0"/>
              </w:rPr>
              <w:t>年度完成值</w:t>
            </w:r>
          </w:p>
        </w:tc>
        <w:tc>
          <w:tcPr>
            <w:tcW w:w="2773" w:type="dxa"/>
            <w:shd w:val="clear" w:color="auto" w:fill="auto"/>
            <w:vAlign w:val="center"/>
          </w:tcPr>
          <w:p>
            <w:pPr>
              <w:pStyle w:val="14"/>
              <w:rPr>
                <w:b/>
                <w:bCs w:val="0"/>
              </w:rPr>
            </w:pPr>
            <w:r>
              <w:rPr>
                <w:rFonts w:hint="eastAsia"/>
                <w:b/>
                <w:bCs w:val="0"/>
              </w:rPr>
              <w:t>具体完成情况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205" w:hRule="atLeast"/>
        </w:trPr>
        <w:tc>
          <w:tcPr>
            <w:tcW w:w="1723" w:type="dxa"/>
            <w:vMerge w:val="restart"/>
            <w:shd w:val="clear" w:color="auto" w:fill="auto"/>
            <w:vAlign w:val="center"/>
          </w:tcPr>
          <w:p>
            <w:pPr>
              <w:pStyle w:val="14"/>
            </w:pPr>
            <w:r>
              <w:rPr>
                <w:rFonts w:hint="eastAsia"/>
              </w:rPr>
              <w:t>持续深入推进政务服务改革工作、不断推进政务信息化建设工作、稳步推进广州12345政府服务热线承办管理工作、通过机构运行保障，人员保障及信息化运行维护等方面，提升政务服务整体水平。</w:t>
            </w:r>
          </w:p>
        </w:tc>
        <w:tc>
          <w:tcPr>
            <w:tcW w:w="2645" w:type="dxa"/>
            <w:shd w:val="clear" w:color="auto" w:fill="auto"/>
            <w:vAlign w:val="center"/>
          </w:tcPr>
          <w:p>
            <w:pPr>
              <w:pStyle w:val="14"/>
            </w:pPr>
            <w:r>
              <w:rPr>
                <w:rFonts w:hint="eastAsia"/>
              </w:rPr>
              <w:t>软件设备购置完成率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100%</w:t>
            </w:r>
          </w:p>
        </w:tc>
        <w:tc>
          <w:tcPr>
            <w:tcW w:w="2773" w:type="dxa"/>
            <w:shd w:val="clear" w:color="auto" w:fill="auto"/>
            <w:vAlign w:val="center"/>
          </w:tcPr>
          <w:p>
            <w:pPr>
              <w:pStyle w:val="14"/>
              <w:jc w:val="both"/>
            </w:pPr>
            <w:r>
              <w:rPr>
                <w:rFonts w:hint="eastAsia"/>
              </w:rPr>
              <w:t>电子政务外网安全设备（服务）采购项目已采购3台万兆防火墙、2台华为云平台万兆防火墙、1套态势感知系统、1套终端安全管理系统和1台上网行为管理。所有软件设备于2021年全部采购安装调试完成，已在从化区电子政务网络系统中正常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咨询导办人员配备达标率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100%</w:t>
            </w:r>
          </w:p>
        </w:tc>
        <w:tc>
          <w:tcPr>
            <w:tcW w:w="2773" w:type="dxa"/>
            <w:shd w:val="clear" w:color="auto" w:fill="auto"/>
            <w:vAlign w:val="center"/>
          </w:tcPr>
          <w:p>
            <w:pPr>
              <w:pStyle w:val="14"/>
              <w:jc w:val="both"/>
            </w:pPr>
            <w:r>
              <w:rPr>
                <w:rFonts w:hint="eastAsia"/>
              </w:rPr>
              <w:t>根据《人力资源服务派遣协议书》，乙方派遣2人咨询导办人员，咨询导办人员配备达标率为100%。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疑难工单现场踏勘完成率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100%</w:t>
            </w:r>
          </w:p>
        </w:tc>
        <w:tc>
          <w:tcPr>
            <w:tcW w:w="2773" w:type="dxa"/>
            <w:shd w:val="clear" w:color="auto" w:fill="auto"/>
            <w:vAlign w:val="center"/>
          </w:tcPr>
          <w:p>
            <w:pPr>
              <w:pStyle w:val="14"/>
              <w:jc w:val="both"/>
            </w:pPr>
            <w:r>
              <w:rPr>
                <w:rFonts w:hint="eastAsia"/>
              </w:rPr>
              <w:t>2022年1-10月共有31件疑难工单，通过核实现场照片，疑难工单现场踏勘31次，现场探勘完成率为100%。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软件设备预期功能达标率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100%</w:t>
            </w:r>
          </w:p>
        </w:tc>
        <w:tc>
          <w:tcPr>
            <w:tcW w:w="2773" w:type="dxa"/>
            <w:shd w:val="clear" w:color="auto" w:fill="auto"/>
            <w:vAlign w:val="center"/>
          </w:tcPr>
          <w:p>
            <w:pPr>
              <w:pStyle w:val="14"/>
              <w:jc w:val="both"/>
            </w:pPr>
            <w:r>
              <w:rPr>
                <w:rFonts w:hint="eastAsia"/>
              </w:rPr>
              <w:t>软件设备预期功能均达标。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7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咨询导办人员到岗率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50%</w:t>
            </w:r>
          </w:p>
        </w:tc>
        <w:tc>
          <w:tcPr>
            <w:tcW w:w="2773" w:type="dxa"/>
            <w:shd w:val="clear" w:color="auto" w:fill="auto"/>
            <w:vAlign w:val="center"/>
          </w:tcPr>
          <w:p>
            <w:pPr>
              <w:pStyle w:val="14"/>
              <w:jc w:val="both"/>
            </w:pPr>
            <w:r>
              <w:rPr>
                <w:rFonts w:hint="eastAsia"/>
              </w:rPr>
              <w:t>根据单位提交的考勤表及抽调函，2022年仅有1名导办员到岗工作，到岗率为50%。另1名导办员被抽调参加疫情防控工作，时间为2022年4月-10月，未见其他月份的抽调函。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工单转派及时率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100%</w:t>
            </w:r>
          </w:p>
        </w:tc>
        <w:tc>
          <w:tcPr>
            <w:tcW w:w="2773" w:type="dxa"/>
            <w:shd w:val="clear" w:color="auto" w:fill="auto"/>
            <w:vAlign w:val="center"/>
          </w:tcPr>
          <w:p>
            <w:pPr>
              <w:pStyle w:val="14"/>
              <w:jc w:val="both"/>
            </w:pPr>
            <w:r>
              <w:rPr>
                <w:rFonts w:hint="eastAsia"/>
              </w:rPr>
              <w:t>据12345中心提供的材料，工单转派及时率为99.89%。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出现网络安全事故次数</w:t>
            </w:r>
          </w:p>
        </w:tc>
        <w:tc>
          <w:tcPr>
            <w:tcW w:w="1079" w:type="dxa"/>
            <w:shd w:val="clear" w:color="auto" w:fill="auto"/>
            <w:vAlign w:val="center"/>
          </w:tcPr>
          <w:p>
            <w:pPr>
              <w:pStyle w:val="14"/>
            </w:pPr>
            <w:r>
              <w:rPr>
                <w:rFonts w:hint="eastAsia"/>
              </w:rPr>
              <w:t>0次</w:t>
            </w:r>
          </w:p>
        </w:tc>
        <w:tc>
          <w:tcPr>
            <w:tcW w:w="1066" w:type="dxa"/>
            <w:shd w:val="clear" w:color="auto" w:fill="auto"/>
            <w:vAlign w:val="center"/>
          </w:tcPr>
          <w:p>
            <w:pPr>
              <w:pStyle w:val="14"/>
            </w:pPr>
            <w:r>
              <w:rPr>
                <w:rFonts w:hint="eastAsia"/>
              </w:rPr>
              <w:t>0次</w:t>
            </w:r>
          </w:p>
        </w:tc>
        <w:tc>
          <w:tcPr>
            <w:tcW w:w="2773" w:type="dxa"/>
            <w:shd w:val="clear" w:color="auto" w:fill="auto"/>
            <w:vAlign w:val="center"/>
          </w:tcPr>
          <w:p>
            <w:pPr>
              <w:pStyle w:val="14"/>
              <w:jc w:val="both"/>
            </w:pPr>
            <w:r>
              <w:rPr>
                <w:rFonts w:hint="eastAsia"/>
              </w:rPr>
              <w:t>2022年期间未发生网络安全事故。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咨询导办人员绩效考核评价合格率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100%</w:t>
            </w:r>
          </w:p>
        </w:tc>
        <w:tc>
          <w:tcPr>
            <w:tcW w:w="2773" w:type="dxa"/>
            <w:shd w:val="clear" w:color="auto" w:fill="auto"/>
            <w:vAlign w:val="center"/>
          </w:tcPr>
          <w:p>
            <w:pPr>
              <w:pStyle w:val="14"/>
              <w:jc w:val="both"/>
            </w:pPr>
            <w:r>
              <w:rPr>
                <w:rFonts w:hint="eastAsia"/>
              </w:rPr>
              <w:t>根据单位提供材料，2022年项目单位对咨询导办人员进行4次考核，考核均合格。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工单转派准确率</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92.66%</w:t>
            </w:r>
          </w:p>
        </w:tc>
        <w:tc>
          <w:tcPr>
            <w:tcW w:w="2773" w:type="dxa"/>
            <w:shd w:val="clear" w:color="auto" w:fill="auto"/>
            <w:vAlign w:val="center"/>
          </w:tcPr>
          <w:p>
            <w:pPr>
              <w:pStyle w:val="14"/>
              <w:jc w:val="both"/>
            </w:pPr>
            <w:r>
              <w:rPr>
                <w:rFonts w:hint="eastAsia"/>
              </w:rPr>
              <w:t>据12345中心提供的材料，准确率为92.66%。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软件设备使用满意度</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100%</w:t>
            </w:r>
          </w:p>
        </w:tc>
        <w:tc>
          <w:tcPr>
            <w:tcW w:w="2773" w:type="dxa"/>
            <w:shd w:val="clear" w:color="auto" w:fill="auto"/>
            <w:vAlign w:val="center"/>
          </w:tcPr>
          <w:p>
            <w:pPr>
              <w:pStyle w:val="14"/>
              <w:jc w:val="both"/>
            </w:pPr>
            <w:r>
              <w:rPr>
                <w:rFonts w:hint="eastAsia"/>
              </w:rPr>
              <w:t>根据满意度调查结果，软件设备使用满意度为100%。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群众满意度</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96.97%</w:t>
            </w:r>
          </w:p>
        </w:tc>
        <w:tc>
          <w:tcPr>
            <w:tcW w:w="2773" w:type="dxa"/>
            <w:shd w:val="clear" w:color="auto" w:fill="auto"/>
            <w:vAlign w:val="center"/>
          </w:tcPr>
          <w:p>
            <w:pPr>
              <w:pStyle w:val="14"/>
              <w:jc w:val="both"/>
            </w:pPr>
            <w:r>
              <w:rPr>
                <w:rFonts w:hint="eastAsia"/>
              </w:rPr>
              <w:t>群众满意度为96.97%。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723" w:type="dxa"/>
            <w:vMerge w:val="continue"/>
            <w:vAlign w:val="center"/>
          </w:tcPr>
          <w:p>
            <w:pPr>
              <w:pStyle w:val="14"/>
            </w:pPr>
          </w:p>
        </w:tc>
        <w:tc>
          <w:tcPr>
            <w:tcW w:w="2645" w:type="dxa"/>
            <w:shd w:val="clear" w:color="auto" w:fill="auto"/>
            <w:vAlign w:val="center"/>
          </w:tcPr>
          <w:p>
            <w:pPr>
              <w:pStyle w:val="14"/>
            </w:pPr>
            <w:r>
              <w:rPr>
                <w:rFonts w:hint="eastAsia"/>
              </w:rPr>
              <w:t>提升群众工单满意度</w:t>
            </w:r>
          </w:p>
        </w:tc>
        <w:tc>
          <w:tcPr>
            <w:tcW w:w="1079" w:type="dxa"/>
            <w:shd w:val="clear" w:color="auto" w:fill="auto"/>
            <w:vAlign w:val="center"/>
          </w:tcPr>
          <w:p>
            <w:pPr>
              <w:pStyle w:val="14"/>
            </w:pPr>
            <w:r>
              <w:rPr>
                <w:rFonts w:hint="eastAsia"/>
              </w:rPr>
              <w:t>100%</w:t>
            </w:r>
          </w:p>
        </w:tc>
        <w:tc>
          <w:tcPr>
            <w:tcW w:w="1066" w:type="dxa"/>
            <w:shd w:val="clear" w:color="auto" w:fill="auto"/>
            <w:vAlign w:val="center"/>
          </w:tcPr>
          <w:p>
            <w:pPr>
              <w:pStyle w:val="14"/>
            </w:pPr>
            <w:r>
              <w:rPr>
                <w:rFonts w:hint="eastAsia"/>
              </w:rPr>
              <w:t>93.63%</w:t>
            </w:r>
          </w:p>
        </w:tc>
        <w:tc>
          <w:tcPr>
            <w:tcW w:w="2773" w:type="dxa"/>
            <w:shd w:val="clear" w:color="auto" w:fill="auto"/>
            <w:vAlign w:val="center"/>
          </w:tcPr>
          <w:p>
            <w:pPr>
              <w:pStyle w:val="14"/>
              <w:jc w:val="both"/>
            </w:pPr>
            <w:r>
              <w:rPr>
                <w:rFonts w:hint="eastAsia"/>
              </w:rPr>
              <w:t>群众工单满意率为93.63%。</w:t>
            </w:r>
          </w:p>
        </w:tc>
      </w:tr>
    </w:tbl>
    <w:p>
      <w:pPr>
        <w:pStyle w:val="11"/>
        <w:ind w:firstLine="640"/>
      </w:pPr>
    </w:p>
    <w:p>
      <w:pPr>
        <w:pStyle w:val="10"/>
        <w:ind w:firstLine="643"/>
      </w:pPr>
      <w:r>
        <w:rPr>
          <w:rFonts w:hint="eastAsia"/>
        </w:rPr>
        <w:t>三、部门主要绩效</w:t>
      </w:r>
    </w:p>
    <w:p>
      <w:pPr>
        <w:pStyle w:val="12"/>
        <w:ind w:firstLine="643"/>
        <w:rPr>
          <w:snapToGrid w:val="0"/>
        </w:rPr>
      </w:pPr>
      <w:bookmarkStart w:id="0" w:name="_Toc146035790"/>
      <w:r>
        <w:rPr>
          <w:rFonts w:hint="eastAsia"/>
          <w:snapToGrid w:val="0"/>
        </w:rPr>
        <w:t>（一）</w:t>
      </w:r>
      <w:r>
        <w:rPr>
          <w:rFonts w:hint="eastAsia"/>
        </w:rPr>
        <w:t>推进政务服务标准化建设</w:t>
      </w:r>
      <w:r>
        <w:rPr>
          <w:rFonts w:hint="eastAsia"/>
          <w:snapToGrid w:val="0"/>
        </w:rPr>
        <w:t>，提高电子证照应用程度</w:t>
      </w:r>
      <w:bookmarkEnd w:id="0"/>
    </w:p>
    <w:p>
      <w:pPr>
        <w:pStyle w:val="11"/>
        <w:ind w:firstLine="643"/>
      </w:pPr>
      <w:r>
        <w:rPr>
          <w:rFonts w:hint="eastAsia"/>
          <w:b/>
          <w:bCs/>
        </w:rPr>
        <w:t>一是</w:t>
      </w:r>
      <w:r>
        <w:rPr>
          <w:rFonts w:hint="eastAsia"/>
        </w:rPr>
        <w:t>推进政务服务事项实施清单标准化，统一办事指南模块，建立政务服务事项动态管理机制，实现全区依申请政务服务事项“一网通办”。</w:t>
      </w:r>
    </w:p>
    <w:p>
      <w:pPr>
        <w:pStyle w:val="11"/>
        <w:ind w:firstLine="643"/>
      </w:pPr>
      <w:r>
        <w:rPr>
          <w:rFonts w:hint="eastAsia"/>
          <w:b/>
          <w:bCs/>
        </w:rPr>
        <w:t>二是</w:t>
      </w:r>
      <w:r>
        <w:rPr>
          <w:rFonts w:hint="eastAsia"/>
        </w:rPr>
        <w:t>拓宽“跨域通办”范围，梳理全区1797项跨域通办事项，并在广东省政务服务网公布，进一步扩大政务服务“跨域通办”范围。</w:t>
      </w:r>
    </w:p>
    <w:p>
      <w:pPr>
        <w:pStyle w:val="11"/>
        <w:ind w:firstLine="643"/>
      </w:pPr>
      <w:r>
        <w:rPr>
          <w:rFonts w:hint="eastAsia"/>
          <w:b/>
          <w:bCs/>
        </w:rPr>
        <w:t>三是</w:t>
      </w:r>
      <w:r>
        <w:rPr>
          <w:rFonts w:hint="eastAsia"/>
        </w:rPr>
        <w:t>提高电子证照应用程度，推进“减证便企（民）”，加大电子印章、电子证照的管理和“网上身份认证”技术的应用深度，完成从化区电子印章全覆盖，启用广州市电子证照系统，通过数据共享、在线核验等方式，建立“亮码办事”服务能力，实现办事材料的免提交。</w:t>
      </w:r>
    </w:p>
    <w:p>
      <w:pPr>
        <w:pStyle w:val="12"/>
        <w:ind w:firstLine="643"/>
        <w:rPr>
          <w:snapToGrid w:val="0"/>
        </w:rPr>
      </w:pPr>
      <w:bookmarkStart w:id="1" w:name="_Toc146035791"/>
      <w:r>
        <w:rPr>
          <w:rFonts w:hint="eastAsia"/>
          <w:snapToGrid w:val="0"/>
        </w:rPr>
        <w:t>（二）</w:t>
      </w:r>
      <w:r>
        <w:rPr>
          <w:rFonts w:hint="eastAsia"/>
        </w:rPr>
        <w:t>深化政务服务便利化建设，提升企业群众办事便利度</w:t>
      </w:r>
      <w:bookmarkEnd w:id="1"/>
    </w:p>
    <w:p>
      <w:pPr>
        <w:pStyle w:val="11"/>
        <w:ind w:firstLine="643"/>
      </w:pPr>
      <w:r>
        <w:rPr>
          <w:rFonts w:hint="eastAsia"/>
          <w:b/>
          <w:bCs/>
        </w:rPr>
        <w:t>一是</w:t>
      </w:r>
      <w:r>
        <w:rPr>
          <w:rFonts w:hint="eastAsia"/>
        </w:rPr>
        <w:t>推出“政务+邮政”双向免费寄递服务，实现727个政务服务事项办事材料和结果可通过邮政物流进行交换，助力企业办事“零跑动”。</w:t>
      </w:r>
    </w:p>
    <w:p>
      <w:pPr>
        <w:pStyle w:val="11"/>
        <w:ind w:firstLine="643"/>
      </w:pPr>
      <w:r>
        <w:rPr>
          <w:rFonts w:hint="eastAsia"/>
          <w:b/>
          <w:bCs/>
        </w:rPr>
        <w:t>二是</w:t>
      </w:r>
      <w:r>
        <w:rPr>
          <w:rFonts w:hint="eastAsia"/>
        </w:rPr>
        <w:t>推行跨域“云办理”，与省内外16个城市签订合作协议，开展异地代收代办合作，实现群众异地办事。</w:t>
      </w:r>
    </w:p>
    <w:p>
      <w:pPr>
        <w:pStyle w:val="11"/>
        <w:ind w:firstLine="643"/>
      </w:pPr>
      <w:r>
        <w:rPr>
          <w:rFonts w:hint="eastAsia"/>
          <w:b/>
          <w:bCs/>
        </w:rPr>
        <w:t>三是</w:t>
      </w:r>
      <w:r>
        <w:rPr>
          <w:rFonts w:hint="eastAsia"/>
        </w:rPr>
        <w:t>上线“云窗口”，开设“云坐席”56个，通过“政务晓屋”可视化窗口，为企业和群众提供远程政务服务。</w:t>
      </w:r>
    </w:p>
    <w:p>
      <w:pPr>
        <w:pStyle w:val="11"/>
        <w:ind w:firstLine="643"/>
      </w:pPr>
      <w:r>
        <w:rPr>
          <w:rFonts w:hint="eastAsia"/>
          <w:b/>
          <w:bCs/>
        </w:rPr>
        <w:t>四是</w:t>
      </w:r>
      <w:r>
        <w:rPr>
          <w:rFonts w:hint="eastAsia"/>
        </w:rPr>
        <w:t>建立健全政企互动沟通机制，在区政务门户网站开设营商环境专栏，汇聚营商环境政策等信息，设立代办服务室，为企业提供咨询、帮办、代办服务，推出“好差评”制度，接受企业对政服务全过程监督。</w:t>
      </w:r>
    </w:p>
    <w:p>
      <w:pPr>
        <w:pStyle w:val="11"/>
        <w:ind w:firstLine="643"/>
      </w:pPr>
      <w:r>
        <w:rPr>
          <w:rFonts w:hint="eastAsia"/>
          <w:b/>
          <w:bCs/>
        </w:rPr>
        <w:t>五是</w:t>
      </w:r>
      <w:r>
        <w:rPr>
          <w:rFonts w:hint="eastAsia"/>
        </w:rPr>
        <w:t>开展“穗好办”区级平台建设工作，将服务企业、群众的</w:t>
      </w:r>
      <w:r>
        <w:t>172项高频政务服务事项纳入</w:t>
      </w:r>
      <w:r>
        <w:rPr>
          <w:rFonts w:hint="eastAsia"/>
        </w:rPr>
        <w:t>“</w:t>
      </w:r>
      <w:r>
        <w:t>穗好办</w:t>
      </w:r>
      <w:r>
        <w:rPr>
          <w:rFonts w:hint="eastAsia"/>
        </w:rPr>
        <w:t>”</w:t>
      </w:r>
      <w:r>
        <w:t>从化专区，推动政务服务事项从</w:t>
      </w:r>
      <w:r>
        <w:rPr>
          <w:rFonts w:hint="eastAsia"/>
        </w:rPr>
        <w:t>“</w:t>
      </w:r>
      <w:r>
        <w:t>现场办</w:t>
      </w:r>
      <w:r>
        <w:rPr>
          <w:rFonts w:hint="eastAsia"/>
        </w:rPr>
        <w:t>”</w:t>
      </w:r>
      <w:r>
        <w:t>向</w:t>
      </w:r>
      <w:r>
        <w:rPr>
          <w:rFonts w:hint="eastAsia"/>
        </w:rPr>
        <w:t>“</w:t>
      </w:r>
      <w:r>
        <w:t>网上办、掌上办、刷脸办、随时办、随地办</w:t>
      </w:r>
      <w:r>
        <w:rPr>
          <w:rFonts w:hint="eastAsia"/>
        </w:rPr>
        <w:t>”</w:t>
      </w:r>
      <w:r>
        <w:t>发展</w:t>
      </w:r>
      <w:r>
        <w:rPr>
          <w:rFonts w:hint="eastAsia"/>
        </w:rPr>
        <w:t>，便利企业群众办事。</w:t>
      </w:r>
    </w:p>
    <w:p>
      <w:pPr>
        <w:pStyle w:val="12"/>
        <w:ind w:firstLine="643"/>
        <w:rPr>
          <w:snapToGrid w:val="0"/>
        </w:rPr>
      </w:pPr>
      <w:bookmarkStart w:id="2" w:name="_Toc146035792"/>
      <w:r>
        <w:rPr>
          <w:rFonts w:hint="eastAsia"/>
          <w:snapToGrid w:val="0"/>
        </w:rPr>
        <w:t>（三）提高政务热线服务能力，解决企业群众急难愁盼问题</w:t>
      </w:r>
      <w:bookmarkEnd w:id="2"/>
    </w:p>
    <w:p>
      <w:pPr>
        <w:pStyle w:val="11"/>
        <w:ind w:firstLine="643"/>
      </w:pPr>
      <w:r>
        <w:rPr>
          <w:rFonts w:hint="eastAsia"/>
          <w:b/>
          <w:bCs/>
        </w:rPr>
        <w:t>一是</w:t>
      </w:r>
      <w:r>
        <w:rPr>
          <w:rFonts w:hint="eastAsia"/>
        </w:rPr>
        <w:t>健全工单办理机制，提高工单办结时效性。项目单位按照《从化区人民政府办公室关于印发从化12345政府服务热线事项承办责任主体联合审定工作细则的通知》要求，完善办理机制体系，设置当天到期预警工单、超时工单经办部门领导层的短信提醒，完成了对热线各经办部门承办人员提醒业务的检查和更新。对疫情、整改等重点工单，坚持每天通过粤政易、电话提醒等方式督促落实，保障办理质量。</w:t>
      </w:r>
      <w:r>
        <w:t>2022年</w:t>
      </w:r>
      <w:r>
        <w:rPr>
          <w:rFonts w:hint="eastAsia"/>
        </w:rPr>
        <w:t>从化</w:t>
      </w:r>
      <w:r>
        <w:t>区共受理工单60,259件，同比增长50.39%，其中：按时完成55</w:t>
      </w:r>
      <w:r>
        <w:rPr>
          <w:rFonts w:hint="eastAsia"/>
        </w:rPr>
        <w:t>,</w:t>
      </w:r>
      <w:r>
        <w:t>297件，按时完成率99.90%</w:t>
      </w:r>
      <w:r>
        <w:rPr>
          <w:rFonts w:hint="eastAsia"/>
        </w:rPr>
        <w:t>。</w:t>
      </w:r>
    </w:p>
    <w:p>
      <w:pPr>
        <w:pStyle w:val="11"/>
        <w:ind w:firstLine="643"/>
      </w:pPr>
      <w:r>
        <w:rPr>
          <w:rFonts w:hint="eastAsia"/>
          <w:b/>
          <w:bCs/>
        </w:rPr>
        <w:t>二是</w:t>
      </w:r>
      <w:r>
        <w:rPr>
          <w:rFonts w:hint="eastAsia"/>
        </w:rPr>
        <w:t>推动解决群众急难愁盼问题。</w:t>
      </w:r>
      <w:r>
        <w:rPr>
          <w:rFonts w:hAnsi="Calibri"/>
        </w:rPr>
        <w:t>草拟《进一步提升广州12345政务服务便民热线工作方案》，</w:t>
      </w:r>
      <w:r>
        <w:rPr>
          <w:rFonts w:hint="eastAsia" w:hAnsi="Calibri"/>
        </w:rPr>
        <w:t>进一步规范考核通报、业务培训、协调监督等工作以及申诉流程，</w:t>
      </w:r>
      <w:r>
        <w:rPr>
          <w:rFonts w:hAnsi="Calibri"/>
        </w:rPr>
        <w:t>针对疑难工单采取实地踏勘、工单协调会、联合审定等形式分别就工单内容表述不清、地界不明、涉及多个职能部门、法律法规不明晰或新生事物等确定承办部门，顺利处理重点难点工单29件</w:t>
      </w:r>
      <w:r>
        <w:rPr>
          <w:rFonts w:hint="eastAsia" w:hAnsi="Calibri"/>
        </w:rPr>
        <w:t>。</w:t>
      </w:r>
    </w:p>
    <w:p>
      <w:pPr>
        <w:pStyle w:val="11"/>
        <w:ind w:firstLine="643"/>
        <w:rPr>
          <w:rFonts w:ascii="Calibri" w:eastAsia="宋体"/>
          <w:sz w:val="21"/>
          <w:szCs w:val="21"/>
        </w:rPr>
      </w:pPr>
      <w:r>
        <w:rPr>
          <w:rFonts w:hint="eastAsia"/>
          <w:b/>
          <w:bCs/>
        </w:rPr>
        <w:t>三是</w:t>
      </w:r>
      <w:r>
        <w:rPr>
          <w:rFonts w:hint="eastAsia"/>
        </w:rPr>
        <w:t>完善派单机制，推动疑难工单办理。建立区领导干部接听接访落实机制、重点事项保障机制，采取部门包案、实地协调等多种形式，缩减转派层级，提高转派效率。完善派单规则，形成闭环管理。采取即接即办、协调同步等多种方式，落实镇街（园区）设三级账户管理制度、涉法涉诉联合沟通办理制度，进一步加强部门联动审查、联合办理，强化跟踪催办，促进疑难工单办理有效办理。</w:t>
      </w:r>
    </w:p>
    <w:p>
      <w:pPr>
        <w:pStyle w:val="10"/>
        <w:ind w:firstLine="643"/>
      </w:pPr>
      <w:r>
        <w:rPr>
          <w:rFonts w:hint="eastAsia"/>
        </w:rPr>
        <w:t>四、存在问题</w:t>
      </w:r>
    </w:p>
    <w:p>
      <w:pPr>
        <w:pStyle w:val="12"/>
        <w:ind w:firstLine="643"/>
        <w:rPr>
          <w:snapToGrid w:val="0"/>
        </w:rPr>
      </w:pPr>
      <w:bookmarkStart w:id="3" w:name="_Toc146035794"/>
      <w:bookmarkStart w:id="4" w:name="_Toc143268572"/>
      <w:r>
        <w:rPr>
          <w:rFonts w:hint="eastAsia"/>
          <w:snapToGrid w:val="0"/>
        </w:rPr>
        <w:t>（一）预算编制不够精细化，绩效管理水平待提升</w:t>
      </w:r>
      <w:bookmarkEnd w:id="3"/>
    </w:p>
    <w:bookmarkEnd w:id="4"/>
    <w:p>
      <w:pPr>
        <w:pStyle w:val="11"/>
        <w:ind w:firstLine="643"/>
        <w:rPr>
          <w:snapToGrid w:val="0"/>
          <w:kern w:val="0"/>
          <w:szCs w:val="32"/>
        </w:rPr>
      </w:pPr>
      <w:r>
        <w:rPr>
          <w:rFonts w:hint="eastAsia"/>
          <w:b/>
          <w:bCs/>
          <w:snapToGrid w:val="0"/>
          <w:kern w:val="0"/>
          <w:szCs w:val="32"/>
        </w:rPr>
        <w:t>1</w:t>
      </w:r>
      <w:r>
        <w:rPr>
          <w:b/>
          <w:bCs/>
          <w:snapToGrid w:val="0"/>
          <w:kern w:val="0"/>
          <w:szCs w:val="32"/>
        </w:rPr>
        <w:t>.</w:t>
      </w:r>
      <w:r>
        <w:rPr>
          <w:rFonts w:hint="eastAsia"/>
          <w:b/>
          <w:bCs/>
          <w:snapToGrid w:val="0"/>
          <w:kern w:val="0"/>
          <w:szCs w:val="32"/>
        </w:rPr>
        <w:t>预算编制缺乏较为详细具体的估算依据。</w:t>
      </w:r>
      <w:r>
        <w:rPr>
          <w:rFonts w:hint="eastAsia"/>
          <w:snapToGrid w:val="0"/>
          <w:kern w:val="0"/>
          <w:szCs w:val="32"/>
        </w:rPr>
        <w:t>较多项目</w:t>
      </w:r>
      <w:r>
        <w:rPr>
          <w:rFonts w:ascii="仿宋_GB2312"/>
          <w:kern w:val="0"/>
        </w:rPr>
        <w:t>缺乏相应的立项方案，</w:t>
      </w:r>
      <w:r>
        <w:rPr>
          <w:rFonts w:hint="eastAsia" w:ascii="仿宋_GB2312"/>
          <w:kern w:val="0"/>
        </w:rPr>
        <w:t>部分项目虽然提供了立项方案，但方案结构和内容简单，</w:t>
      </w:r>
      <w:r>
        <w:rPr>
          <w:rFonts w:ascii="仿宋_GB2312"/>
          <w:kern w:val="0"/>
        </w:rPr>
        <w:t>没有遵循广州市政数局的相关立项方案模板编制要求</w:t>
      </w:r>
      <w:r>
        <w:rPr>
          <w:rFonts w:hint="eastAsia" w:ascii="仿宋_GB2312"/>
          <w:kern w:val="0"/>
        </w:rPr>
        <w:t>，缺乏信息化建设现状分析、项目管理、项目投资概算等模块，且建设或服务内容描述较为简单。</w:t>
      </w:r>
      <w:r>
        <w:rPr>
          <w:rFonts w:hint="eastAsia"/>
          <w:snapToGrid w:val="0"/>
          <w:kern w:val="0"/>
          <w:szCs w:val="32"/>
        </w:rPr>
        <w:t>特别是延续性运维项目主要按照往年的费用，没有明确人员级别、人员数量和服务时间等相关信息。开发类项目也缺乏相应的工作量、人员投入情况、人员级别等相关信息，费用编制依据不够充分，</w:t>
      </w:r>
      <w:r>
        <w:rPr>
          <w:rFonts w:hint="eastAsia" w:ascii="仿宋_GB2312"/>
          <w:kern w:val="0"/>
        </w:rPr>
        <w:t>立项方案编制不够严谨，无法确认各项费用的合理性。</w:t>
      </w:r>
    </w:p>
    <w:p>
      <w:pPr>
        <w:pStyle w:val="11"/>
        <w:ind w:firstLine="643"/>
        <w:rPr>
          <w:snapToGrid w:val="0"/>
          <w:kern w:val="0"/>
          <w:szCs w:val="32"/>
        </w:rPr>
      </w:pPr>
      <w:r>
        <w:rPr>
          <w:rFonts w:hint="eastAsia"/>
          <w:b/>
          <w:bCs/>
          <w:snapToGrid w:val="0"/>
          <w:kern w:val="0"/>
          <w:szCs w:val="32"/>
        </w:rPr>
        <w:t>2</w:t>
      </w:r>
      <w:r>
        <w:rPr>
          <w:b/>
          <w:bCs/>
          <w:snapToGrid w:val="0"/>
          <w:kern w:val="0"/>
          <w:szCs w:val="32"/>
        </w:rPr>
        <w:t>.</w:t>
      </w:r>
      <w:r>
        <w:rPr>
          <w:rFonts w:hint="eastAsia"/>
          <w:b/>
          <w:bCs/>
          <w:snapToGrid w:val="0"/>
          <w:kern w:val="0"/>
          <w:szCs w:val="32"/>
        </w:rPr>
        <w:t>绩效目标和绩效指标设置不够科学。一是</w:t>
      </w:r>
      <w:r>
        <w:rPr>
          <w:rFonts w:hint="eastAsia"/>
          <w:snapToGrid w:val="0"/>
          <w:kern w:val="0"/>
          <w:szCs w:val="32"/>
        </w:rPr>
        <w:t>该项目年度整体绩效目标设置合理性和可量化性不足。部门年初所设置部门整体支出绩效目标照搬部门职能，未能根据当年度重点工作任务细化绩效目标。中期监控后年度绩效目标调整为“持续深入推进政务服务改革工作、不断推进政务信息化建设工作、稳步推进广州</w:t>
      </w:r>
      <w:r>
        <w:rPr>
          <w:snapToGrid w:val="0"/>
          <w:kern w:val="0"/>
          <w:szCs w:val="32"/>
        </w:rPr>
        <w:t>12345政府服务热线承办管理工作、通过机构运行保障，人员保障及信息化运行维护等方面，提升政务服务整体水平</w:t>
      </w:r>
      <w:r>
        <w:rPr>
          <w:rFonts w:hint="eastAsia"/>
          <w:snapToGrid w:val="0"/>
          <w:kern w:val="0"/>
          <w:szCs w:val="32"/>
        </w:rPr>
        <w:t>”，但仍未设置可量化的总体性效果指标。</w:t>
      </w:r>
      <w:r>
        <w:rPr>
          <w:rFonts w:hint="eastAsia"/>
          <w:b/>
          <w:bCs/>
          <w:snapToGrid w:val="0"/>
          <w:kern w:val="0"/>
          <w:szCs w:val="32"/>
        </w:rPr>
        <w:t>二是</w:t>
      </w:r>
      <w:r>
        <w:rPr>
          <w:rFonts w:hint="eastAsia"/>
          <w:snapToGrid w:val="0"/>
          <w:kern w:val="0"/>
          <w:szCs w:val="32"/>
        </w:rPr>
        <w:t>绩效指标设置不够全面，未根据部门职能及重点工作任务设置相关联、相匹配的绩效指标，如未根据推进“数字政府”改革建设、政务服务便利化改革持续深化等工作内容设置相应的绩效指标，如“减跑动”、“即办率”、“材料压缩率”、“上线跨省通办政务服务事项数”、“政务一体机覆盖率”等指标，无法全面衡量部门履职产生的效益。</w:t>
      </w:r>
    </w:p>
    <w:p>
      <w:pPr>
        <w:pStyle w:val="11"/>
        <w:ind w:firstLine="643"/>
        <w:rPr>
          <w:snapToGrid w:val="0"/>
          <w:kern w:val="0"/>
          <w:szCs w:val="32"/>
        </w:rPr>
      </w:pPr>
      <w:r>
        <w:rPr>
          <w:rFonts w:hint="eastAsia"/>
          <w:b/>
          <w:bCs/>
          <w:snapToGrid w:val="0"/>
          <w:kern w:val="0"/>
          <w:szCs w:val="32"/>
        </w:rPr>
        <w:t>3</w:t>
      </w:r>
      <w:r>
        <w:rPr>
          <w:b/>
          <w:bCs/>
          <w:snapToGrid w:val="0"/>
          <w:kern w:val="0"/>
          <w:szCs w:val="32"/>
        </w:rPr>
        <w:t>.</w:t>
      </w:r>
      <w:r>
        <w:rPr>
          <w:rFonts w:hint="eastAsia"/>
          <w:b/>
          <w:bCs/>
          <w:snapToGrid w:val="0"/>
          <w:kern w:val="0"/>
          <w:szCs w:val="32"/>
        </w:rPr>
        <w:t>绩效自评水平有待提升。</w:t>
      </w:r>
      <w:r>
        <w:rPr>
          <w:rFonts w:hint="eastAsia"/>
          <w:snapToGrid w:val="0"/>
          <w:kern w:val="0"/>
          <w:szCs w:val="32"/>
        </w:rPr>
        <w:t>区政务服务局部门整体支出绩效自评材料初次提交不够全面完整，未针对“部门整体支出绩效自评评分表”各项指标提供相应佐证材料。在项目实施管理过程方面，缺失的材料多为</w:t>
      </w:r>
      <w:r>
        <w:rPr>
          <w:snapToGrid w:val="0"/>
          <w:kern w:val="0"/>
          <w:szCs w:val="32"/>
        </w:rPr>
        <w:t>佐证说明材料和过程文档</w:t>
      </w:r>
      <w:r>
        <w:rPr>
          <w:rFonts w:hint="eastAsia"/>
          <w:snapToGrid w:val="0"/>
          <w:kern w:val="0"/>
          <w:szCs w:val="32"/>
        </w:rPr>
        <w:t>等；在绩效完成情况方面，缺失的材料多为各项工作完成数值的原始统计材料等。且自评报告较为简单，未针对部门年度支出任务进行详尽的描述，未根据年初所设置的绩效指标逐一进行分析，未对各项目实施所产生的效果进行总结；在满意度方面，大部分项目所提供的评价材料较为薄弱，一方面缺乏本单位的用户意见或其他相关单位的评价材料，另一方面缺乏公众的满意度评价，例如用户满意度调查报告或用户使用统计报告等，绩效自评水平有待进一步提升。</w:t>
      </w:r>
    </w:p>
    <w:p>
      <w:pPr>
        <w:pStyle w:val="12"/>
        <w:ind w:firstLine="643"/>
      </w:pPr>
      <w:bookmarkStart w:id="5" w:name="_Toc146035795"/>
      <w:r>
        <w:t>（</w:t>
      </w:r>
      <w:r>
        <w:rPr>
          <w:rFonts w:hint="eastAsia"/>
        </w:rPr>
        <w:t>二</w:t>
      </w:r>
      <w:r>
        <w:t>）合同签订规范性不足</w:t>
      </w:r>
      <w:r>
        <w:rPr>
          <w:rFonts w:hint="eastAsia"/>
        </w:rPr>
        <w:t>，服务考核要求不明确</w:t>
      </w:r>
      <w:bookmarkEnd w:id="5"/>
    </w:p>
    <w:p>
      <w:pPr>
        <w:pStyle w:val="11"/>
        <w:ind w:firstLine="643"/>
        <w:rPr>
          <w:b/>
          <w:bCs/>
        </w:rPr>
      </w:pPr>
      <w:r>
        <w:rPr>
          <w:rFonts w:hint="eastAsia"/>
          <w:b/>
          <w:bCs/>
        </w:rPr>
        <w:t>1</w:t>
      </w:r>
      <w:r>
        <w:rPr>
          <w:b/>
          <w:bCs/>
        </w:rPr>
        <w:t>.</w:t>
      </w:r>
      <w:r>
        <w:rPr>
          <w:rFonts w:hint="eastAsia"/>
          <w:b/>
          <w:bCs/>
        </w:rPr>
        <w:t>合同内容与实际提供服务存在差异。</w:t>
      </w:r>
      <w:r>
        <w:rPr>
          <w:rFonts w:hint="eastAsia"/>
        </w:rPr>
        <w:t>根据《广州市从化区政务服务数据管理局物业管理服务定点议价采购合同》，所提供岗位包含水电工、清洁工、清洁兼会务、秩序维护员、项目主管、会务主管等职位，但根据费用明细表，合同中所列清洁工为厨房帮工、项目主管为厨房大厨、会务主管为厨房副厨。根据《人力资源服务派遣协议书》，应提供2位咨询导办人员，但在费用明细表中咨询导办员备注为“帮厨”，合同内容与实际提供服务存在差异，各岗位间职责不清。</w:t>
      </w:r>
    </w:p>
    <w:p>
      <w:pPr>
        <w:pStyle w:val="11"/>
        <w:ind w:firstLine="643"/>
        <w:rPr>
          <w:rFonts w:ascii="仿宋_GB2312"/>
          <w:kern w:val="0"/>
        </w:rPr>
      </w:pPr>
      <w:r>
        <w:rPr>
          <w:rFonts w:hint="eastAsia"/>
          <w:b/>
          <w:bCs/>
        </w:rPr>
        <w:t>2</w:t>
      </w:r>
      <w:r>
        <w:rPr>
          <w:b/>
          <w:bCs/>
        </w:rPr>
        <w:t>.合同签订规范性不足。</w:t>
      </w:r>
      <w:r>
        <w:rPr>
          <w:rFonts w:hint="eastAsia"/>
          <w:b/>
          <w:bCs/>
        </w:rPr>
        <w:t>一是</w:t>
      </w:r>
      <w:r>
        <w:rPr>
          <w:rFonts w:hint="eastAsia"/>
        </w:rPr>
        <w:t>合同中缺乏关键信息，</w:t>
      </w:r>
      <w:r>
        <w:t>如电子政务外网安全防控项目监理合同中没有明确服务期限，电子政务外网全</w:t>
      </w:r>
      <w:r>
        <w:rPr>
          <w:rFonts w:ascii="仿宋_GB2312"/>
          <w:kern w:val="0"/>
        </w:rPr>
        <w:t>网设备运维项目监理服务合同</w:t>
      </w:r>
      <w:r>
        <w:rPr>
          <w:rFonts w:hint="eastAsia" w:ascii="仿宋_GB2312"/>
          <w:kern w:val="0"/>
        </w:rPr>
        <w:t>缺乏签订日期，过程文档管理不够规范。</w:t>
      </w:r>
      <w:r>
        <w:rPr>
          <w:rFonts w:hint="eastAsia" w:ascii="仿宋_GB2312"/>
          <w:b/>
          <w:bCs/>
          <w:kern w:val="0"/>
        </w:rPr>
        <w:t>二是</w:t>
      </w:r>
      <w:r>
        <w:rPr>
          <w:rFonts w:hint="eastAsia" w:ascii="仿宋_GB2312"/>
          <w:kern w:val="0"/>
        </w:rPr>
        <w:t>列支合同范围外的无关支出。</w:t>
      </w:r>
      <w:r>
        <w:rPr>
          <w:rFonts w:hint="eastAsia"/>
        </w:rPr>
        <w:t>根据《广州市从化区政务服务数据管理局物业管理服务定点议价采购合同》（下称“合同一”）和《人力资源服务派遣协议书》（下称“合同二”），合同一主要提供1</w:t>
      </w:r>
      <w:r>
        <w:t>5</w:t>
      </w:r>
      <w:r>
        <w:rPr>
          <w:rFonts w:hint="eastAsia"/>
        </w:rPr>
        <w:t>名物业管理服务人员，合同二主要提供2名咨询导办人员，合同服务内容本无交叉，但根据合同一中费用明细表发现，公积金一列备注“为前台3人缴纳公积金”，而前台3人属于咨询导办人员，该费用应列支在合同二中，且合同二中明确乙方为劳务人员办理公积金缴存等手续。合同一中列支合同范围外的无关支出，且存在重复列支嫌疑，涉及金额共8</w:t>
      </w:r>
      <w:r>
        <w:t>,280</w:t>
      </w:r>
      <w:r>
        <w:rPr>
          <w:rFonts w:hint="eastAsia"/>
        </w:rPr>
        <w:t>.</w:t>
      </w:r>
      <w:r>
        <w:t>00</w:t>
      </w:r>
      <w:r>
        <w:rPr>
          <w:rFonts w:hint="eastAsia"/>
        </w:rPr>
        <w:t>元。</w:t>
      </w:r>
    </w:p>
    <w:p>
      <w:pPr>
        <w:pStyle w:val="11"/>
        <w:ind w:firstLine="643"/>
        <w:rPr>
          <w:kern w:val="0"/>
          <w:szCs w:val="32"/>
        </w:rPr>
      </w:pPr>
      <w:r>
        <w:rPr>
          <w:rFonts w:hint="eastAsia"/>
          <w:b/>
          <w:bCs/>
          <w:kern w:val="0"/>
          <w:szCs w:val="32"/>
        </w:rPr>
        <w:t>3</w:t>
      </w:r>
      <w:r>
        <w:rPr>
          <w:b/>
          <w:bCs/>
          <w:kern w:val="0"/>
          <w:szCs w:val="32"/>
        </w:rPr>
        <w:t>.</w:t>
      </w:r>
      <w:r>
        <w:rPr>
          <w:rFonts w:hint="eastAsia"/>
          <w:b/>
          <w:bCs/>
          <w:kern w:val="0"/>
          <w:szCs w:val="32"/>
        </w:rPr>
        <w:t>合同中服务内容和考核不明确。</w:t>
      </w:r>
      <w:r>
        <w:rPr>
          <w:rFonts w:hint="eastAsia"/>
          <w:kern w:val="0"/>
          <w:szCs w:val="32"/>
        </w:rPr>
        <w:t>大部分合同虽然包含了服务内容，但缺乏明确的人员数量、是否驻场、人员级别等相关要求，服务考核要求和绩效目标要求相对较为简单，不利于后续对服务质量进行监督管理。如从化区电子政务外网全网设备运维服务项目、从化区政务中心大厅管理系统运维项目合同等。</w:t>
      </w:r>
    </w:p>
    <w:p>
      <w:pPr>
        <w:pStyle w:val="11"/>
        <w:ind w:firstLine="643"/>
        <w:rPr>
          <w:kern w:val="0"/>
          <w:szCs w:val="32"/>
        </w:rPr>
      </w:pPr>
      <w:r>
        <w:rPr>
          <w:rFonts w:hint="eastAsia"/>
          <w:b/>
          <w:bCs/>
          <w:kern w:val="0"/>
          <w:szCs w:val="32"/>
        </w:rPr>
        <w:t>4</w:t>
      </w:r>
      <w:r>
        <w:rPr>
          <w:b/>
          <w:bCs/>
          <w:kern w:val="0"/>
          <w:szCs w:val="32"/>
        </w:rPr>
        <w:t>.</w:t>
      </w:r>
      <w:r>
        <w:rPr>
          <w:rFonts w:hint="eastAsia"/>
          <w:b/>
          <w:bCs/>
          <w:kern w:val="0"/>
          <w:szCs w:val="32"/>
        </w:rPr>
        <w:t>合同管理不到位。</w:t>
      </w:r>
      <w:r>
        <w:rPr>
          <w:rFonts w:hint="eastAsia"/>
          <w:kern w:val="0"/>
          <w:szCs w:val="32"/>
        </w:rPr>
        <w:t>随机抽查</w:t>
      </w:r>
      <w:r>
        <w:rPr>
          <w:kern w:val="0"/>
          <w:szCs w:val="32"/>
        </w:rPr>
        <w:t>2022年3月份和11月份的考勤表，发现仅有1位咨询导办人员的考勤记录，且有半个月无考勤数据，</w:t>
      </w:r>
      <w:r>
        <w:rPr>
          <w:rFonts w:hint="eastAsia"/>
          <w:kern w:val="0"/>
          <w:szCs w:val="32"/>
        </w:rPr>
        <w:t>每季度有对咨询导办人员进行考核，但未对人员进行年终绩效考核，未建立绩效考核结果与支付相挂钩的机制，合同管理不到位，约束力不强。</w:t>
      </w:r>
    </w:p>
    <w:p>
      <w:pPr>
        <w:pStyle w:val="12"/>
        <w:ind w:firstLine="643"/>
      </w:pPr>
      <w:bookmarkStart w:id="6" w:name="_Toc146035796"/>
      <w:r>
        <w:rPr>
          <w:rFonts w:hint="eastAsia"/>
        </w:rPr>
        <w:t>（三）部分资金支出不够规范，资金监管有待加强</w:t>
      </w:r>
      <w:bookmarkEnd w:id="6"/>
    </w:p>
    <w:p>
      <w:pPr>
        <w:pStyle w:val="11"/>
        <w:ind w:firstLine="643"/>
      </w:pPr>
      <w:r>
        <w:rPr>
          <w:b/>
          <w:bCs/>
        </w:rPr>
        <w:t>1.</w:t>
      </w:r>
      <w:r>
        <w:rPr>
          <w:rFonts w:hint="eastAsia"/>
          <w:b/>
          <w:bCs/>
        </w:rPr>
        <w:t>费用支出审批不严谨。一是</w:t>
      </w:r>
      <w:r>
        <w:rPr>
          <w:rFonts w:hint="eastAsia"/>
        </w:rPr>
        <w:t>会计凭证</w:t>
      </w:r>
      <w:r>
        <w:t>2022.4.30.19#专家评审费190.40元，未附个人发票</w:t>
      </w:r>
      <w:r>
        <w:rPr>
          <w:rFonts w:hint="eastAsia"/>
        </w:rPr>
        <w:t>等相关凭证</w:t>
      </w:r>
      <w:r>
        <w:t>。</w:t>
      </w:r>
      <w:r>
        <w:rPr>
          <w:rFonts w:hint="eastAsia"/>
          <w:b/>
          <w:bCs/>
        </w:rPr>
        <w:t>二是</w:t>
      </w:r>
      <w:r>
        <w:rPr>
          <w:rFonts w:hint="eastAsia"/>
        </w:rPr>
        <w:t>会计凭证</w:t>
      </w:r>
      <w:r>
        <w:t>2022.4.30.12#和2022.8.31.20#加班餐费</w:t>
      </w:r>
      <w:r>
        <w:rPr>
          <w:rFonts w:hint="eastAsia"/>
        </w:rPr>
        <w:t>费用审批</w:t>
      </w:r>
      <w:r>
        <w:t>附件中酒楼收据无盖章，不清楚与发票单位是否一致</w:t>
      </w:r>
      <w:r>
        <w:rPr>
          <w:rFonts w:hint="eastAsia"/>
        </w:rPr>
        <w:t>，且有些收据显示为围餐，无法确认是否为加班误餐。</w:t>
      </w:r>
      <w:r>
        <w:rPr>
          <w:rFonts w:hint="eastAsia"/>
          <w:b/>
          <w:bCs/>
        </w:rPr>
        <w:t>三是</w:t>
      </w:r>
      <w:r>
        <w:rPr>
          <w:rFonts w:hint="eastAsia"/>
        </w:rPr>
        <w:t>会计凭证</w:t>
      </w:r>
      <w:r>
        <w:t>2022.8.31.21#公务车加油发票3张，金额分别为472元、390元和356元，共计1218元</w:t>
      </w:r>
      <w:r>
        <w:rPr>
          <w:rFonts w:hint="eastAsia"/>
        </w:rPr>
        <w:t>，</w:t>
      </w:r>
      <w:r>
        <w:t>未附用车记录及申请表</w:t>
      </w:r>
      <w:r>
        <w:rPr>
          <w:rFonts w:hint="eastAsia"/>
        </w:rPr>
        <w:t>。</w:t>
      </w:r>
    </w:p>
    <w:p>
      <w:pPr>
        <w:pStyle w:val="11"/>
        <w:ind w:firstLine="643"/>
        <w:rPr>
          <w:sz w:val="21"/>
          <w:szCs w:val="21"/>
        </w:rPr>
      </w:pPr>
      <w:r>
        <w:rPr>
          <w:b/>
          <w:bCs/>
        </w:rPr>
        <w:t>2</w:t>
      </w:r>
      <w:r>
        <w:rPr>
          <w:rFonts w:hint="eastAsia"/>
          <w:b/>
          <w:bCs/>
        </w:rPr>
        <w:t>财务管理内控制度存在缺陷。</w:t>
      </w:r>
      <w:r>
        <w:t>现场查看饭堂系统发现，系统可显示充值报表、取饭消费报表和当前个人充值金额，但缺少余额时时、时点数据报表，不利于现金收支的</w:t>
      </w:r>
      <w:r>
        <w:rPr>
          <w:rFonts w:hint="eastAsia"/>
        </w:rPr>
        <w:t>时点</w:t>
      </w:r>
      <w:r>
        <w:t>监控，</w:t>
      </w:r>
      <w:r>
        <w:rPr>
          <w:rFonts w:hint="eastAsia"/>
        </w:rPr>
        <w:t>当前饭堂充值由各人员先将现金交由饭堂充值人员处，饭堂充值人员在系统上操作缴费，再将现金上交财务处，而由于系统缺少余额时点数据报表，无法对各人员饭卡余额进行时点监控，内控制度存在风险。</w:t>
      </w:r>
      <w:r>
        <w:t>抽查2022年3月份饭堂充值报销发现，</w:t>
      </w:r>
      <w:r>
        <w:rPr>
          <w:rFonts w:hint="eastAsia"/>
        </w:rPr>
        <w:t>饭堂充值管理人员将</w:t>
      </w:r>
      <w:r>
        <w:t>现金上交财务时少交1020元。</w:t>
      </w:r>
    </w:p>
    <w:p>
      <w:pPr>
        <w:pStyle w:val="12"/>
        <w:ind w:firstLine="643"/>
      </w:pPr>
      <w:bookmarkStart w:id="7" w:name="_Toc146035797"/>
      <w:r>
        <w:rPr>
          <w:rFonts w:hint="eastAsia"/>
        </w:rPr>
        <w:t>（四）固定资产管理力度不足，管理效率有待提高</w:t>
      </w:r>
      <w:bookmarkEnd w:id="7"/>
    </w:p>
    <w:p>
      <w:pPr>
        <w:pStyle w:val="11"/>
        <w:ind w:firstLine="643"/>
      </w:pPr>
      <w:r>
        <w:rPr>
          <w:rFonts w:hint="eastAsia"/>
          <w:b/>
          <w:bCs/>
        </w:rPr>
        <w:t>1</w:t>
      </w:r>
      <w:r>
        <w:rPr>
          <w:b/>
          <w:bCs/>
        </w:rPr>
        <w:t>.</w:t>
      </w:r>
      <w:r>
        <w:rPr>
          <w:rFonts w:hint="eastAsia"/>
          <w:b/>
          <w:bCs/>
        </w:rPr>
        <w:t>新增资产未计入固定资产。</w:t>
      </w:r>
      <w:r>
        <w:rPr>
          <w:rFonts w:hint="eastAsia"/>
        </w:rPr>
        <w:t>现场抽查发现会计凭证</w:t>
      </w:r>
      <w:r>
        <w:t>2022.8.31.19#购置办公台3张，单价为1280元/台，计入业务活动费（列支预算城晖大厦和政务服务中心运作管理费和办公费），未记入固定资产。</w:t>
      </w:r>
    </w:p>
    <w:p>
      <w:pPr>
        <w:pStyle w:val="11"/>
        <w:ind w:firstLine="643"/>
      </w:pPr>
      <w:r>
        <w:rPr>
          <w:rFonts w:hint="eastAsia"/>
          <w:b/>
          <w:bCs/>
        </w:rPr>
        <w:t>2</w:t>
      </w:r>
      <w:r>
        <w:rPr>
          <w:b/>
          <w:bCs/>
        </w:rPr>
        <w:t>.</w:t>
      </w:r>
      <w:r>
        <w:rPr>
          <w:rFonts w:hint="eastAsia"/>
          <w:b/>
          <w:bCs/>
        </w:rPr>
        <w:t>固定资产管理不规范，未按要求贴标签。</w:t>
      </w:r>
      <w:r>
        <w:t>现场查看发现三间办公室共计9张办公台</w:t>
      </w:r>
      <w:r>
        <w:rPr>
          <w:rFonts w:hint="eastAsia"/>
        </w:rPr>
        <w:t>均</w:t>
      </w:r>
      <w:r>
        <w:t>未贴固定资产标签</w:t>
      </w:r>
      <w:r>
        <w:rPr>
          <w:rFonts w:hint="eastAsia"/>
        </w:rPr>
        <w:t>，项目单位对固定资产的管理规范性不足。部分固定资产虽有贴标签，但标签信息不全，据了解，该标签为第三方公司所贴，需要购买专用的标签管理设备扫描才能显示详细信息，该局未购买该设备，故固定资产标签形同虚设，不利于固定资产管理。</w:t>
      </w:r>
    </w:p>
    <w:p>
      <w:pPr>
        <w:pStyle w:val="11"/>
        <w:ind w:firstLine="643"/>
      </w:pPr>
      <w:r>
        <w:rPr>
          <w:rFonts w:hint="eastAsia"/>
          <w:b/>
          <w:bCs/>
        </w:rPr>
        <w:t>3</w:t>
      </w:r>
      <w:r>
        <w:rPr>
          <w:b/>
          <w:bCs/>
        </w:rPr>
        <w:t>.</w:t>
      </w:r>
      <w:r>
        <w:rPr>
          <w:rFonts w:hint="eastAsia"/>
          <w:b/>
          <w:bCs/>
        </w:rPr>
        <w:t>固定资产账实不符，未按要求进行盘点。</w:t>
      </w:r>
      <w:r>
        <w:rPr>
          <w:rFonts w:hint="eastAsia"/>
        </w:rPr>
        <w:t>盘点现场固定资产发现，台账卡片编号与实物张贴的卡片信息不能一一对应，无法进行盘点。据现场评价了解，此前局里未亲自盘点过，仅聘请第三方公司（广州盛祺信息科技股份有限公司）作固定资产清查盘点，盘点时间为</w:t>
      </w:r>
      <w:r>
        <w:t>2019</w:t>
      </w:r>
      <w:r>
        <w:rPr>
          <w:rFonts w:hint="eastAsia"/>
        </w:rPr>
        <w:t>年，之后每年盘点时仅盘点部分固定资产，固定资产管理不规范。</w:t>
      </w:r>
    </w:p>
    <w:p>
      <w:pPr>
        <w:pStyle w:val="10"/>
        <w:ind w:firstLine="643"/>
      </w:pPr>
      <w:r>
        <w:rPr>
          <w:rFonts w:hint="eastAsia"/>
        </w:rPr>
        <w:t>五、相关建议</w:t>
      </w:r>
    </w:p>
    <w:p>
      <w:pPr>
        <w:pStyle w:val="12"/>
        <w:ind w:firstLine="643"/>
      </w:pPr>
      <w:bookmarkStart w:id="8" w:name="_Toc146035799"/>
      <w:r>
        <w:rPr>
          <w:rFonts w:hint="eastAsia"/>
        </w:rPr>
        <w:t>（一）优化预算编制工作，规范绩效梳理考核</w:t>
      </w:r>
      <w:bookmarkEnd w:id="8"/>
    </w:p>
    <w:p>
      <w:pPr>
        <w:pStyle w:val="11"/>
        <w:ind w:firstLine="643"/>
      </w:pPr>
      <w:r>
        <w:rPr>
          <w:rFonts w:hint="eastAsia"/>
          <w:b/>
          <w:bCs/>
        </w:rPr>
        <w:t>一是</w:t>
      </w:r>
      <w:r>
        <w:rPr>
          <w:rFonts w:hint="eastAsia"/>
        </w:rPr>
        <w:t>建议单位结合各项目工作情况，提高预算编制的精细化程度。建议项目单位在项目立项时按照广州市政数局的相关立项方案模板编制要求进行立项方案的编制，如《广州市政务信息化建设开发类项目方案编写规范（</w:t>
      </w:r>
      <w:r>
        <w:t>2022）》《广州市政务信息化运维服务类项目方案编写规范（2022）》等文件规范，</w:t>
      </w:r>
      <w:r>
        <w:rPr>
          <w:rFonts w:hint="eastAsia"/>
        </w:rPr>
        <w:t>明确各项目的人员配备数量、人员级别、是否驻场等要求，细化各项目的服务内容及验收要求，提高对服务提供方的绩效约束力。</w:t>
      </w:r>
    </w:p>
    <w:p>
      <w:pPr>
        <w:pStyle w:val="11"/>
        <w:ind w:firstLine="643"/>
      </w:pPr>
      <w:r>
        <w:rPr>
          <w:rFonts w:hint="eastAsia"/>
          <w:b/>
          <w:bCs/>
        </w:rPr>
        <w:t>二是</w:t>
      </w:r>
      <w:r>
        <w:rPr>
          <w:rFonts w:hint="eastAsia"/>
        </w:rPr>
        <w:t>建议单位在填报部门绩效目标时，提升目标设定的合理性及填报的规范性。一方面，建议区政务服务局首先对本部门职责、长期工作规划、本年度工作计划进行列举、分析，对共性的工作进行汇总，归并。在形成清单后，建议部门考虑往年工作成果情况、当年度上级或本部门工作计划以及行业标准等因素设置对应的绩效目标，最后将绩效目标应用到指导部门实现规划目标上。另一方面，建议单位加强对预算绩效管理工作的学习与培训，结合本年度重点项目工作计划明确具体工作目标值，并围绕产出数量、质量、时效、成本及经济、社会、环境、可持续等效益全面量化、细化绩效指标，避免因指标设置不全面而导致指标完成情况不能全面反映项目实施完成情况，或因指标目标值设定不合理而导致不能切实衡量反映项目实施完成水平。</w:t>
      </w:r>
    </w:p>
    <w:p>
      <w:pPr>
        <w:pStyle w:val="11"/>
        <w:ind w:firstLine="643"/>
      </w:pPr>
      <w:r>
        <w:rPr>
          <w:rFonts w:hint="eastAsia"/>
          <w:b/>
          <w:bCs/>
        </w:rPr>
        <w:t>三是</w:t>
      </w:r>
      <w:r>
        <w:rPr>
          <w:rFonts w:hint="eastAsia"/>
        </w:rPr>
        <w:t>建议单位在梳理部门完成绩效时，提升佐证材料的全面性及针对性。建议单位依据重点项目各项实施的时间顺序，依次整理分类项目立项、方案制定、服务机构选取、合同签订、工作开展、跟踪监管、提升整改等各过程对应的佐证材料，以确保佐证材料全面反映项目执行情况，同时在梳理绩效时，对照各项绩效目标，一一对应提供完成值的原始统计材料，以提升绩效完成情况的佐证力度。</w:t>
      </w:r>
    </w:p>
    <w:p>
      <w:pPr>
        <w:pStyle w:val="12"/>
        <w:ind w:firstLine="643"/>
      </w:pPr>
      <w:bookmarkStart w:id="9" w:name="_Toc146035800"/>
      <w:r>
        <w:rPr>
          <w:rFonts w:hint="eastAsia"/>
        </w:rPr>
        <w:t>（二）完善资金内控制度，加强项目过程管理</w:t>
      </w:r>
      <w:bookmarkEnd w:id="9"/>
    </w:p>
    <w:p>
      <w:pPr>
        <w:pStyle w:val="11"/>
        <w:ind w:firstLine="643"/>
      </w:pPr>
      <w:r>
        <w:rPr>
          <w:rFonts w:hint="eastAsia"/>
          <w:b/>
          <w:bCs/>
        </w:rPr>
        <w:t>一是</w:t>
      </w:r>
      <w:r>
        <w:rPr>
          <w:rFonts w:hint="eastAsia"/>
        </w:rPr>
        <w:t>建议项目单位完善资金管理等相关内控制度，对内部管理制度进行全面梳理，进一步规范制度的内容、程序和要求，确保资金支出用途符合财务管理制度；</w:t>
      </w:r>
      <w:r>
        <w:rPr>
          <w:rFonts w:hint="eastAsia"/>
          <w:b/>
          <w:bCs/>
        </w:rPr>
        <w:t>二是</w:t>
      </w:r>
      <w:r>
        <w:rPr>
          <w:rFonts w:hint="eastAsia"/>
        </w:rPr>
        <w:t>提高合同签订的规范性，明确合同签订的时间、合同服务期限等，明确各合同的服务内容，避免合同间存在交叉，确保合同内容合规；</w:t>
      </w:r>
      <w:r>
        <w:rPr>
          <w:rFonts w:hint="eastAsia"/>
          <w:b/>
          <w:bCs/>
        </w:rPr>
        <w:t>三是</w:t>
      </w:r>
      <w:r>
        <w:rPr>
          <w:rFonts w:hint="eastAsia"/>
        </w:rPr>
        <w:t>明确合同服务内容，完善考核机制。在合同中明确各项目的服务内容及考核标准，并将考核结果与支付相挂钩，提高对服务提供方的约束力。</w:t>
      </w:r>
    </w:p>
    <w:p>
      <w:pPr>
        <w:pStyle w:val="12"/>
        <w:ind w:firstLine="643"/>
        <w:rPr>
          <w:snapToGrid w:val="0"/>
        </w:rPr>
      </w:pPr>
      <w:bookmarkStart w:id="10" w:name="_Toc146035801"/>
      <w:r>
        <w:rPr>
          <w:rFonts w:hint="eastAsia"/>
          <w:snapToGrid w:val="0"/>
        </w:rPr>
        <w:t>（三）严格支出审批程序，确保经费支出规范</w:t>
      </w:r>
      <w:bookmarkEnd w:id="10"/>
    </w:p>
    <w:p>
      <w:pPr>
        <w:pStyle w:val="11"/>
        <w:ind w:firstLine="640"/>
        <w:rPr>
          <w:snapToGrid w:val="0"/>
        </w:rPr>
      </w:pPr>
      <w:r>
        <w:rPr>
          <w:rFonts w:hint="eastAsia"/>
          <w:snapToGrid w:val="0"/>
        </w:rPr>
        <w:t>一方面，建议区政务服务局建立健全财务审批制度，明确经办人、证明人、审批人的职责，对记载不明确、不完整、审批手续不全的原始凭证予以退回，待按规定更正、补充后方可报销。另一方面，建议区政务服务局相关工作人员通过集中学习和自主学习努力提高专业能力素质，及时学习、尽快适应与原始凭证相关的一些新政策、新要求、新做法。</w:t>
      </w:r>
    </w:p>
    <w:p>
      <w:pPr>
        <w:pStyle w:val="12"/>
        <w:ind w:firstLine="643"/>
        <w:rPr>
          <w:snapToGrid w:val="0"/>
        </w:rPr>
      </w:pPr>
      <w:bookmarkStart w:id="11" w:name="_Toc146035802"/>
      <w:r>
        <w:rPr>
          <w:rFonts w:hint="eastAsia"/>
          <w:snapToGrid w:val="0"/>
        </w:rPr>
        <w:t>（四）完善固定资产管理，提高管理工作效率</w:t>
      </w:r>
      <w:bookmarkEnd w:id="11"/>
    </w:p>
    <w:p>
      <w:pPr>
        <w:pStyle w:val="11"/>
        <w:ind w:firstLine="640"/>
      </w:pPr>
      <w:r>
        <w:rPr>
          <w:rFonts w:hint="eastAsia"/>
        </w:rPr>
        <w:t>建议项目单位提高财务管理的规范性，做好资产管理，确保固定资产安全。建议项目单位加强对固定资产盘点和清理的重视程度，及时开展固定资产盘点工作，并做好对盘点工作进度的跟踪监督，规范闲置、报废固定资产的账目管理，确保项目单位充分了解本单位固定资产情况，对固定资产进行充分使用，减少浪费。</w:t>
      </w:r>
    </w:p>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851"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9AD78D"/>
    <w:multiLevelType w:val="singleLevel"/>
    <w:tmpl w:val="829AD78D"/>
    <w:lvl w:ilvl="0" w:tentative="0">
      <w:start w:val="2"/>
      <w:numFmt w:val="chineseCounting"/>
      <w:suff w:val="nothing"/>
      <w:lvlText w:val="（%1）"/>
      <w:lvlJc w:val="left"/>
      <w:rPr>
        <w:rFonts w:hint="eastAsia"/>
      </w:rPr>
    </w:lvl>
  </w:abstractNum>
  <w:abstractNum w:abstractNumId="1">
    <w:nsid w:val="B1D37190"/>
    <w:multiLevelType w:val="singleLevel"/>
    <w:tmpl w:val="B1D3719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MjU5NGFlMGVkYmFiNDhlOThmMDg3OTc4ZGIxYWIifQ=="/>
  </w:docVars>
  <w:rsids>
    <w:rsidRoot w:val="33E328CE"/>
    <w:rsid w:val="000A4BBE"/>
    <w:rsid w:val="00694980"/>
    <w:rsid w:val="00762043"/>
    <w:rsid w:val="0078314C"/>
    <w:rsid w:val="007F23E7"/>
    <w:rsid w:val="008B6F40"/>
    <w:rsid w:val="009449BC"/>
    <w:rsid w:val="00970C1B"/>
    <w:rsid w:val="00D51EE0"/>
    <w:rsid w:val="06F23CF7"/>
    <w:rsid w:val="13202D86"/>
    <w:rsid w:val="1F397237"/>
    <w:rsid w:val="33E328CE"/>
    <w:rsid w:val="46F5246C"/>
    <w:rsid w:val="493C1B76"/>
    <w:rsid w:val="52000822"/>
    <w:rsid w:val="5226360A"/>
    <w:rsid w:val="563F375A"/>
    <w:rsid w:val="60621F70"/>
    <w:rsid w:val="62BE2037"/>
    <w:rsid w:val="71F72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overflowPunct w:val="0"/>
      <w:spacing w:line="360" w:lineRule="auto"/>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0"/>
    <w:pPr>
      <w:jc w:val="left"/>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unhideWhenUsed/>
    <w:qFormat/>
    <w:uiPriority w:val="99"/>
    <w:rPr>
      <w:sz w:val="21"/>
      <w:szCs w:val="21"/>
    </w:rPr>
  </w:style>
  <w:style w:type="paragraph" w:customStyle="1" w:styleId="10">
    <w:name w:val="零点-1级标题"/>
    <w:basedOn w:val="2"/>
    <w:next w:val="11"/>
    <w:qFormat/>
    <w:uiPriority w:val="0"/>
    <w:pPr>
      <w:spacing w:before="0" w:after="0" w:line="560" w:lineRule="exact"/>
      <w:ind w:firstLine="640"/>
      <w:jc w:val="left"/>
    </w:pPr>
    <w:rPr>
      <w:rFonts w:ascii="Times New Roman" w:hAnsi="Times New Roman" w:eastAsia="黑体"/>
      <w:color w:val="000000" w:themeColor="text1"/>
      <w:sz w:val="32"/>
      <w14:textFill>
        <w14:solidFill>
          <w14:schemeClr w14:val="tx1"/>
        </w14:solidFill>
      </w14:textFill>
    </w:rPr>
  </w:style>
  <w:style w:type="paragraph" w:customStyle="1" w:styleId="11">
    <w:name w:val="零点-正文"/>
    <w:basedOn w:val="1"/>
    <w:link w:val="15"/>
    <w:qFormat/>
    <w:uiPriority w:val="0"/>
    <w:pPr>
      <w:spacing w:line="560" w:lineRule="exact"/>
    </w:pPr>
    <w:rPr>
      <w:rFonts w:ascii="Times New Roman" w:hAnsi="Times New Roman" w:eastAsia="仿宋_GB2312"/>
      <w:sz w:val="32"/>
      <w:szCs w:val="22"/>
    </w:rPr>
  </w:style>
  <w:style w:type="paragraph" w:customStyle="1" w:styleId="12">
    <w:name w:val="零点-2级标题"/>
    <w:basedOn w:val="3"/>
    <w:next w:val="11"/>
    <w:qFormat/>
    <w:uiPriority w:val="0"/>
    <w:pPr>
      <w:spacing w:before="0" w:after="0" w:line="560" w:lineRule="exact"/>
    </w:pPr>
    <w:rPr>
      <w:rFonts w:ascii="Times New Roman" w:hAnsi="Times New Roman" w:eastAsia="楷体_GB2312"/>
      <w:color w:val="000000" w:themeColor="text1"/>
      <w14:textFill>
        <w14:solidFill>
          <w14:schemeClr w14:val="tx1"/>
        </w14:solidFill>
      </w14:textFill>
    </w:rPr>
  </w:style>
  <w:style w:type="paragraph" w:customStyle="1" w:styleId="13">
    <w:name w:val="零点-图表标题"/>
    <w:basedOn w:val="1"/>
    <w:next w:val="11"/>
    <w:qFormat/>
    <w:uiPriority w:val="0"/>
    <w:pPr>
      <w:keepNext/>
      <w:spacing w:line="560" w:lineRule="exact"/>
      <w:ind w:firstLine="0" w:firstLineChars="0"/>
      <w:jc w:val="center"/>
    </w:pPr>
    <w:rPr>
      <w:rFonts w:ascii="Times New Roman" w:hAnsi="Times New Roman" w:eastAsia="黑体"/>
      <w:color w:val="000000" w:themeColor="text1"/>
      <w:sz w:val="28"/>
      <w14:textFill>
        <w14:solidFill>
          <w14:schemeClr w14:val="tx1"/>
        </w14:solidFill>
      </w14:textFill>
    </w:rPr>
  </w:style>
  <w:style w:type="paragraph" w:customStyle="1" w:styleId="14">
    <w:name w:val="零点-表内容"/>
    <w:basedOn w:val="1"/>
    <w:next w:val="11"/>
    <w:qFormat/>
    <w:uiPriority w:val="0"/>
    <w:pPr>
      <w:widowControl w:val="0"/>
      <w:adjustRightInd w:val="0"/>
      <w:snapToGrid w:val="0"/>
      <w:spacing w:line="240" w:lineRule="auto"/>
      <w:ind w:firstLine="0" w:firstLineChars="0"/>
      <w:jc w:val="center"/>
    </w:pPr>
    <w:rPr>
      <w:rFonts w:ascii="Times New Roman" w:hAnsi="Times New Roman" w:eastAsia="仿宋_GB2312"/>
      <w:bCs/>
      <w:sz w:val="24"/>
      <w:szCs w:val="28"/>
    </w:rPr>
  </w:style>
  <w:style w:type="character" w:customStyle="1" w:styleId="15">
    <w:name w:val="零点-正文 字符"/>
    <w:basedOn w:val="8"/>
    <w:link w:val="11"/>
    <w:qFormat/>
    <w:uiPriority w:val="0"/>
    <w:rPr>
      <w:rFonts w:ascii="Times New Roman" w:hAnsi="Times New Roman" w:eastAsia="仿宋_GB2312"/>
      <w:sz w:val="3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1054</Words>
  <Characters>6010</Characters>
  <Lines>50</Lines>
  <Paragraphs>14</Paragraphs>
  <TotalTime>23</TotalTime>
  <ScaleCrop>false</ScaleCrop>
  <LinksUpToDate>false</LinksUpToDate>
  <CharactersWithSpaces>7050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2023-09-18T07:21:00Z</dcterms:created>
  <dc:creator>11796</dc:creator>
  <cp:lastModifiedBy>周怡</cp:lastModifiedBy>
  <dcterms:modified xsi:type="dcterms:W3CDTF">2023-10-18T10:46:00Z</dcterms:modified>
  <dc:title>2022年从化区政务服务数据管理局部门整体</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A5F792302DCD40A49004D36CB25E9BFE_13</vt:lpwstr>
  </property>
</Properties>
</file>