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overflowPunct/>
        <w:adjustRightInd w:val="0"/>
        <w:snapToGrid w:val="0"/>
        <w:spacing w:line="560" w:lineRule="atLeast"/>
        <w:ind w:firstLine="0" w:firstLineChars="0"/>
        <w:jc w:val="center"/>
        <w:rPr>
          <w:rFonts w:hint="eastAsia" w:ascii="方正小标宋_GBK" w:hAnsi="方正小标宋_GBK" w:eastAsia="方正小标宋_GBK" w:cs="方正小标宋_GBK"/>
          <w:b w:val="0"/>
          <w:bCs w:val="0"/>
          <w:kern w:val="36"/>
          <w:sz w:val="44"/>
          <w:szCs w:val="44"/>
          <w:shd w:val="clear" w:color="auto" w:fill="FFFFFF"/>
          <w:lang w:val="en-US" w:eastAsia="zh-CN" w:bidi="ar-SA"/>
        </w:rPr>
      </w:pPr>
      <w:r>
        <w:rPr>
          <w:rFonts w:hint="eastAsia" w:ascii="方正小标宋_GBK" w:hAnsi="方正小标宋_GBK" w:eastAsia="方正小标宋_GBK" w:cs="方正小标宋_GBK"/>
          <w:b w:val="0"/>
          <w:bCs w:val="0"/>
          <w:kern w:val="36"/>
          <w:sz w:val="44"/>
          <w:szCs w:val="44"/>
          <w:shd w:val="clear" w:color="auto" w:fill="FFFFFF"/>
          <w:lang w:val="en-US" w:eastAsia="zh-CN" w:bidi="ar-SA"/>
        </w:rPr>
        <w:t>2022</w:t>
      </w:r>
      <w:r>
        <w:rPr>
          <w:rFonts w:hint="eastAsia" w:ascii="方正小标宋_GBK" w:hAnsi="方正小标宋_GBK" w:eastAsia="方正小标宋_GBK" w:cs="方正小标宋_GBK"/>
          <w:b w:val="0"/>
          <w:bCs w:val="0"/>
          <w:kern w:val="36"/>
          <w:sz w:val="44"/>
          <w:szCs w:val="44"/>
          <w:shd w:val="clear" w:color="auto" w:fill="FFFFFF"/>
          <w:lang w:val="en-US" w:eastAsia="zh-CN" w:bidi="ar-SA"/>
        </w:rPr>
        <w:t>年从化区人力资源和社会保障局部门整体支出绩效评价报告</w:t>
      </w:r>
    </w:p>
    <w:p>
      <w:pPr>
        <w:pStyle w:val="11"/>
        <w:ind w:firstLine="0" w:firstLineChars="0"/>
        <w:jc w:val="center"/>
        <w:rPr>
          <w:rFonts w:ascii="仿宋" w:hAnsi="仿宋" w:eastAsia="仿宋" w:cs="仿宋"/>
        </w:rPr>
      </w:pPr>
      <w:r>
        <w:rPr>
          <w:rFonts w:hint="eastAsia" w:ascii="仿宋" w:hAnsi="仿宋" w:eastAsia="仿宋" w:cs="仿宋"/>
        </w:rPr>
        <w:t>广州零点有数数据科技有限公司</w:t>
      </w:r>
    </w:p>
    <w:p>
      <w:pPr>
        <w:pStyle w:val="11"/>
        <w:ind w:firstLine="640"/>
        <w:jc w:val="center"/>
        <w:rPr>
          <w:rFonts w:ascii="宋体" w:hAnsi="宋体" w:eastAsia="宋体" w:cs="宋体"/>
        </w:rPr>
      </w:pPr>
    </w:p>
    <w:p>
      <w:pPr>
        <w:pStyle w:val="11"/>
        <w:ind w:firstLine="640"/>
        <w:rPr>
          <w:b/>
          <w:bCs/>
        </w:rPr>
      </w:pPr>
      <w:r>
        <w:rPr>
          <w:rFonts w:hint="eastAsia"/>
        </w:rPr>
        <w:t>根据</w:t>
      </w:r>
      <w:r>
        <w:rPr>
          <w:rFonts w:ascii="仿宋_GB2312"/>
        </w:rPr>
        <w:t>《</w:t>
      </w:r>
      <w:r>
        <w:rPr>
          <w:rFonts w:hint="eastAsia" w:ascii="仿宋_GB2312"/>
        </w:rPr>
        <w:t>广州市从化区财政局关于开展</w:t>
      </w:r>
      <w:r>
        <w:t>2023</w:t>
      </w:r>
      <w:r>
        <w:rPr>
          <w:rFonts w:ascii="仿宋_GB2312"/>
        </w:rPr>
        <w:t>年财政支出第三方绩效评价工作的通知》</w:t>
      </w:r>
      <w:r>
        <w:rPr>
          <w:rFonts w:hint="eastAsia"/>
        </w:rPr>
        <w:t>有关要求，受</w:t>
      </w:r>
      <w:r>
        <w:rPr>
          <w:rFonts w:ascii="仿宋_GB2312"/>
        </w:rPr>
        <w:t>广州市</w:t>
      </w:r>
      <w:r>
        <w:rPr>
          <w:rFonts w:hint="eastAsia" w:ascii="仿宋_GB2312"/>
        </w:rPr>
        <w:t>从化区</w:t>
      </w:r>
      <w:r>
        <w:rPr>
          <w:rFonts w:ascii="仿宋_GB2312"/>
        </w:rPr>
        <w:t>财政局</w:t>
      </w:r>
      <w:r>
        <w:rPr>
          <w:rFonts w:hint="eastAsia"/>
        </w:rPr>
        <w:t>委托，本机构对</w:t>
      </w:r>
      <w:r>
        <w:rPr>
          <w:rFonts w:hint="eastAsia" w:ascii="仿宋_GB2312"/>
        </w:rPr>
        <w:t>从化区人力资源和社会保障局</w:t>
      </w:r>
      <w:r>
        <w:rPr>
          <w:rFonts w:hint="eastAsia"/>
        </w:rPr>
        <w:t>2</w:t>
      </w:r>
      <w:r>
        <w:t>022</w:t>
      </w:r>
      <w:r>
        <w:rPr>
          <w:rFonts w:ascii="仿宋_GB2312"/>
        </w:rPr>
        <w:t>年度部门整体支出</w:t>
      </w:r>
      <w:r>
        <w:rPr>
          <w:rFonts w:hint="eastAsia"/>
        </w:rPr>
        <w:t>开展绩效评价。经现场核查与综合分析评价，最终得出评价结论，并形成本评价报告。</w:t>
      </w:r>
      <w:r>
        <w:rPr>
          <w:rFonts w:hint="eastAsia"/>
          <w:b/>
          <w:bCs/>
        </w:rPr>
        <w:t>经综合评定，评定从化区人力资源和社会保障局2022年部门整体支出绩效评价绩效等级为“良”。</w:t>
      </w:r>
    </w:p>
    <w:p>
      <w:pPr>
        <w:pStyle w:val="10"/>
        <w:numPr>
          <w:ilvl w:val="0"/>
          <w:numId w:val="1"/>
        </w:numPr>
        <w:ind w:firstLine="643"/>
      </w:pPr>
      <w:r>
        <w:rPr>
          <w:rFonts w:hint="eastAsia"/>
        </w:rPr>
        <w:t>评价部门概况</w:t>
      </w:r>
    </w:p>
    <w:p>
      <w:pPr>
        <w:pStyle w:val="11"/>
        <w:ind w:firstLine="640"/>
      </w:pPr>
      <w:r>
        <w:rPr>
          <w:rFonts w:hint="eastAsia"/>
        </w:rPr>
        <w:t>2022年区人社局部门整体支出全年预算数50,921.84万元，其中基本支出24,360.15万元，项目支出26,561.68万元。全年执行数50,615.54万元，其中基本支出24,360.15万元，项目支出26,255.39万元，预算执行率达到99.4%。</w:t>
      </w:r>
    </w:p>
    <w:p>
      <w:pPr>
        <w:pStyle w:val="11"/>
        <w:ind w:firstLine="640"/>
        <w:rPr>
          <w:snapToGrid w:val="0"/>
        </w:rPr>
      </w:pPr>
      <w:r>
        <w:t>经评定，2022</w:t>
      </w:r>
      <w:r>
        <w:rPr>
          <w:rFonts w:ascii="仿宋_GB2312"/>
        </w:rPr>
        <w:t>年</w:t>
      </w:r>
      <w:r>
        <w:rPr>
          <w:rFonts w:hint="eastAsia" w:ascii="仿宋_GB2312"/>
        </w:rPr>
        <w:t>从化区人力资源和社会保障局</w:t>
      </w:r>
      <w:r>
        <w:rPr>
          <w:rFonts w:ascii="仿宋_GB2312"/>
        </w:rPr>
        <w:t>部门整体支出绩效评价得分为</w:t>
      </w:r>
      <w:r>
        <w:t>84.45</w:t>
      </w:r>
      <w:r>
        <w:rPr>
          <w:rFonts w:ascii="仿宋_GB2312"/>
        </w:rPr>
        <w:t>分</w:t>
      </w:r>
      <w:r>
        <w:rPr>
          <w:rFonts w:hint="eastAsia" w:ascii="仿宋_GB2312"/>
        </w:rPr>
        <w:t>，绩效等级为“良”。</w:t>
      </w:r>
      <w:r>
        <w:rPr>
          <w:rFonts w:hint="eastAsia"/>
        </w:rPr>
        <w:t>2</w:t>
      </w:r>
      <w:r>
        <w:t>022</w:t>
      </w:r>
      <w:r>
        <w:rPr>
          <w:rFonts w:hint="eastAsia"/>
        </w:rPr>
        <w:t>年区人社局能够优化就业创业服务水平，不断完善社会保障体系，但在引才留才措施、政策宣传效果、固定资产管理、资金支出合规性上存在一定不足，</w:t>
      </w:r>
      <w:r>
        <w:t>需进一步完善</w:t>
      </w:r>
      <w:r>
        <w:rPr>
          <w:rFonts w:hint="eastAsia"/>
        </w:rPr>
        <w:t>。</w:t>
      </w:r>
    </w:p>
    <w:p>
      <w:pPr>
        <w:pStyle w:val="10"/>
        <w:ind w:firstLine="643"/>
      </w:pPr>
      <w:r>
        <w:rPr>
          <w:rFonts w:hint="eastAsia"/>
        </w:rPr>
        <w:t>二、绩效目标分析</w:t>
      </w:r>
    </w:p>
    <w:p>
      <w:pPr>
        <w:pStyle w:val="12"/>
        <w:ind w:firstLine="643"/>
      </w:pPr>
      <w:r>
        <w:rPr>
          <w:rFonts w:hint="eastAsia"/>
        </w:rPr>
        <w:t>（一）目标设置</w:t>
      </w:r>
    </w:p>
    <w:p>
      <w:pPr>
        <w:pStyle w:val="11"/>
        <w:ind w:firstLine="640"/>
      </w:pPr>
      <w:r>
        <w:rPr>
          <w:rFonts w:hint="eastAsia"/>
        </w:rPr>
        <w:t>部门2022年年度总体工作任务：</w:t>
      </w:r>
      <w:r>
        <w:t>2022年，</w:t>
      </w:r>
      <w:r>
        <w:rPr>
          <w:rFonts w:hint="eastAsia"/>
        </w:rPr>
        <w:t>区人社</w:t>
      </w:r>
      <w:r>
        <w:t>局以区委、区政府民生实事重点任务为中心，实施就业优先政策，聚焦高校毕业生群体、重点企业用工难问题，以高质量就业管理服务适应新发展格局。深入实施技能培训提升行动，深入实施三项工程赋能乡村振兴。坚持以“老有所养、病有所医、伤有所保、失有所助、生有所补”为目标，构建多层次全覆盖的社会保障体系，保障各项社保待遇按时足额发放。深化人才服务，提升劳动关系综合治理效能，推进劳资纠纷多元化解机制。</w:t>
      </w:r>
    </w:p>
    <w:p>
      <w:pPr>
        <w:pStyle w:val="11"/>
        <w:ind w:firstLine="640"/>
      </w:pPr>
      <w:r>
        <w:rPr>
          <w:rFonts w:hint="eastAsia"/>
        </w:rPr>
        <w:t>部门2022年重点工作任务：根据《2022年部门整体预算绩效目标申报表》，从化区人力资源和社会保障局年度设置了</w:t>
      </w:r>
      <w:r>
        <w:t>9</w:t>
      </w:r>
      <w:r>
        <w:rPr>
          <w:rFonts w:hint="eastAsia"/>
        </w:rPr>
        <w:t>个重点工作任务，分别为：一是“三支一扶”高校毕业生经费保障计划。二是劳动保障监察协管员经费保障计划。三是公费医疗保障任务。四是社会保障任务。五是稳定就业任务。六是社会化退休人员慰问保障工作计划。七是社会化退休人员文体活动支出保障计划。八是城乡居保政府补贴计划。九是城乡医保险征缴扩面任务、主要实施内容及任务目标详见附表。</w:t>
      </w:r>
    </w:p>
    <w:p>
      <w:pPr>
        <w:pStyle w:val="12"/>
        <w:numPr>
          <w:ilvl w:val="0"/>
          <w:numId w:val="2"/>
        </w:numPr>
        <w:ind w:firstLine="643"/>
      </w:pPr>
      <w:r>
        <w:rPr>
          <w:rFonts w:hint="eastAsia"/>
        </w:rPr>
        <w:t>目标完成</w:t>
      </w:r>
    </w:p>
    <w:p>
      <w:pPr>
        <w:pStyle w:val="11"/>
        <w:ind w:firstLine="640"/>
      </w:pPr>
      <w:r>
        <w:t>部门年度设置绩效指标</w:t>
      </w:r>
      <w:r>
        <w:rPr>
          <w:rFonts w:hint="eastAsia"/>
        </w:rPr>
        <w:t>38</w:t>
      </w:r>
      <w:r>
        <w:t>个，其中已完成指标</w:t>
      </w:r>
      <w:r>
        <w:rPr>
          <w:rFonts w:hint="eastAsia"/>
        </w:rPr>
        <w:t>31</w:t>
      </w:r>
      <w:r>
        <w:t>个，目标完成率81</w:t>
      </w:r>
      <w:r>
        <w:rPr>
          <w:rFonts w:hint="eastAsia"/>
        </w:rPr>
        <w:t>.</w:t>
      </w:r>
      <w:r>
        <w:t>58%。</w:t>
      </w:r>
      <w:r>
        <w:rPr>
          <w:rFonts w:hint="eastAsia"/>
        </w:rPr>
        <w:t>具体完成情况见附表。</w:t>
      </w:r>
    </w:p>
    <w:p>
      <w:pPr>
        <w:pStyle w:val="13"/>
      </w:pPr>
      <w:r>
        <w:rPr>
          <w:rFonts w:hint="eastAsia"/>
        </w:rPr>
        <w:t>附表 部门整体支出绩效目标及完成情况表</w:t>
      </w:r>
    </w:p>
    <w:tbl>
      <w:tblPr>
        <w:tblStyle w:val="7"/>
        <w:tblW w:w="9286" w:type="dxa"/>
        <w:tblInd w:w="0" w:type="dxa"/>
        <w:tblLayout w:type="fixed"/>
        <w:tblCellMar>
          <w:top w:w="0" w:type="dxa"/>
          <w:left w:w="108" w:type="dxa"/>
          <w:bottom w:w="0" w:type="dxa"/>
          <w:right w:w="108" w:type="dxa"/>
        </w:tblCellMar>
      </w:tblPr>
      <w:tblGrid>
        <w:gridCol w:w="1595"/>
        <w:gridCol w:w="1450"/>
        <w:gridCol w:w="1163"/>
        <w:gridCol w:w="1163"/>
        <w:gridCol w:w="2907"/>
        <w:gridCol w:w="1008"/>
      </w:tblGrid>
      <w:tr>
        <w:tblPrEx>
          <w:tblLayout w:type="fixed"/>
          <w:tblCellMar>
            <w:top w:w="0" w:type="dxa"/>
            <w:left w:w="108" w:type="dxa"/>
            <w:bottom w:w="0" w:type="dxa"/>
            <w:right w:w="108" w:type="dxa"/>
          </w:tblCellMar>
        </w:tblPrEx>
        <w:trPr>
          <w:cantSplit/>
          <w:trHeight w:val="405" w:hRule="atLeast"/>
          <w:tblHeader/>
        </w:trPr>
        <w:tc>
          <w:tcPr>
            <w:tcW w:w="159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4"/>
              <w:rPr>
                <w:b/>
                <w:bCs w:val="0"/>
              </w:rPr>
            </w:pPr>
            <w:r>
              <w:rPr>
                <w:rFonts w:hint="eastAsia"/>
                <w:b/>
                <w:bCs w:val="0"/>
              </w:rPr>
              <w:t>部门整体支出目标</w:t>
            </w:r>
          </w:p>
        </w:tc>
        <w:tc>
          <w:tcPr>
            <w:tcW w:w="1450" w:type="dxa"/>
            <w:tcBorders>
              <w:top w:val="single" w:color="auto" w:sz="4" w:space="0"/>
              <w:left w:val="nil"/>
              <w:bottom w:val="single" w:color="auto" w:sz="4" w:space="0"/>
              <w:right w:val="single" w:color="auto" w:sz="4" w:space="0"/>
            </w:tcBorders>
            <w:shd w:val="clear" w:color="auto" w:fill="auto"/>
            <w:vAlign w:val="center"/>
          </w:tcPr>
          <w:p>
            <w:pPr>
              <w:pStyle w:val="14"/>
              <w:rPr>
                <w:b/>
                <w:bCs w:val="0"/>
              </w:rPr>
            </w:pPr>
            <w:r>
              <w:rPr>
                <w:rFonts w:hint="eastAsia"/>
                <w:b/>
                <w:bCs w:val="0"/>
              </w:rPr>
              <w:t>关键指标</w:t>
            </w:r>
          </w:p>
        </w:tc>
        <w:tc>
          <w:tcPr>
            <w:tcW w:w="1163" w:type="dxa"/>
            <w:tcBorders>
              <w:top w:val="single" w:color="auto" w:sz="4" w:space="0"/>
              <w:left w:val="nil"/>
              <w:bottom w:val="single" w:color="auto" w:sz="4" w:space="0"/>
              <w:right w:val="single" w:color="auto" w:sz="4" w:space="0"/>
            </w:tcBorders>
            <w:shd w:val="clear" w:color="auto" w:fill="auto"/>
            <w:vAlign w:val="center"/>
          </w:tcPr>
          <w:p>
            <w:pPr>
              <w:pStyle w:val="14"/>
              <w:rPr>
                <w:b/>
                <w:bCs w:val="0"/>
              </w:rPr>
            </w:pPr>
            <w:r>
              <w:rPr>
                <w:rFonts w:hint="eastAsia"/>
                <w:b/>
                <w:bCs w:val="0"/>
              </w:rPr>
              <w:t>预期实现值</w:t>
            </w:r>
          </w:p>
        </w:tc>
        <w:tc>
          <w:tcPr>
            <w:tcW w:w="1163" w:type="dxa"/>
            <w:tcBorders>
              <w:top w:val="single" w:color="auto" w:sz="4" w:space="0"/>
              <w:left w:val="nil"/>
              <w:bottom w:val="single" w:color="auto" w:sz="4" w:space="0"/>
              <w:right w:val="single" w:color="auto" w:sz="4" w:space="0"/>
            </w:tcBorders>
            <w:shd w:val="clear" w:color="auto" w:fill="auto"/>
            <w:vAlign w:val="center"/>
          </w:tcPr>
          <w:p>
            <w:pPr>
              <w:pStyle w:val="14"/>
              <w:rPr>
                <w:b/>
                <w:bCs w:val="0"/>
              </w:rPr>
            </w:pPr>
            <w:r>
              <w:rPr>
                <w:rFonts w:hint="eastAsia"/>
                <w:b/>
                <w:bCs w:val="0"/>
              </w:rPr>
              <w:t>年度完成值</w:t>
            </w:r>
          </w:p>
        </w:tc>
        <w:tc>
          <w:tcPr>
            <w:tcW w:w="2907" w:type="dxa"/>
            <w:tcBorders>
              <w:top w:val="single" w:color="auto" w:sz="4" w:space="0"/>
              <w:left w:val="nil"/>
              <w:bottom w:val="single" w:color="auto" w:sz="4" w:space="0"/>
              <w:right w:val="single" w:color="auto" w:sz="4" w:space="0"/>
            </w:tcBorders>
            <w:shd w:val="clear" w:color="auto" w:fill="auto"/>
            <w:vAlign w:val="center"/>
          </w:tcPr>
          <w:p>
            <w:pPr>
              <w:pStyle w:val="14"/>
              <w:rPr>
                <w:b/>
                <w:bCs w:val="0"/>
              </w:rPr>
            </w:pPr>
            <w:r>
              <w:rPr>
                <w:rFonts w:hint="eastAsia"/>
                <w:b/>
                <w:bCs w:val="0"/>
              </w:rPr>
              <w:t>具体完成情况</w:t>
            </w:r>
          </w:p>
        </w:tc>
        <w:tc>
          <w:tcPr>
            <w:tcW w:w="1008" w:type="dxa"/>
            <w:tcBorders>
              <w:top w:val="single" w:color="auto" w:sz="4" w:space="0"/>
              <w:left w:val="nil"/>
              <w:bottom w:val="single" w:color="auto" w:sz="4" w:space="0"/>
              <w:right w:val="single" w:color="auto" w:sz="4" w:space="0"/>
            </w:tcBorders>
            <w:shd w:val="clear" w:color="auto" w:fill="auto"/>
            <w:vAlign w:val="center"/>
          </w:tcPr>
          <w:p>
            <w:pPr>
              <w:pStyle w:val="14"/>
              <w:rPr>
                <w:b/>
                <w:bCs w:val="0"/>
              </w:rPr>
            </w:pPr>
            <w:r>
              <w:rPr>
                <w:rFonts w:hint="eastAsia"/>
                <w:b/>
                <w:bCs w:val="0"/>
              </w:rPr>
              <w:t>完成情况</w:t>
            </w:r>
          </w:p>
        </w:tc>
      </w:tr>
      <w:tr>
        <w:tblPrEx>
          <w:tblLayout w:type="fixed"/>
          <w:tblCellMar>
            <w:top w:w="0" w:type="dxa"/>
            <w:left w:w="108" w:type="dxa"/>
            <w:bottom w:w="0" w:type="dxa"/>
            <w:right w:w="108" w:type="dxa"/>
          </w:tblCellMar>
        </w:tblPrEx>
        <w:trPr>
          <w:cantSplit/>
          <w:trHeight w:val="953" w:hRule="atLeast"/>
        </w:trPr>
        <w:tc>
          <w:tcPr>
            <w:tcW w:w="1595" w:type="dxa"/>
            <w:vMerge w:val="restart"/>
            <w:tcBorders>
              <w:top w:val="nil"/>
              <w:left w:val="single" w:color="auto" w:sz="4" w:space="0"/>
              <w:bottom w:val="single" w:color="auto" w:sz="4" w:space="0"/>
              <w:right w:val="single" w:color="auto" w:sz="4" w:space="0"/>
            </w:tcBorders>
            <w:shd w:val="clear" w:color="auto" w:fill="auto"/>
            <w:vAlign w:val="center"/>
          </w:tcPr>
          <w:p>
            <w:pPr>
              <w:pStyle w:val="14"/>
            </w:pPr>
            <w:r>
              <w:rPr>
                <w:rFonts w:hint="eastAsia"/>
              </w:rPr>
              <w:t>2022年，区人社局以区委、区政府民生实事重点任务为中心，实施就业优先政策，聚焦高校毕业生群体、重点企业用工难问题，以高质量就业管理服务适应新发展格局。深入实施技能培训提升行动，深入实施三项工程赋能乡村振兴。坚持以“老有所养、病有所医、伤有所保、失有所助、生有所补”为目标，构建多层次全覆盖的社会保障体系，保障各项社保待遇按时足额发放。深化人才服务,提升劳动关系综合治理效能，推进劳资纠纷多元化解机制。</w:t>
            </w:r>
          </w:p>
        </w:tc>
        <w:tc>
          <w:tcPr>
            <w:tcW w:w="1450" w:type="dxa"/>
            <w:tcBorders>
              <w:top w:val="nil"/>
              <w:left w:val="nil"/>
              <w:bottom w:val="single" w:color="auto" w:sz="4" w:space="0"/>
              <w:right w:val="single" w:color="auto" w:sz="4" w:space="0"/>
            </w:tcBorders>
            <w:shd w:val="clear" w:color="auto" w:fill="auto"/>
            <w:vAlign w:val="center"/>
          </w:tcPr>
          <w:p>
            <w:pPr>
              <w:pStyle w:val="14"/>
            </w:pPr>
            <w:r>
              <w:rPr>
                <w:rFonts w:hint="eastAsia"/>
              </w:rPr>
              <w:t>“三支一扶”毕业生参保率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100.00%</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100.00%</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年度实现值=100%（2022年“三支一扶”毕业生共全部已参保，参保人数共60人）</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已完成</w:t>
            </w:r>
          </w:p>
        </w:tc>
      </w:tr>
      <w:tr>
        <w:tblPrEx>
          <w:tblLayout w:type="fixed"/>
          <w:tblCellMar>
            <w:top w:w="0" w:type="dxa"/>
            <w:left w:w="108" w:type="dxa"/>
            <w:bottom w:w="0" w:type="dxa"/>
            <w:right w:w="108" w:type="dxa"/>
          </w:tblCellMar>
        </w:tblPrEx>
        <w:trPr>
          <w:cantSplit/>
          <w:trHeight w:val="810"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vAlign w:val="center"/>
          </w:tcPr>
          <w:p>
            <w:pPr>
              <w:pStyle w:val="14"/>
            </w:pPr>
            <w:r>
              <w:rPr>
                <w:rFonts w:hint="eastAsia"/>
              </w:rPr>
              <w:t>仲裁结案率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≧95.00%</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95.51%</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年度实现值=95.51%（2022年度仲裁结案数915件，仲裁立案数958件）</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已完成</w:t>
            </w:r>
          </w:p>
        </w:tc>
      </w:tr>
      <w:tr>
        <w:tblPrEx>
          <w:tblLayout w:type="fixed"/>
          <w:tblCellMar>
            <w:top w:w="0" w:type="dxa"/>
            <w:left w:w="108" w:type="dxa"/>
            <w:bottom w:w="0" w:type="dxa"/>
            <w:right w:w="108" w:type="dxa"/>
          </w:tblCellMar>
        </w:tblPrEx>
        <w:trPr>
          <w:cantSplit/>
          <w:trHeight w:val="1583"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vAlign w:val="center"/>
          </w:tcPr>
          <w:p>
            <w:pPr>
              <w:pStyle w:val="14"/>
            </w:pPr>
            <w:r>
              <w:rPr>
                <w:rFonts w:hint="eastAsia"/>
              </w:rPr>
              <w:t>档案整理、移交、接收、管理、保存工作完成率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90%或以上</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93.10%</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年度实现值=93.10%（2022年收到转递单和调档函共768份，发出调档函88份，实际接收流动人员档案 3483卷，干部人事档案168卷，转出档案715卷）</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已完成</w:t>
            </w:r>
          </w:p>
        </w:tc>
      </w:tr>
      <w:tr>
        <w:tblPrEx>
          <w:tblLayout w:type="fixed"/>
          <w:tblCellMar>
            <w:top w:w="0" w:type="dxa"/>
            <w:left w:w="108" w:type="dxa"/>
            <w:bottom w:w="0" w:type="dxa"/>
            <w:right w:w="108" w:type="dxa"/>
          </w:tblCellMar>
        </w:tblPrEx>
        <w:trPr>
          <w:cantSplit/>
          <w:trHeight w:val="953"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vAlign w:val="center"/>
          </w:tcPr>
          <w:p>
            <w:pPr>
              <w:pStyle w:val="14"/>
            </w:pPr>
            <w:r>
              <w:rPr>
                <w:rFonts w:hint="eastAsia"/>
              </w:rPr>
              <w:t>行政事业单位人员纳入公费医疗率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100.00%</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100.00%</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年度实现值=100%（2022年实际参加公费医疗人数18726人，行政事业单位总人数18726人）</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已完成</w:t>
            </w:r>
          </w:p>
        </w:tc>
      </w:tr>
      <w:tr>
        <w:tblPrEx>
          <w:tblLayout w:type="fixed"/>
          <w:tblCellMar>
            <w:top w:w="0" w:type="dxa"/>
            <w:left w:w="108" w:type="dxa"/>
            <w:bottom w:w="0" w:type="dxa"/>
            <w:right w:w="108" w:type="dxa"/>
          </w:tblCellMar>
        </w:tblPrEx>
        <w:trPr>
          <w:cantSplit/>
          <w:trHeight w:val="810"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vAlign w:val="center"/>
          </w:tcPr>
          <w:p>
            <w:pPr>
              <w:pStyle w:val="14"/>
            </w:pPr>
            <w:r>
              <w:rPr>
                <w:rFonts w:hint="eastAsia"/>
              </w:rPr>
              <w:t>业务办结率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100.00%</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100.00%</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年度实现值=100%（2022年实际办结公医业务14897单，应办结业务数14897单）</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已完成</w:t>
            </w:r>
          </w:p>
        </w:tc>
      </w:tr>
      <w:tr>
        <w:tblPrEx>
          <w:tblLayout w:type="fixed"/>
          <w:tblCellMar>
            <w:top w:w="0" w:type="dxa"/>
            <w:left w:w="108" w:type="dxa"/>
            <w:bottom w:w="0" w:type="dxa"/>
            <w:right w:w="108" w:type="dxa"/>
          </w:tblCellMar>
        </w:tblPrEx>
        <w:trPr>
          <w:cantSplit/>
          <w:trHeight w:val="1155"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vAlign w:val="center"/>
          </w:tcPr>
          <w:p>
            <w:pPr>
              <w:pStyle w:val="14"/>
            </w:pPr>
            <w:r>
              <w:rPr>
                <w:rFonts w:hint="eastAsia"/>
              </w:rPr>
              <w:t>三大目录范围内报销率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≧90.00%</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94.73%</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年度实现值=94.73%（2022年实际报销金额48,214,434.62元，范围内报销金50,896,922.95元</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已完成</w:t>
            </w:r>
          </w:p>
        </w:tc>
      </w:tr>
      <w:tr>
        <w:tblPrEx>
          <w:tblLayout w:type="fixed"/>
          <w:tblCellMar>
            <w:top w:w="0" w:type="dxa"/>
            <w:left w:w="108" w:type="dxa"/>
            <w:bottom w:w="0" w:type="dxa"/>
            <w:right w:w="108" w:type="dxa"/>
          </w:tblCellMar>
        </w:tblPrEx>
        <w:trPr>
          <w:cantSplit/>
          <w:trHeight w:val="638"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vAlign w:val="center"/>
          </w:tcPr>
          <w:p>
            <w:pPr>
              <w:pStyle w:val="14"/>
            </w:pPr>
            <w:r>
              <w:rPr>
                <w:rFonts w:hint="eastAsia"/>
              </w:rPr>
              <w:t>各类补贴发放完成率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100.00%</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100.00%</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全部发放</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已完成</w:t>
            </w:r>
          </w:p>
        </w:tc>
      </w:tr>
      <w:tr>
        <w:tblPrEx>
          <w:tblLayout w:type="fixed"/>
          <w:tblCellMar>
            <w:top w:w="0" w:type="dxa"/>
            <w:left w:w="108" w:type="dxa"/>
            <w:bottom w:w="0" w:type="dxa"/>
            <w:right w:w="108" w:type="dxa"/>
          </w:tblCellMar>
        </w:tblPrEx>
        <w:trPr>
          <w:cantSplit/>
          <w:trHeight w:val="953"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vAlign w:val="center"/>
          </w:tcPr>
          <w:p>
            <w:pPr>
              <w:pStyle w:val="14"/>
            </w:pPr>
            <w:r>
              <w:rPr>
                <w:rFonts w:hint="eastAsia"/>
              </w:rPr>
              <w:t>维护（维修）工程完成率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90%或以上</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预算单位未提供相关佐证材料。</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佐证材料不充分</w:t>
            </w:r>
          </w:p>
        </w:tc>
      </w:tr>
      <w:tr>
        <w:tblPrEx>
          <w:tblLayout w:type="fixed"/>
          <w:tblCellMar>
            <w:top w:w="0" w:type="dxa"/>
            <w:left w:w="108" w:type="dxa"/>
            <w:bottom w:w="0" w:type="dxa"/>
            <w:right w:w="108" w:type="dxa"/>
          </w:tblCellMar>
        </w:tblPrEx>
        <w:trPr>
          <w:cantSplit/>
          <w:trHeight w:val="1088"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vAlign w:val="center"/>
          </w:tcPr>
          <w:p>
            <w:pPr>
              <w:pStyle w:val="14"/>
            </w:pPr>
            <w:r>
              <w:rPr>
                <w:rFonts w:hint="eastAsia"/>
              </w:rPr>
              <w:t>现场检查企业完成率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90%或以上</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100.00%</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年度实现值=100%（实际检查企业数385家/计划检查企业数385家）</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已完成</w:t>
            </w:r>
          </w:p>
        </w:tc>
      </w:tr>
      <w:tr>
        <w:tblPrEx>
          <w:tblLayout w:type="fixed"/>
          <w:tblCellMar>
            <w:top w:w="0" w:type="dxa"/>
            <w:left w:w="108" w:type="dxa"/>
            <w:bottom w:w="0" w:type="dxa"/>
            <w:right w:w="108" w:type="dxa"/>
          </w:tblCellMar>
        </w:tblPrEx>
        <w:trPr>
          <w:cantSplit/>
          <w:trHeight w:val="953"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vAlign w:val="center"/>
          </w:tcPr>
          <w:p>
            <w:pPr>
              <w:pStyle w:val="14"/>
            </w:pPr>
            <w:r>
              <w:rPr>
                <w:rFonts w:hint="eastAsia"/>
              </w:rPr>
              <w:t>企业人工成本监测完成率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100.00%</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企业人工成本监测数量为150家。</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已完成</w:t>
            </w:r>
          </w:p>
        </w:tc>
      </w:tr>
      <w:tr>
        <w:tblPrEx>
          <w:tblLayout w:type="fixed"/>
          <w:tblCellMar>
            <w:top w:w="0" w:type="dxa"/>
            <w:left w:w="108" w:type="dxa"/>
            <w:bottom w:w="0" w:type="dxa"/>
            <w:right w:w="108" w:type="dxa"/>
          </w:tblCellMar>
        </w:tblPrEx>
        <w:trPr>
          <w:cantSplit/>
          <w:trHeight w:val="953"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vAlign w:val="center"/>
          </w:tcPr>
          <w:p>
            <w:pPr>
              <w:pStyle w:val="14"/>
            </w:pPr>
            <w:r>
              <w:rPr>
                <w:rFonts w:hint="eastAsia"/>
              </w:rPr>
              <w:t>社会化退休人员实行信息化管理率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≧95%</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100.00%</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年度实现值=100%（退管系统实际接收社会化退休人员2653人/退管系统应接收社会化退休人员2653人*100%）</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已完成</w:t>
            </w:r>
          </w:p>
        </w:tc>
      </w:tr>
      <w:tr>
        <w:tblPrEx>
          <w:tblLayout w:type="fixed"/>
          <w:tblCellMar>
            <w:top w:w="0" w:type="dxa"/>
            <w:left w:w="108" w:type="dxa"/>
            <w:bottom w:w="0" w:type="dxa"/>
            <w:right w:w="108" w:type="dxa"/>
          </w:tblCellMar>
        </w:tblPrEx>
        <w:trPr>
          <w:cantSplit/>
          <w:trHeight w:val="953"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vAlign w:val="center"/>
          </w:tcPr>
          <w:p>
            <w:pPr>
              <w:pStyle w:val="14"/>
            </w:pPr>
            <w:r>
              <w:rPr>
                <w:rFonts w:hint="eastAsia"/>
              </w:rPr>
              <w:t>社会申办退休人员接收率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100.00%</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100.00%</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年度实现值=100%（实际接收社会申办退休2305人/应接收社会申办退休2305人*100%）</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已完成</w:t>
            </w:r>
          </w:p>
        </w:tc>
      </w:tr>
      <w:tr>
        <w:tblPrEx>
          <w:tblLayout w:type="fixed"/>
          <w:tblCellMar>
            <w:top w:w="0" w:type="dxa"/>
            <w:left w:w="108" w:type="dxa"/>
            <w:bottom w:w="0" w:type="dxa"/>
            <w:right w:w="108" w:type="dxa"/>
          </w:tblCellMar>
        </w:tblPrEx>
        <w:trPr>
          <w:cantSplit/>
          <w:trHeight w:val="1215"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noWrap/>
            <w:vAlign w:val="center"/>
          </w:tcPr>
          <w:p>
            <w:pPr>
              <w:pStyle w:val="14"/>
            </w:pPr>
            <w:r>
              <w:rPr>
                <w:rFonts w:hint="eastAsia"/>
              </w:rPr>
              <w:t>社会化退休人员开展文体活动次数完成率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≧95%</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12.50%</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年度实现值=12.5%（采购并发放1392份爱心防疫包，实际开展社会化退休人员文体活动1次/预计开展社会化退休人员文体活动8次*100%）</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未完成</w:t>
            </w:r>
          </w:p>
        </w:tc>
      </w:tr>
      <w:tr>
        <w:tblPrEx>
          <w:tblLayout w:type="fixed"/>
          <w:tblCellMar>
            <w:top w:w="0" w:type="dxa"/>
            <w:left w:w="108" w:type="dxa"/>
            <w:bottom w:w="0" w:type="dxa"/>
            <w:right w:w="108" w:type="dxa"/>
          </w:tblCellMar>
        </w:tblPrEx>
        <w:trPr>
          <w:cantSplit/>
          <w:trHeight w:val="1215"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noWrap/>
            <w:vAlign w:val="center"/>
          </w:tcPr>
          <w:p>
            <w:pPr>
              <w:pStyle w:val="14"/>
            </w:pPr>
            <w:r>
              <w:rPr>
                <w:rFonts w:hint="eastAsia"/>
              </w:rPr>
              <w:t>人员信息数字化建档率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≧90.00%</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83.50%</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年度实现值=83.5%（完成在职干部人事档案数字化1654卷，完成总工作量的100%。干部人事查档已实现电子化查档。完成流动人员数字化21565卷，完成总工作量的67%)</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未完成</w:t>
            </w:r>
          </w:p>
        </w:tc>
      </w:tr>
      <w:tr>
        <w:tblPrEx>
          <w:tblLayout w:type="fixed"/>
          <w:tblCellMar>
            <w:top w:w="0" w:type="dxa"/>
            <w:left w:w="108" w:type="dxa"/>
            <w:bottom w:w="0" w:type="dxa"/>
            <w:right w:w="108" w:type="dxa"/>
          </w:tblCellMar>
        </w:tblPrEx>
        <w:trPr>
          <w:cantSplit/>
          <w:trHeight w:val="810"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noWrap/>
            <w:vAlign w:val="center"/>
          </w:tcPr>
          <w:p>
            <w:pPr>
              <w:pStyle w:val="14"/>
            </w:pPr>
            <w:r>
              <w:rPr>
                <w:rFonts w:hint="eastAsia"/>
              </w:rPr>
              <w:t>居民参保缴费网办率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≧70.00%</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80.00%</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年度实现值=80%（2022年实际参保网办人数356658人，实际参保总人数445823人）</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已完成</w:t>
            </w:r>
          </w:p>
        </w:tc>
      </w:tr>
      <w:tr>
        <w:tblPrEx>
          <w:tblLayout w:type="fixed"/>
          <w:tblCellMar>
            <w:top w:w="0" w:type="dxa"/>
            <w:left w:w="108" w:type="dxa"/>
            <w:bottom w:w="0" w:type="dxa"/>
            <w:right w:w="108" w:type="dxa"/>
          </w:tblCellMar>
        </w:tblPrEx>
        <w:trPr>
          <w:cantSplit/>
          <w:trHeight w:val="810"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noWrap/>
            <w:vAlign w:val="center"/>
          </w:tcPr>
          <w:p>
            <w:pPr>
              <w:pStyle w:val="14"/>
            </w:pPr>
            <w:r>
              <w:rPr>
                <w:rFonts w:hint="eastAsia"/>
              </w:rPr>
              <w:t>低保生活困难人员参保率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100.00%</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100.00%</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年度实现值=100%（2022年实际低保生活困难人员参保人数26154人，低保生活困难人员总人数26154人）</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已完成</w:t>
            </w:r>
          </w:p>
        </w:tc>
      </w:tr>
      <w:tr>
        <w:tblPrEx>
          <w:tblLayout w:type="fixed"/>
          <w:tblCellMar>
            <w:top w:w="0" w:type="dxa"/>
            <w:left w:w="108" w:type="dxa"/>
            <w:bottom w:w="0" w:type="dxa"/>
            <w:right w:w="108" w:type="dxa"/>
          </w:tblCellMar>
        </w:tblPrEx>
        <w:trPr>
          <w:cantSplit/>
          <w:trHeight w:val="810"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noWrap/>
            <w:vAlign w:val="center"/>
          </w:tcPr>
          <w:p>
            <w:pPr>
              <w:pStyle w:val="14"/>
            </w:pPr>
            <w:r>
              <w:rPr>
                <w:rFonts w:hint="eastAsia"/>
              </w:rPr>
              <w:t>城乡医保参保指标任务完成率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≧98.00%</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97.30%</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年度实现值=97.3%（2022年实际参保人数445823人，指标下达人数458200人*100%）</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未完成</w:t>
            </w:r>
          </w:p>
        </w:tc>
      </w:tr>
      <w:tr>
        <w:tblPrEx>
          <w:tblLayout w:type="fixed"/>
          <w:tblCellMar>
            <w:top w:w="0" w:type="dxa"/>
            <w:left w:w="108" w:type="dxa"/>
            <w:bottom w:w="0" w:type="dxa"/>
            <w:right w:w="108" w:type="dxa"/>
          </w:tblCellMar>
        </w:tblPrEx>
        <w:trPr>
          <w:cantSplit/>
          <w:trHeight w:val="405"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noWrap/>
            <w:vAlign w:val="center"/>
          </w:tcPr>
          <w:p>
            <w:pPr>
              <w:pStyle w:val="14"/>
            </w:pPr>
            <w:r>
              <w:rPr>
                <w:rFonts w:hint="eastAsia"/>
              </w:rPr>
              <w:t>档案库房恒温恒湿达标率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≧90.00%</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100.00%</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档案库房恒温恒湿全年达标</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已完成</w:t>
            </w:r>
          </w:p>
        </w:tc>
      </w:tr>
      <w:tr>
        <w:tblPrEx>
          <w:tblLayout w:type="fixed"/>
          <w:tblCellMar>
            <w:top w:w="0" w:type="dxa"/>
            <w:left w:w="108" w:type="dxa"/>
            <w:bottom w:w="0" w:type="dxa"/>
            <w:right w:w="108" w:type="dxa"/>
          </w:tblCellMar>
        </w:tblPrEx>
        <w:trPr>
          <w:cantSplit/>
          <w:trHeight w:val="810"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noWrap/>
            <w:vAlign w:val="center"/>
          </w:tcPr>
          <w:p>
            <w:pPr>
              <w:pStyle w:val="14"/>
            </w:pPr>
            <w:r>
              <w:rPr>
                <w:rFonts w:hint="eastAsia"/>
              </w:rPr>
              <w:t>补贴（资助）错发率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0.00%</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根据《2022年就业资金检查情况及整改情况》，存在部分灵活就业社保补贴进行资料抽查后发现个别人员补贴金额有误</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未完成</w:t>
            </w:r>
          </w:p>
        </w:tc>
      </w:tr>
      <w:tr>
        <w:tblPrEx>
          <w:tblLayout w:type="fixed"/>
          <w:tblCellMar>
            <w:top w:w="0" w:type="dxa"/>
            <w:left w:w="108" w:type="dxa"/>
            <w:bottom w:w="0" w:type="dxa"/>
            <w:right w:w="108" w:type="dxa"/>
          </w:tblCellMar>
        </w:tblPrEx>
        <w:trPr>
          <w:cantSplit/>
          <w:trHeight w:val="810"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noWrap/>
            <w:vAlign w:val="center"/>
          </w:tcPr>
          <w:p>
            <w:pPr>
              <w:pStyle w:val="14"/>
            </w:pPr>
            <w:r>
              <w:rPr>
                <w:rFonts w:hint="eastAsia"/>
              </w:rPr>
              <w:t>南粤家政服务示范站优秀等级达标率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90%或以上</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100.00%</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年度实现值=100%（实际达到优秀等级的服务示范站1个/计划建设南粤家政基层服务示范站1个）</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已完成</w:t>
            </w:r>
          </w:p>
        </w:tc>
      </w:tr>
      <w:tr>
        <w:tblPrEx>
          <w:tblLayout w:type="fixed"/>
          <w:tblCellMar>
            <w:top w:w="0" w:type="dxa"/>
            <w:left w:w="108" w:type="dxa"/>
            <w:bottom w:w="0" w:type="dxa"/>
            <w:right w:w="108" w:type="dxa"/>
          </w:tblCellMar>
        </w:tblPrEx>
        <w:trPr>
          <w:cantSplit/>
          <w:trHeight w:val="810"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noWrap/>
            <w:vAlign w:val="center"/>
          </w:tcPr>
          <w:p>
            <w:pPr>
              <w:pStyle w:val="14"/>
            </w:pPr>
            <w:r>
              <w:rPr>
                <w:rFonts w:hint="eastAsia"/>
              </w:rPr>
              <w:t>城乡居民参保信息完整率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≧97.00%</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100.00%</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年度实现值=100%（2022年实际城乡居民参保信息填写完整人数445823人，城乡居民参保总人数445823人）</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已完成</w:t>
            </w:r>
          </w:p>
        </w:tc>
      </w:tr>
      <w:tr>
        <w:tblPrEx>
          <w:tblLayout w:type="fixed"/>
          <w:tblCellMar>
            <w:top w:w="0" w:type="dxa"/>
            <w:left w:w="108" w:type="dxa"/>
            <w:bottom w:w="0" w:type="dxa"/>
            <w:right w:w="108" w:type="dxa"/>
          </w:tblCellMar>
        </w:tblPrEx>
        <w:trPr>
          <w:cantSplit/>
          <w:trHeight w:val="810"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noWrap/>
            <w:vAlign w:val="center"/>
          </w:tcPr>
          <w:p>
            <w:pPr>
              <w:pStyle w:val="14"/>
            </w:pPr>
            <w:r>
              <w:rPr>
                <w:rFonts w:hint="eastAsia"/>
              </w:rPr>
              <w:t>法定时限内劳动保障监察举报投诉案件的办结率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≧96.00%</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100.00%</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年度实现值=100%(已结且未逾期的案的案件76宗，已结案的案件76宗）</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已完成</w:t>
            </w:r>
          </w:p>
        </w:tc>
      </w:tr>
      <w:tr>
        <w:tblPrEx>
          <w:tblLayout w:type="fixed"/>
          <w:tblCellMar>
            <w:top w:w="0" w:type="dxa"/>
            <w:left w:w="108" w:type="dxa"/>
            <w:bottom w:w="0" w:type="dxa"/>
            <w:right w:w="108" w:type="dxa"/>
          </w:tblCellMar>
        </w:tblPrEx>
        <w:trPr>
          <w:cantSplit/>
          <w:trHeight w:val="810"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noWrap/>
            <w:vAlign w:val="center"/>
          </w:tcPr>
          <w:p>
            <w:pPr>
              <w:pStyle w:val="14"/>
            </w:pPr>
            <w:r>
              <w:rPr>
                <w:rFonts w:hint="eastAsia"/>
              </w:rPr>
              <w:t>基层医院资金拨款及时率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100.00%</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100.00%</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年度实现值=100%（2022年基层医院实际资金拨款5178545.57元，基层医院资金应拨款数5178545.57元）</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已完成</w:t>
            </w:r>
          </w:p>
        </w:tc>
      </w:tr>
      <w:tr>
        <w:tblPrEx>
          <w:tblLayout w:type="fixed"/>
          <w:tblCellMar>
            <w:top w:w="0" w:type="dxa"/>
            <w:left w:w="108" w:type="dxa"/>
            <w:bottom w:w="0" w:type="dxa"/>
            <w:right w:w="108" w:type="dxa"/>
          </w:tblCellMar>
        </w:tblPrEx>
        <w:trPr>
          <w:cantSplit/>
          <w:trHeight w:val="405"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noWrap/>
            <w:vAlign w:val="center"/>
          </w:tcPr>
          <w:p>
            <w:pPr>
              <w:pStyle w:val="14"/>
            </w:pPr>
            <w:r>
              <w:rPr>
                <w:rFonts w:hint="eastAsia"/>
              </w:rPr>
              <w:t>各类补贴发放及时率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100.00%</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100.00%</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补贴发放及时率为100%　</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已完成</w:t>
            </w:r>
          </w:p>
        </w:tc>
      </w:tr>
      <w:tr>
        <w:tblPrEx>
          <w:tblLayout w:type="fixed"/>
          <w:tblCellMar>
            <w:top w:w="0" w:type="dxa"/>
            <w:left w:w="108" w:type="dxa"/>
            <w:bottom w:w="0" w:type="dxa"/>
            <w:right w:w="108" w:type="dxa"/>
          </w:tblCellMar>
        </w:tblPrEx>
        <w:trPr>
          <w:cantSplit/>
          <w:trHeight w:val="810"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noWrap/>
            <w:vAlign w:val="center"/>
          </w:tcPr>
          <w:p>
            <w:pPr>
              <w:pStyle w:val="14"/>
            </w:pPr>
            <w:r>
              <w:rPr>
                <w:rFonts w:hint="eastAsia"/>
              </w:rPr>
              <w:t>“三支一扶”毕业生期满考核就业率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≧85.00%</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84.60%</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年度实现值=84.6%（2022年期满人数39人，就业人数33人）</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未完成</w:t>
            </w:r>
          </w:p>
        </w:tc>
      </w:tr>
      <w:tr>
        <w:tblPrEx>
          <w:tblLayout w:type="fixed"/>
          <w:tblCellMar>
            <w:top w:w="0" w:type="dxa"/>
            <w:left w:w="108" w:type="dxa"/>
            <w:bottom w:w="0" w:type="dxa"/>
            <w:right w:w="108" w:type="dxa"/>
          </w:tblCellMar>
        </w:tblPrEx>
        <w:trPr>
          <w:cantSplit/>
          <w:trHeight w:val="405"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noWrap/>
            <w:vAlign w:val="center"/>
          </w:tcPr>
          <w:p>
            <w:pPr>
              <w:pStyle w:val="14"/>
            </w:pPr>
            <w:r>
              <w:rPr>
                <w:rFonts w:hint="eastAsia"/>
              </w:rPr>
              <w:t>涉劳资纠纷突发性事件成功处置率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≧95.00%</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2022年劳资纠纷突发性事件0宗</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已完成</w:t>
            </w:r>
          </w:p>
        </w:tc>
      </w:tr>
      <w:tr>
        <w:tblPrEx>
          <w:tblLayout w:type="fixed"/>
          <w:tblCellMar>
            <w:top w:w="0" w:type="dxa"/>
            <w:left w:w="108" w:type="dxa"/>
            <w:bottom w:w="0" w:type="dxa"/>
            <w:right w:w="108" w:type="dxa"/>
          </w:tblCellMar>
        </w:tblPrEx>
        <w:trPr>
          <w:cantSplit/>
          <w:trHeight w:val="810"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noWrap/>
            <w:vAlign w:val="center"/>
          </w:tcPr>
          <w:p>
            <w:pPr>
              <w:pStyle w:val="14"/>
            </w:pPr>
            <w:r>
              <w:rPr>
                <w:rFonts w:hint="eastAsia"/>
              </w:rPr>
              <w:t>原始档案完好率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80%或以上</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100.00%</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年度实现值=100%(2022年完成人事档案库房灭鼠杀虫，库存人事档案共39607 卷)</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已完成</w:t>
            </w:r>
          </w:p>
        </w:tc>
      </w:tr>
      <w:tr>
        <w:tblPrEx>
          <w:tblLayout w:type="fixed"/>
          <w:tblCellMar>
            <w:top w:w="0" w:type="dxa"/>
            <w:left w:w="108" w:type="dxa"/>
            <w:bottom w:w="0" w:type="dxa"/>
            <w:right w:w="108" w:type="dxa"/>
          </w:tblCellMar>
        </w:tblPrEx>
        <w:trPr>
          <w:cantSplit/>
          <w:trHeight w:val="405"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noWrap/>
            <w:vAlign w:val="center"/>
          </w:tcPr>
          <w:p>
            <w:pPr>
              <w:pStyle w:val="14"/>
            </w:pPr>
            <w:r>
              <w:rPr>
                <w:rFonts w:hint="eastAsia"/>
              </w:rPr>
              <w:t>有效举报投诉查办率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100.00%</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2022年有效举报投诉0笔</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已完成</w:t>
            </w:r>
          </w:p>
        </w:tc>
      </w:tr>
      <w:tr>
        <w:tblPrEx>
          <w:tblLayout w:type="fixed"/>
          <w:tblCellMar>
            <w:top w:w="0" w:type="dxa"/>
            <w:left w:w="108" w:type="dxa"/>
            <w:bottom w:w="0" w:type="dxa"/>
            <w:right w:w="108" w:type="dxa"/>
          </w:tblCellMar>
        </w:tblPrEx>
        <w:trPr>
          <w:cantSplit/>
          <w:trHeight w:val="405"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noWrap/>
            <w:vAlign w:val="center"/>
          </w:tcPr>
          <w:p>
            <w:pPr>
              <w:pStyle w:val="14"/>
            </w:pPr>
            <w:r>
              <w:rPr>
                <w:rFonts w:hint="eastAsia"/>
              </w:rPr>
              <w:t>各类补贴有效性</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100.00%</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预算单位未提供相关佐证材料。</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已完成</w:t>
            </w:r>
          </w:p>
        </w:tc>
      </w:tr>
      <w:tr>
        <w:tblPrEx>
          <w:tblLayout w:type="fixed"/>
          <w:tblCellMar>
            <w:top w:w="0" w:type="dxa"/>
            <w:left w:w="108" w:type="dxa"/>
            <w:bottom w:w="0" w:type="dxa"/>
            <w:right w:w="108" w:type="dxa"/>
          </w:tblCellMar>
        </w:tblPrEx>
        <w:trPr>
          <w:cantSplit/>
          <w:trHeight w:val="1058"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noWrap/>
            <w:vAlign w:val="center"/>
          </w:tcPr>
          <w:p>
            <w:pPr>
              <w:pStyle w:val="14"/>
            </w:pPr>
            <w:r>
              <w:rPr>
                <w:rFonts w:hint="eastAsia"/>
              </w:rPr>
              <w:t>资金错发追回率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90%或以上</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98.32%</w:t>
            </w:r>
          </w:p>
        </w:tc>
        <w:tc>
          <w:tcPr>
            <w:tcW w:w="2907" w:type="dxa"/>
            <w:tcBorders>
              <w:top w:val="nil"/>
              <w:left w:val="nil"/>
              <w:bottom w:val="single" w:color="000000" w:sz="4" w:space="0"/>
              <w:right w:val="single" w:color="000000" w:sz="4" w:space="0"/>
            </w:tcBorders>
            <w:shd w:val="clear" w:color="auto" w:fill="auto"/>
            <w:vAlign w:val="center"/>
          </w:tcPr>
          <w:p>
            <w:pPr>
              <w:pStyle w:val="14"/>
            </w:pPr>
            <w:r>
              <w:rPr>
                <w:rFonts w:hint="eastAsia"/>
              </w:rPr>
              <w:t>多发社保待遇119人，须追回金额514359.65元，截至2022年5月仍有7人32708.36元未追回。截止2022年12月仍有2人未追回，金额18358元。</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已完成</w:t>
            </w:r>
          </w:p>
        </w:tc>
      </w:tr>
      <w:tr>
        <w:tblPrEx>
          <w:tblLayout w:type="fixed"/>
          <w:tblCellMar>
            <w:top w:w="0" w:type="dxa"/>
            <w:left w:w="108" w:type="dxa"/>
            <w:bottom w:w="0" w:type="dxa"/>
            <w:right w:w="108" w:type="dxa"/>
          </w:tblCellMar>
        </w:tblPrEx>
        <w:trPr>
          <w:cantSplit/>
          <w:trHeight w:val="810"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noWrap/>
            <w:vAlign w:val="center"/>
          </w:tcPr>
          <w:p>
            <w:pPr>
              <w:pStyle w:val="14"/>
            </w:pPr>
            <w:r>
              <w:rPr>
                <w:rFonts w:hint="eastAsia"/>
              </w:rPr>
              <w:t>扶持创业企业数完成率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90%或以上</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410.36%</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410.36%（实际扶持创业企业人数8000人/计划扶持创业企业人数1950人）</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已完成</w:t>
            </w:r>
          </w:p>
        </w:tc>
      </w:tr>
      <w:tr>
        <w:tblPrEx>
          <w:tblLayout w:type="fixed"/>
          <w:tblCellMar>
            <w:top w:w="0" w:type="dxa"/>
            <w:left w:w="108" w:type="dxa"/>
            <w:bottom w:w="0" w:type="dxa"/>
            <w:right w:w="108" w:type="dxa"/>
          </w:tblCellMar>
        </w:tblPrEx>
        <w:trPr>
          <w:cantSplit/>
          <w:trHeight w:val="810"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noWrap/>
            <w:vAlign w:val="center"/>
          </w:tcPr>
          <w:p>
            <w:pPr>
              <w:pStyle w:val="14"/>
            </w:pPr>
            <w:r>
              <w:rPr>
                <w:rFonts w:hint="eastAsia"/>
              </w:rPr>
              <w:t>就业困难人员再就业人数完成率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90%或以上</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160.55%</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年度实现值=160.55%（实际完成就业困难人员再就业人数4688人/计划就业困难人员再就业人数2920人）</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已完成</w:t>
            </w:r>
          </w:p>
        </w:tc>
      </w:tr>
      <w:tr>
        <w:tblPrEx>
          <w:tblLayout w:type="fixed"/>
          <w:tblCellMar>
            <w:top w:w="0" w:type="dxa"/>
            <w:left w:w="108" w:type="dxa"/>
            <w:bottom w:w="0" w:type="dxa"/>
            <w:right w:w="108" w:type="dxa"/>
          </w:tblCellMar>
        </w:tblPrEx>
        <w:trPr>
          <w:cantSplit/>
          <w:trHeight w:val="405"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noWrap/>
            <w:vAlign w:val="center"/>
          </w:tcPr>
          <w:p>
            <w:pPr>
              <w:pStyle w:val="14"/>
            </w:pPr>
            <w:r>
              <w:rPr>
                <w:rFonts w:hint="eastAsia"/>
              </w:rPr>
              <w:t>人员稳岗率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90%或以上</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100.00%</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年度实现值=100%(2022年在编在职人数没减少)</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已完成</w:t>
            </w:r>
          </w:p>
        </w:tc>
      </w:tr>
      <w:tr>
        <w:tblPrEx>
          <w:tblLayout w:type="fixed"/>
          <w:tblCellMar>
            <w:top w:w="0" w:type="dxa"/>
            <w:left w:w="108" w:type="dxa"/>
            <w:bottom w:w="0" w:type="dxa"/>
            <w:right w:w="108" w:type="dxa"/>
          </w:tblCellMar>
        </w:tblPrEx>
        <w:trPr>
          <w:cantSplit/>
          <w:trHeight w:val="810"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noWrap/>
            <w:vAlign w:val="center"/>
          </w:tcPr>
          <w:p>
            <w:pPr>
              <w:pStyle w:val="14"/>
            </w:pPr>
            <w:r>
              <w:rPr>
                <w:rFonts w:hint="eastAsia"/>
              </w:rPr>
              <w:t>社会化退休人员探访慰问率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100.00%</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100.00%</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年度实现值=100%（实际慰问社会化退休人员5432人/预计慰问社会化退休人员5432人*100%）</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已完成</w:t>
            </w:r>
          </w:p>
        </w:tc>
      </w:tr>
      <w:tr>
        <w:tblPrEx>
          <w:tblLayout w:type="fixed"/>
          <w:tblCellMar>
            <w:top w:w="0" w:type="dxa"/>
            <w:left w:w="108" w:type="dxa"/>
            <w:bottom w:w="0" w:type="dxa"/>
            <w:right w:w="108" w:type="dxa"/>
          </w:tblCellMar>
        </w:tblPrEx>
        <w:trPr>
          <w:cantSplit/>
          <w:trHeight w:val="1215"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noWrap/>
            <w:vAlign w:val="center"/>
          </w:tcPr>
          <w:p>
            <w:pPr>
              <w:pStyle w:val="14"/>
            </w:pPr>
            <w:r>
              <w:rPr>
                <w:rFonts w:hint="eastAsia"/>
              </w:rPr>
              <w:t>特殊人员实行信息化管理率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100.00%</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100.00%</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年度实现值=100%（退管系统实际接收特殊人员退休人员人数1人/退管系统应接收特殊人员退休人员人数1人*100%）</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已完成</w:t>
            </w:r>
          </w:p>
        </w:tc>
      </w:tr>
      <w:tr>
        <w:tblPrEx>
          <w:tblLayout w:type="fixed"/>
          <w:tblCellMar>
            <w:top w:w="0" w:type="dxa"/>
            <w:left w:w="108" w:type="dxa"/>
            <w:bottom w:w="0" w:type="dxa"/>
            <w:right w:w="108" w:type="dxa"/>
          </w:tblCellMar>
        </w:tblPrEx>
        <w:trPr>
          <w:cantSplit/>
          <w:trHeight w:val="405"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noWrap/>
            <w:vAlign w:val="center"/>
          </w:tcPr>
          <w:p>
            <w:pPr>
              <w:pStyle w:val="14"/>
            </w:pPr>
            <w:r>
              <w:rPr>
                <w:rFonts w:hint="eastAsia"/>
              </w:rPr>
              <w:t>投诉处理率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100.00%</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全年未收到投诉</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已完成</w:t>
            </w:r>
          </w:p>
        </w:tc>
      </w:tr>
      <w:tr>
        <w:tblPrEx>
          <w:tblLayout w:type="fixed"/>
          <w:tblCellMar>
            <w:top w:w="0" w:type="dxa"/>
            <w:left w:w="108" w:type="dxa"/>
            <w:bottom w:w="0" w:type="dxa"/>
            <w:right w:w="108" w:type="dxa"/>
          </w:tblCellMar>
        </w:tblPrEx>
        <w:trPr>
          <w:cantSplit/>
          <w:trHeight w:val="810"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noWrap/>
            <w:vAlign w:val="center"/>
          </w:tcPr>
          <w:p>
            <w:pPr>
              <w:pStyle w:val="14"/>
            </w:pPr>
            <w:r>
              <w:rPr>
                <w:rFonts w:hint="eastAsia"/>
              </w:rPr>
              <w:t>参保人员政策知晓率</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≧80.00%</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预算单位未提供相关佐证材料。</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佐证材料不充分</w:t>
            </w:r>
          </w:p>
        </w:tc>
      </w:tr>
      <w:tr>
        <w:tblPrEx>
          <w:tblLayout w:type="fixed"/>
          <w:tblCellMar>
            <w:top w:w="0" w:type="dxa"/>
            <w:left w:w="108" w:type="dxa"/>
            <w:bottom w:w="0" w:type="dxa"/>
            <w:right w:w="108" w:type="dxa"/>
          </w:tblCellMar>
        </w:tblPrEx>
        <w:trPr>
          <w:cantSplit/>
          <w:trHeight w:val="405" w:hRule="atLeast"/>
        </w:trPr>
        <w:tc>
          <w:tcPr>
            <w:tcW w:w="1595" w:type="dxa"/>
            <w:vMerge w:val="continue"/>
            <w:tcBorders>
              <w:top w:val="nil"/>
              <w:left w:val="single" w:color="auto" w:sz="4" w:space="0"/>
              <w:bottom w:val="single" w:color="auto" w:sz="4" w:space="0"/>
              <w:right w:val="single" w:color="auto" w:sz="4" w:space="0"/>
            </w:tcBorders>
            <w:shd w:val="clear" w:color="auto" w:fill="auto"/>
            <w:vAlign w:val="center"/>
          </w:tcPr>
          <w:p>
            <w:pPr>
              <w:pStyle w:val="14"/>
            </w:pPr>
          </w:p>
        </w:tc>
        <w:tc>
          <w:tcPr>
            <w:tcW w:w="1450" w:type="dxa"/>
            <w:tcBorders>
              <w:top w:val="nil"/>
              <w:left w:val="nil"/>
              <w:bottom w:val="single" w:color="auto" w:sz="4" w:space="0"/>
              <w:right w:val="single" w:color="auto" w:sz="4" w:space="0"/>
            </w:tcBorders>
            <w:shd w:val="clear" w:color="auto" w:fill="auto"/>
            <w:noWrap/>
            <w:vAlign w:val="center"/>
          </w:tcPr>
          <w:p>
            <w:pPr>
              <w:pStyle w:val="14"/>
            </w:pPr>
            <w:r>
              <w:rPr>
                <w:rFonts w:hint="eastAsia"/>
              </w:rPr>
              <w:t>综合满意度</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≧90.00%</w:t>
            </w:r>
          </w:p>
        </w:tc>
        <w:tc>
          <w:tcPr>
            <w:tcW w:w="1163" w:type="dxa"/>
            <w:tcBorders>
              <w:top w:val="nil"/>
              <w:left w:val="nil"/>
              <w:bottom w:val="single" w:color="auto" w:sz="4" w:space="0"/>
              <w:right w:val="single" w:color="auto" w:sz="4" w:space="0"/>
            </w:tcBorders>
            <w:shd w:val="clear" w:color="auto" w:fill="auto"/>
            <w:noWrap/>
            <w:vAlign w:val="center"/>
          </w:tcPr>
          <w:p>
            <w:pPr>
              <w:pStyle w:val="14"/>
            </w:pPr>
            <w:r>
              <w:rPr>
                <w:rFonts w:hint="eastAsia"/>
              </w:rPr>
              <w:t>/</w:t>
            </w:r>
          </w:p>
        </w:tc>
        <w:tc>
          <w:tcPr>
            <w:tcW w:w="2907" w:type="dxa"/>
            <w:tcBorders>
              <w:top w:val="nil"/>
              <w:left w:val="nil"/>
              <w:bottom w:val="single" w:color="auto" w:sz="4" w:space="0"/>
              <w:right w:val="single" w:color="auto" w:sz="4" w:space="0"/>
            </w:tcBorders>
            <w:shd w:val="clear" w:color="auto" w:fill="auto"/>
            <w:vAlign w:val="center"/>
          </w:tcPr>
          <w:p>
            <w:pPr>
              <w:pStyle w:val="14"/>
            </w:pPr>
            <w:r>
              <w:rPr>
                <w:rFonts w:hint="eastAsia"/>
              </w:rPr>
              <w:t>满意度为97.00%。</w:t>
            </w:r>
          </w:p>
        </w:tc>
        <w:tc>
          <w:tcPr>
            <w:tcW w:w="1008" w:type="dxa"/>
            <w:tcBorders>
              <w:top w:val="nil"/>
              <w:left w:val="nil"/>
              <w:bottom w:val="single" w:color="auto" w:sz="4" w:space="0"/>
              <w:right w:val="single" w:color="auto" w:sz="4" w:space="0"/>
            </w:tcBorders>
            <w:shd w:val="clear" w:color="auto" w:fill="auto"/>
            <w:vAlign w:val="center"/>
          </w:tcPr>
          <w:p>
            <w:pPr>
              <w:pStyle w:val="14"/>
            </w:pPr>
            <w:r>
              <w:rPr>
                <w:rFonts w:hint="eastAsia"/>
              </w:rPr>
              <w:t>已完成</w:t>
            </w:r>
          </w:p>
        </w:tc>
      </w:tr>
    </w:tbl>
    <w:p>
      <w:pPr>
        <w:pStyle w:val="10"/>
        <w:ind w:firstLine="643"/>
      </w:pPr>
      <w:r>
        <w:rPr>
          <w:rFonts w:hint="eastAsia"/>
        </w:rPr>
        <w:t>三、部门主要绩效</w:t>
      </w:r>
    </w:p>
    <w:p>
      <w:pPr>
        <w:pStyle w:val="12"/>
        <w:ind w:firstLine="643"/>
      </w:pPr>
      <w:r>
        <w:rPr>
          <w:rFonts w:hint="eastAsia"/>
        </w:rPr>
        <w:t>（一）优化就业创业服务水平，拓宽企业招聘渠道</w:t>
      </w:r>
    </w:p>
    <w:p>
      <w:pPr>
        <w:pStyle w:val="11"/>
        <w:ind w:firstLine="643"/>
      </w:pPr>
      <w:r>
        <w:rPr>
          <w:rFonts w:hint="eastAsia"/>
          <w:b/>
          <w:bCs/>
        </w:rPr>
        <w:t>一是</w:t>
      </w:r>
      <w:r>
        <w:rPr>
          <w:rFonts w:hint="eastAsia"/>
        </w:rPr>
        <w:t>主动服务，解决企业用工需求。根据《区领导联系企业直通车工作发现问题情况清单》中的32家重点企业反映的经营存在问题及招工诉求，区人社局主动联系企业，截至2</w:t>
      </w:r>
      <w:r>
        <w:t>022</w:t>
      </w:r>
      <w:r>
        <w:rPr>
          <w:rFonts w:hint="eastAsia"/>
        </w:rPr>
        <w:t>年1</w:t>
      </w:r>
      <w:r>
        <w:t>2</w:t>
      </w:r>
      <w:r>
        <w:rPr>
          <w:rFonts w:hint="eastAsia"/>
        </w:rPr>
        <w:t>月底已有3938名新招员工上岗。</w:t>
      </w:r>
      <w:r>
        <w:t>对广州亨龙智能装备股份有限公司等48家重点企业进行实地调研，实行“一企一策”，精准帮扶、切实解决企业用工需求</w:t>
      </w:r>
      <w:r>
        <w:rPr>
          <w:rFonts w:hint="eastAsia"/>
        </w:rPr>
        <w:t>。</w:t>
      </w:r>
    </w:p>
    <w:p>
      <w:pPr>
        <w:pStyle w:val="11"/>
        <w:ind w:firstLine="643"/>
      </w:pPr>
      <w:r>
        <w:rPr>
          <w:rFonts w:hint="eastAsia"/>
          <w:b/>
          <w:bCs/>
        </w:rPr>
        <w:t>二是</w:t>
      </w:r>
      <w:r>
        <w:rPr>
          <w:rFonts w:hint="eastAsia"/>
        </w:rPr>
        <w:t>拓宽招聘渠道，促进人力资源市场供需对接。</w:t>
      </w:r>
      <w:r>
        <w:t>通过“从化人社”</w:t>
      </w:r>
      <w:r>
        <w:rPr>
          <w:rFonts w:hint="eastAsia"/>
        </w:rPr>
        <w:t>、</w:t>
      </w:r>
      <w:r>
        <w:t>发动镇（街）、村居平台转发招聘信息4.18万条</w:t>
      </w:r>
      <w:r>
        <w:rPr>
          <w:rFonts w:hint="eastAsia"/>
        </w:rPr>
        <w:t>，同时在“从化人社”、“从化人才网”等线上平台，举办“春风行动”和“从化百日千万”网络招聘会，组织75场网络招聘会，吸引2100家次企业参加，提供就业岗位20716个次，在线求职人数为81438人，达成意向5157人；</w:t>
      </w:r>
      <w:r>
        <w:t>组织区内政校企合作洽谈会，举办11场高校毕业生专场招聘会，提供11098个就业岗位，达成就业意向2113人</w:t>
      </w:r>
      <w:r>
        <w:rPr>
          <w:rFonts w:hint="eastAsia"/>
        </w:rPr>
        <w:t>；与各镇街、园区联合举办“校园招聘”、“零距离招聘会”“企业专场招聘会”等34场招聘会活动，参加招聘企业794家，提供空缺岗位22355个，进场求职8542人，初步达成招工意向2268人。</w:t>
      </w:r>
    </w:p>
    <w:p>
      <w:pPr>
        <w:pStyle w:val="11"/>
        <w:ind w:firstLine="643"/>
        <w:rPr>
          <w:sz w:val="21"/>
          <w:szCs w:val="21"/>
        </w:rPr>
      </w:pPr>
      <w:r>
        <w:rPr>
          <w:rFonts w:hint="eastAsia"/>
          <w:b/>
          <w:bCs/>
        </w:rPr>
        <w:t>三是</w:t>
      </w:r>
      <w:r>
        <w:rPr>
          <w:rFonts w:hint="eastAsia"/>
        </w:rPr>
        <w:t>开展职业技能培训，落实好“粤菜师傅、广东技工、南粤家政”三项工程技能补贴发放。2</w:t>
      </w:r>
      <w:r>
        <w:t>022</w:t>
      </w:r>
      <w:r>
        <w:rPr>
          <w:rFonts w:hint="eastAsia"/>
        </w:rPr>
        <w:t>年举办“活力工匠·助荔从化”电商直播营销劳动竞赛活动等系列主题农村电商培训，惠及群众</w:t>
      </w:r>
      <w:r>
        <w:t>1099人次，其中，联合广州市工贸技师学院、各街（镇）举办农村电商培训乡村振兴班9场339人次，发动组织社会培训机构760人次。</w:t>
      </w:r>
      <w:r>
        <w:rPr>
          <w:rFonts w:hint="eastAsia"/>
        </w:rPr>
        <w:t>截至2</w:t>
      </w:r>
      <w:r>
        <w:t>022</w:t>
      </w:r>
      <w:r>
        <w:rPr>
          <w:rFonts w:hint="eastAsia"/>
        </w:rPr>
        <w:t>年12月底，从化区共发放职业技能培训资金补贴2</w:t>
      </w:r>
      <w:r>
        <w:t>.98</w:t>
      </w:r>
      <w:r>
        <w:rPr>
          <w:rFonts w:hint="eastAsia"/>
        </w:rPr>
        <w:t>万人次（个人技能补贴17232人，创业培训补贴149人，学徒制培训补贴895人，百万工人补贴6432人，职业技能鉴定评价补贴3039人，专项能力考核补贴1619人，以工代训补贴30人，生活费补贴457人），共发放职业技能培训资金补贴3172.</w:t>
      </w:r>
      <w:r>
        <w:t>06</w:t>
      </w:r>
      <w:r>
        <w:rPr>
          <w:rFonts w:hint="eastAsia"/>
        </w:rPr>
        <w:t>万元。其中，涉及“粤菜师傅”补贴性培训共7778人，发放补贴金额1075.88万元，“南粤家政”培训共5303人，补贴性培训共4122人，发放补贴金额438.97万元。</w:t>
      </w:r>
    </w:p>
    <w:p>
      <w:pPr>
        <w:pStyle w:val="11"/>
        <w:ind w:firstLine="640"/>
      </w:pPr>
      <w:r>
        <w:rPr>
          <w:rFonts w:hint="eastAsia"/>
        </w:rPr>
        <w:t>2</w:t>
      </w:r>
      <w:r>
        <w:t>022</w:t>
      </w:r>
      <w:r>
        <w:rPr>
          <w:rFonts w:hint="eastAsia"/>
        </w:rPr>
        <w:t>年从化</w:t>
      </w:r>
      <w:r>
        <w:t>区城镇新增就业人数9442人</w:t>
      </w:r>
      <w:r>
        <w:rPr>
          <w:rFonts w:hint="eastAsia"/>
        </w:rPr>
        <w:t>，</w:t>
      </w:r>
      <w:r>
        <w:t>城镇登记失业人员就业8587人，就业困难人员实现就业3848人。</w:t>
      </w:r>
      <w:r>
        <w:rPr>
          <w:rFonts w:hint="eastAsia"/>
        </w:rPr>
        <w:t>从化</w:t>
      </w:r>
      <w:r>
        <w:t>区户籍高校毕业生报到毕业生总人数为1440人，已就业人数共932人，其中困难高校毕业生就业</w:t>
      </w:r>
      <w:r>
        <w:rPr>
          <w:rFonts w:hint="eastAsia"/>
        </w:rPr>
        <w:t>率100%</w:t>
      </w:r>
      <w:r>
        <w:t>。</w:t>
      </w:r>
    </w:p>
    <w:p>
      <w:pPr>
        <w:pStyle w:val="12"/>
        <w:ind w:firstLine="643"/>
      </w:pPr>
      <w:r>
        <w:rPr>
          <w:rFonts w:hint="eastAsia"/>
        </w:rPr>
        <w:t>（二）完善社会保障体系，提升社会养老保障覆盖面</w:t>
      </w:r>
    </w:p>
    <w:p>
      <w:pPr>
        <w:pStyle w:val="11"/>
        <w:ind w:firstLine="643"/>
      </w:pPr>
      <w:r>
        <w:rPr>
          <w:rFonts w:hint="eastAsia"/>
          <w:b/>
        </w:rPr>
        <w:t>一是</w:t>
      </w:r>
      <w:r>
        <w:rPr>
          <w:bCs/>
        </w:rPr>
        <w:t>做好待遇类业务的经办工作，</w:t>
      </w:r>
      <w:r>
        <w:rPr>
          <w:rFonts w:hint="eastAsia"/>
          <w:bCs/>
        </w:rPr>
        <w:t>确保</w:t>
      </w:r>
      <w:r>
        <w:rPr>
          <w:bCs/>
        </w:rPr>
        <w:t>职工社会保险待遇按时足额发放。</w:t>
      </w:r>
      <w:r>
        <w:rPr>
          <w:rFonts w:hint="eastAsia"/>
          <w:bCs/>
        </w:rPr>
        <w:t>2</w:t>
      </w:r>
      <w:r>
        <w:rPr>
          <w:bCs/>
        </w:rPr>
        <w:t>022</w:t>
      </w:r>
      <w:r>
        <w:rPr>
          <w:rFonts w:hint="eastAsia"/>
          <w:bCs/>
        </w:rPr>
        <w:t>年</w:t>
      </w:r>
      <w:r>
        <w:rPr>
          <w:rFonts w:hint="eastAsia"/>
        </w:rPr>
        <w:t>截至</w:t>
      </w:r>
      <w:r>
        <w:t>2022年12月，发放企业职工月养老保险待遇29071人，人均退休金约2893.24元，发放机关事业单位养老保险退休待遇5697人；发放失业保险待遇29491人次，发放约7170.26万元；发放工伤保险待遇6115人次，发放约4946.61万元。</w:t>
      </w:r>
      <w:r>
        <w:rPr>
          <w:rFonts w:hint="eastAsia"/>
        </w:rPr>
        <w:t>截至</w:t>
      </w:r>
      <w:r>
        <w:t>2022年12月，受理职工社保业务累计50546笔；中心现场接待群众咨询约3.6万人次，接听咨询电话约1.5万人次，处理12345热线工单2593件，按时办结率为100%</w:t>
      </w:r>
      <w:r>
        <w:rPr>
          <w:rFonts w:hint="eastAsia"/>
        </w:rPr>
        <w:t>。</w:t>
      </w:r>
    </w:p>
    <w:p>
      <w:pPr>
        <w:pStyle w:val="11"/>
        <w:ind w:firstLine="643"/>
      </w:pPr>
      <w:r>
        <w:rPr>
          <w:rFonts w:hint="eastAsia"/>
          <w:b/>
        </w:rPr>
        <w:t>二是</w:t>
      </w:r>
      <w:r>
        <w:rPr>
          <w:rFonts w:hint="eastAsia"/>
          <w:bCs/>
        </w:rPr>
        <w:t>不断</w:t>
      </w:r>
      <w:r>
        <w:rPr>
          <w:bCs/>
        </w:rPr>
        <w:t>扩大</w:t>
      </w:r>
      <w:r>
        <w:rPr>
          <w:rFonts w:hint="eastAsia"/>
          <w:bCs/>
        </w:rPr>
        <w:t>社会保障</w:t>
      </w:r>
      <w:r>
        <w:rPr>
          <w:bCs/>
        </w:rPr>
        <w:t>覆盖面。</w:t>
      </w:r>
      <w:r>
        <w:t>全区城乡居民基本养老保险参保任务数186100人，参保人数189222人，参保率101.7%；缴费任务数69100人，缴费人数70392人，缴费率101.9%。</w:t>
      </w:r>
      <w:r>
        <w:rPr>
          <w:rFonts w:hint="eastAsia"/>
        </w:rPr>
        <w:t>截至</w:t>
      </w:r>
      <w:r>
        <w:t>2022年12月，累计发放失业补助金18430人次</w:t>
      </w:r>
      <w:r>
        <w:rPr>
          <w:rFonts w:hint="eastAsia"/>
        </w:rPr>
        <w:t>，</w:t>
      </w:r>
      <w:r>
        <w:t>发放失业保险金价格临时补贴10835人次，发放失业补助金价格临时补贴7027人次</w:t>
      </w:r>
      <w:r>
        <w:rPr>
          <w:rFonts w:hint="eastAsia"/>
        </w:rPr>
        <w:t>，不断</w:t>
      </w:r>
      <w:r>
        <w:t>扩大失业保险保障范围、为困难群众兜底保障</w:t>
      </w:r>
      <w:r>
        <w:rPr>
          <w:rFonts w:hint="eastAsia"/>
        </w:rPr>
        <w:t>。</w:t>
      </w:r>
    </w:p>
    <w:p>
      <w:pPr>
        <w:pStyle w:val="12"/>
        <w:numPr>
          <w:ilvl w:val="0"/>
          <w:numId w:val="2"/>
        </w:numPr>
        <w:ind w:firstLine="643"/>
      </w:pPr>
      <w:r>
        <w:rPr>
          <w:rFonts w:hint="eastAsia"/>
        </w:rPr>
        <w:t>提高劳资纠纷调解成功率，保障劳动者合法权益</w:t>
      </w:r>
    </w:p>
    <w:p>
      <w:pPr>
        <w:pStyle w:val="11"/>
        <w:ind w:firstLine="643"/>
      </w:pPr>
      <w:r>
        <w:rPr>
          <w:rFonts w:hint="eastAsia"/>
          <w:b/>
          <w:bCs/>
        </w:rPr>
        <w:t>一是</w:t>
      </w:r>
      <w:r>
        <w:rPr>
          <w:rFonts w:hint="eastAsia"/>
        </w:rPr>
        <w:t>发挥“绿色通道”调解优势。以“互联网+仲裁”推行粤省事调解仲裁系统申请，</w:t>
      </w:r>
      <w:r>
        <w:t>在线开庭、异步开庭、调解模式处理案件占</w:t>
      </w:r>
      <w:r>
        <w:rPr>
          <w:rFonts w:hint="eastAsia"/>
        </w:rPr>
        <w:t>比</w:t>
      </w:r>
      <w:r>
        <w:t>26.59%。</w:t>
      </w:r>
      <w:r>
        <w:rPr>
          <w:rFonts w:hint="eastAsia"/>
        </w:rPr>
        <w:t>对拖欠农民工工资、社会影响大的集体争议的案件，开通“绿色通道”，快速立案、快速审理、快速调解、快速结案。2022年以来，从化区处理劳动人事争议调解仲裁案件1650件，调解成功1193件，案件终结率75.27%。</w:t>
      </w:r>
    </w:p>
    <w:p>
      <w:pPr>
        <w:pStyle w:val="11"/>
        <w:ind w:firstLine="643"/>
      </w:pPr>
      <w:r>
        <w:rPr>
          <w:rFonts w:hint="eastAsia"/>
          <w:b/>
          <w:bCs/>
        </w:rPr>
        <w:t>二是</w:t>
      </w:r>
      <w:r>
        <w:rPr>
          <w:rFonts w:hint="eastAsia"/>
        </w:rPr>
        <w:t>加强日常巡查，解决劳资纠纷。加强日常巡查，日常巡查各类用人单位共576家，涉及劳动者56116人。接收劳资纠纷3498宗，涉及人数9430人，涉及金额约1.16亿元，</w:t>
      </w:r>
      <w:r>
        <w:t>发出责令限期整改通知书37份，作出行政处理1宗，作出行政处罚3宗，处罚金额共4.5万元。立案49宗，结案75宗（含往年立案今年结案的案子）。接收欠薪平台线索1156条</w:t>
      </w:r>
      <w:r>
        <w:rPr>
          <w:rFonts w:hint="eastAsia"/>
        </w:rPr>
        <w:t>，2</w:t>
      </w:r>
      <w:r>
        <w:t>022</w:t>
      </w:r>
      <w:r>
        <w:rPr>
          <w:rFonts w:hint="eastAsia"/>
        </w:rPr>
        <w:t>年已全部查证。</w:t>
      </w:r>
    </w:p>
    <w:p>
      <w:pPr>
        <w:pStyle w:val="11"/>
        <w:ind w:firstLine="643"/>
      </w:pPr>
      <w:r>
        <w:rPr>
          <w:rFonts w:hint="eastAsia"/>
          <w:b/>
          <w:bCs/>
        </w:rPr>
        <w:t>三是</w:t>
      </w:r>
      <w:r>
        <w:rPr>
          <w:rFonts w:hint="eastAsia"/>
        </w:rPr>
        <w:t>做好工伤认定，保障</w:t>
      </w:r>
      <w:r>
        <w:t>用人单位</w:t>
      </w:r>
      <w:r>
        <w:rPr>
          <w:rFonts w:hint="eastAsia"/>
        </w:rPr>
        <w:t>和劳动者合法权益</w:t>
      </w:r>
      <w:r>
        <w:t>。</w:t>
      </w:r>
      <w:r>
        <w:rPr>
          <w:rFonts w:hint="eastAsia"/>
        </w:rPr>
        <w:t>做好</w:t>
      </w:r>
      <w:r>
        <w:t>因工作遭受事故伤害或者患职业病的职工获得医疗救治和经济补偿，促进工伤预防和职业康复，处理工伤认定案件553宗、工伤劳动能力鉴定案件370宗，进行12场鉴定</w:t>
      </w:r>
      <w:r>
        <w:rPr>
          <w:rFonts w:hint="eastAsia"/>
        </w:rPr>
        <w:t>。</w:t>
      </w:r>
    </w:p>
    <w:p>
      <w:pPr>
        <w:pStyle w:val="10"/>
        <w:ind w:firstLine="643"/>
      </w:pPr>
      <w:r>
        <w:rPr>
          <w:rFonts w:hint="eastAsia"/>
        </w:rPr>
        <w:t>四、存在问题</w:t>
      </w:r>
    </w:p>
    <w:p>
      <w:pPr>
        <w:pStyle w:val="12"/>
        <w:ind w:firstLine="643"/>
      </w:pPr>
      <w:bookmarkStart w:id="0" w:name="_Toc146035609"/>
      <w:r>
        <w:rPr>
          <w:rFonts w:hint="eastAsia"/>
        </w:rPr>
        <w:t>（一）引才留才力度不足，跟踪动态管理力度不足</w:t>
      </w:r>
      <w:bookmarkEnd w:id="0"/>
    </w:p>
    <w:p>
      <w:pPr>
        <w:pStyle w:val="11"/>
        <w:ind w:firstLine="643"/>
      </w:pPr>
      <w:r>
        <w:rPr>
          <w:rFonts w:hint="eastAsia"/>
          <w:b/>
          <w:bCs/>
        </w:rPr>
        <w:t>一是</w:t>
      </w:r>
      <w:r>
        <w:rPr>
          <w:rFonts w:hint="eastAsia"/>
        </w:rPr>
        <w:t>引才、留才力度不足，政策没有针对性。如吸引本地高校毕业生留在从化就业创业的措施办法不多，根据巡查报告发现本地高校留从就业的人数占毕业生总人数不到</w:t>
      </w:r>
      <w:r>
        <w:t>3%，吸引技能人才返乡就业创业等人数偏少</w:t>
      </w:r>
      <w:r>
        <w:rPr>
          <w:rFonts w:hint="eastAsia"/>
        </w:rPr>
        <w:t>，2</w:t>
      </w:r>
      <w:r>
        <w:t>022</w:t>
      </w:r>
      <w:r>
        <w:rPr>
          <w:rFonts w:hint="eastAsia"/>
        </w:rPr>
        <w:t>年从化区户籍高校毕业生报到毕业生总人数为</w:t>
      </w:r>
      <w:r>
        <w:t>1440人，已就业人数共932人</w:t>
      </w:r>
      <w:r>
        <w:rPr>
          <w:rFonts w:hint="eastAsia"/>
        </w:rPr>
        <w:t>，就业率仅6</w:t>
      </w:r>
      <w:r>
        <w:t>4.72%</w:t>
      </w:r>
      <w:r>
        <w:rPr>
          <w:rFonts w:hint="eastAsia"/>
        </w:rPr>
        <w:t>。且目前促进就业创业的政策均为广州市出台，未根据从化区本土特色出台有针对性的政策。</w:t>
      </w:r>
    </w:p>
    <w:p>
      <w:pPr>
        <w:pStyle w:val="11"/>
        <w:ind w:firstLine="643"/>
      </w:pPr>
      <w:r>
        <w:rPr>
          <w:rFonts w:hint="eastAsia"/>
          <w:b/>
          <w:bCs/>
        </w:rPr>
        <w:t>二是</w:t>
      </w:r>
      <w:r>
        <w:rPr>
          <w:rFonts w:hint="eastAsia"/>
        </w:rPr>
        <w:t>求职市场供需匹配程度待提升。2</w:t>
      </w:r>
      <w:r>
        <w:t>022</w:t>
      </w:r>
      <w:r>
        <w:rPr>
          <w:rFonts w:hint="eastAsia"/>
        </w:rPr>
        <w:t>年从化区举办34场招聘会活动，提供空缺岗位22355个，进场求职8542人，初步达成招工意向2268人，初步达成招工意向率仅2</w:t>
      </w:r>
      <w:r>
        <w:t>6.55%</w:t>
      </w:r>
      <w:r>
        <w:rPr>
          <w:rFonts w:hint="eastAsia"/>
        </w:rPr>
        <w:t>，供需对接匹配度有待进一步提升。</w:t>
      </w:r>
    </w:p>
    <w:p>
      <w:pPr>
        <w:pStyle w:val="11"/>
        <w:ind w:firstLine="643"/>
      </w:pPr>
      <w:r>
        <w:rPr>
          <w:rFonts w:hint="eastAsia"/>
          <w:b/>
          <w:bCs/>
        </w:rPr>
        <w:t>三是</w:t>
      </w:r>
      <w:r>
        <w:rPr>
          <w:rFonts w:hint="eastAsia"/>
        </w:rPr>
        <w:t>跟踪动态管理力度不足。根据现场评价了解，区人社局更关注本年应届毕业生的就业情况，对往年没有成功就业的毕业生跟踪力度不足，未跟进这些没有就业的学生目前情况，对于他们的就业状态掌握不足。</w:t>
      </w:r>
    </w:p>
    <w:p>
      <w:pPr>
        <w:pStyle w:val="11"/>
        <w:ind w:firstLine="643"/>
      </w:pPr>
      <w:r>
        <w:rPr>
          <w:rFonts w:hint="eastAsia"/>
          <w:b/>
          <w:bCs/>
        </w:rPr>
        <w:t>四是</w:t>
      </w:r>
      <w:r>
        <w:rPr>
          <w:rFonts w:hint="eastAsia"/>
        </w:rPr>
        <w:t>惠民政策宣传形式较单一，政策触达不足，影响部分企业、群众对助企纾困项目参与度、政策知晓度和申请补贴的积极性。目前主要的宣传手段是通过从化人社公众号进行政策发布，企业群众获取政策信息较为被动，如现场与从化区保安公司座谈了解到，公司不清楚具体可申报的所有政策，区人社局缺乏政策主动宣传和告知，政策触达程度不足。</w:t>
      </w:r>
    </w:p>
    <w:p>
      <w:pPr>
        <w:pStyle w:val="12"/>
        <w:ind w:firstLine="643"/>
        <w:rPr>
          <w:snapToGrid w:val="0"/>
        </w:rPr>
      </w:pPr>
      <w:bookmarkStart w:id="1" w:name="_Toc146035610"/>
      <w:r>
        <w:rPr>
          <w:rFonts w:hint="eastAsia"/>
          <w:snapToGrid w:val="0"/>
        </w:rPr>
        <w:t>（二）固定资产管理力度不足，管理规范性有待提升</w:t>
      </w:r>
      <w:bookmarkEnd w:id="1"/>
    </w:p>
    <w:p>
      <w:pPr>
        <w:pStyle w:val="11"/>
        <w:ind w:firstLine="643"/>
        <w:rPr>
          <w:sz w:val="24"/>
          <w:szCs w:val="24"/>
        </w:rPr>
      </w:pPr>
      <w:r>
        <w:rPr>
          <w:rFonts w:hint="eastAsia"/>
          <w:b/>
          <w:bCs/>
        </w:rPr>
        <w:t>一是</w:t>
      </w:r>
      <w:r>
        <w:rPr>
          <w:rFonts w:hint="eastAsia"/>
        </w:rPr>
        <w:t>发现存在固定资产不入账，未按要求贴标签的问题。现场抽查局办公室、就业科、服务管理中心、工资科、三楼会议室等，发现办公桌21张、大会议室办公椅41张、大会议桌1张、长条会议桌6张、复印机1台、电冰箱1台、空调1个、组合沙发1套、铁皮柜书架一批均未贴固定资产标签。</w:t>
      </w:r>
    </w:p>
    <w:p>
      <w:pPr>
        <w:pStyle w:val="11"/>
        <w:ind w:firstLine="643"/>
      </w:pPr>
      <w:r>
        <w:rPr>
          <w:rFonts w:hint="eastAsia"/>
          <w:b/>
          <w:bCs/>
        </w:rPr>
        <w:t>二是</w:t>
      </w:r>
      <w:r>
        <w:t>资产底数不清</w:t>
      </w:r>
      <w:r>
        <w:rPr>
          <w:rFonts w:hint="eastAsia"/>
        </w:rPr>
        <w:t>，固定资产账实不符</w:t>
      </w:r>
      <w:r>
        <w:t>。</w:t>
      </w:r>
      <w:r>
        <w:rPr>
          <w:rFonts w:hint="eastAsia"/>
        </w:rPr>
        <w:t>根据现场评价了解，仍存在</w:t>
      </w:r>
      <w:r>
        <w:t>部分固定资产入账不及时、存有大量账外资产等问题</w:t>
      </w:r>
      <w:r>
        <w:rPr>
          <w:rFonts w:hint="eastAsia"/>
        </w:rPr>
        <w:t>，且巡查所发现问题未及时整改。</w:t>
      </w:r>
    </w:p>
    <w:p>
      <w:pPr>
        <w:pStyle w:val="12"/>
        <w:ind w:firstLine="643"/>
        <w:rPr>
          <w:snapToGrid w:val="0"/>
        </w:rPr>
      </w:pPr>
      <w:bookmarkStart w:id="2" w:name="_Toc146035611"/>
      <w:r>
        <w:rPr>
          <w:rFonts w:hint="eastAsia"/>
          <w:snapToGrid w:val="0"/>
        </w:rPr>
        <w:t>（三）资金管理不规范，社保基金管理存在漏洞</w:t>
      </w:r>
      <w:bookmarkEnd w:id="2"/>
    </w:p>
    <w:p>
      <w:pPr>
        <w:pStyle w:val="11"/>
        <w:ind w:firstLine="643"/>
      </w:pPr>
      <w:r>
        <w:rPr>
          <w:rFonts w:hint="eastAsia"/>
          <w:b/>
          <w:bCs/>
        </w:rPr>
        <w:t>一是</w:t>
      </w:r>
      <w:r>
        <w:rPr>
          <w:rFonts w:hint="eastAsia"/>
        </w:rPr>
        <w:t>资金支出审批不严谨。如根据</w:t>
      </w:r>
      <w:r>
        <w:t>2022.5.34.34#</w:t>
      </w:r>
      <w:r>
        <w:rPr>
          <w:rFonts w:hint="eastAsia"/>
        </w:rPr>
        <w:t>凭证，大额现金发放慰问金要素不齐全，缺少关键内容，如签领表无制表人、审核人等要素；</w:t>
      </w:r>
      <w:r>
        <w:t>购买书籍培训列支</w:t>
      </w:r>
      <w:r>
        <w:rPr>
          <w:rFonts w:hint="eastAsia"/>
        </w:rPr>
        <w:t>方面</w:t>
      </w:r>
      <w:r>
        <w:t>，会议纪要讲明购买党报党刊党史，党的二十大读书班等，书籍清单中有大量与培训费无关的书籍，如：</w:t>
      </w:r>
      <w:r>
        <w:rPr>
          <w:rFonts w:hint="eastAsia"/>
        </w:rPr>
        <w:t>《</w:t>
      </w:r>
      <w:r>
        <w:t>公主走进黑森林</w:t>
      </w:r>
      <w:r>
        <w:rPr>
          <w:rFonts w:hint="eastAsia"/>
        </w:rPr>
        <w:t>》《</w:t>
      </w:r>
      <w:r>
        <w:t>这样学英语我的孩子不抵触</w:t>
      </w:r>
      <w:r>
        <w:rPr>
          <w:rFonts w:hint="eastAsia"/>
        </w:rPr>
        <w:t>》</w:t>
      </w:r>
      <w:r>
        <w:t>等，</w:t>
      </w:r>
      <w:r>
        <w:rPr>
          <w:rFonts w:hint="eastAsia"/>
        </w:rPr>
        <w:t>资金支出规范性不足。</w:t>
      </w:r>
    </w:p>
    <w:p>
      <w:pPr>
        <w:pStyle w:val="11"/>
        <w:ind w:firstLine="643"/>
      </w:pPr>
      <w:r>
        <w:rPr>
          <w:rFonts w:hint="eastAsia"/>
          <w:b/>
          <w:bCs/>
        </w:rPr>
        <w:t>二是</w:t>
      </w:r>
      <w:r>
        <w:rPr>
          <w:rFonts w:hint="eastAsia"/>
        </w:rPr>
        <w:t>公用经费管理不规范。区人社</w:t>
      </w:r>
      <w:r>
        <w:t>局及所属单位全年</w:t>
      </w:r>
      <w:r>
        <w:rPr>
          <w:rFonts w:hint="eastAsia"/>
        </w:rPr>
        <w:t>误餐</w:t>
      </w:r>
      <w:r>
        <w:t>费3.469万元，每人每次40元标准，平均每月发生72人次加班，</w:t>
      </w:r>
      <w:r>
        <w:rPr>
          <w:rFonts w:hint="eastAsia"/>
        </w:rPr>
        <w:t>却</w:t>
      </w:r>
      <w:r>
        <w:t>无加班申请审批流程。</w:t>
      </w:r>
      <w:r>
        <w:rPr>
          <w:rFonts w:hint="eastAsia"/>
        </w:rPr>
        <w:t>部分误餐费无法确定是否加班误餐，如</w:t>
      </w:r>
      <w:r>
        <w:t>2022.3.31.40#</w:t>
      </w:r>
      <w:r>
        <w:rPr>
          <w:rFonts w:hint="eastAsia"/>
        </w:rPr>
        <w:t>凭证，</w:t>
      </w:r>
      <w:r>
        <w:t>误餐费发票</w:t>
      </w:r>
      <w:r>
        <w:rPr>
          <w:rFonts w:hint="eastAsia"/>
        </w:rPr>
        <w:t>为</w:t>
      </w:r>
      <w:r>
        <w:t>生日蛋糕</w:t>
      </w:r>
      <w:r>
        <w:rPr>
          <w:rFonts w:hint="eastAsia"/>
        </w:rPr>
        <w:t>，未见相关说明材料，资金管理不够规范。</w:t>
      </w:r>
    </w:p>
    <w:p>
      <w:pPr>
        <w:pStyle w:val="11"/>
        <w:ind w:firstLine="643"/>
      </w:pPr>
      <w:r>
        <w:rPr>
          <w:rFonts w:hint="eastAsia"/>
          <w:b/>
          <w:bCs/>
        </w:rPr>
        <w:t>三是</w:t>
      </w:r>
      <w:r>
        <w:rPr>
          <w:rFonts w:hint="eastAsia"/>
        </w:rPr>
        <w:t>部分项目资金支出进度不理想，影响工作开展。根据预算执行情况表发现，从化区“三支一扶”高校毕业生生活和社保补助指标金额4</w:t>
      </w:r>
      <w:r>
        <w:t>83.32</w:t>
      </w:r>
      <w:r>
        <w:rPr>
          <w:rFonts w:hint="eastAsia"/>
        </w:rPr>
        <w:t>万元，实际支出2</w:t>
      </w:r>
      <w:r>
        <w:t>22.29</w:t>
      </w:r>
      <w:r>
        <w:rPr>
          <w:rFonts w:hint="eastAsia"/>
        </w:rPr>
        <w:t>万元，支出率仅为</w:t>
      </w:r>
      <w:r>
        <w:t>46.00%</w:t>
      </w:r>
      <w:r>
        <w:rPr>
          <w:rFonts w:hint="eastAsia"/>
        </w:rPr>
        <w:t>；从化区劳动保障监察协管员工资指标金额2</w:t>
      </w:r>
      <w:r>
        <w:t>81.40</w:t>
      </w:r>
      <w:r>
        <w:rPr>
          <w:rFonts w:hint="eastAsia"/>
        </w:rPr>
        <w:t>万元，实际支出2</w:t>
      </w:r>
      <w:r>
        <w:t>43.10</w:t>
      </w:r>
      <w:r>
        <w:rPr>
          <w:rFonts w:hint="eastAsia"/>
        </w:rPr>
        <w:t>万元，支出率为8</w:t>
      </w:r>
      <w:r>
        <w:t>6.39%</w:t>
      </w:r>
      <w:r>
        <w:rPr>
          <w:rFonts w:hint="eastAsia"/>
        </w:rPr>
        <w:t>；提前下达</w:t>
      </w:r>
      <w:r>
        <w:t>2022年国有企业退休人员社会化管理补助资金（从化区）</w:t>
      </w:r>
      <w:r>
        <w:rPr>
          <w:rFonts w:hint="eastAsia"/>
        </w:rPr>
        <w:t>指标金额</w:t>
      </w:r>
      <w:r>
        <w:t>10</w:t>
      </w:r>
      <w:r>
        <w:rPr>
          <w:rFonts w:hint="eastAsia"/>
        </w:rPr>
        <w:t>.</w:t>
      </w:r>
      <w:r>
        <w:t>20</w:t>
      </w:r>
      <w:r>
        <w:rPr>
          <w:rFonts w:hint="eastAsia"/>
        </w:rPr>
        <w:t>万元，实际支出</w:t>
      </w:r>
      <w:r>
        <w:t>6.03</w:t>
      </w:r>
      <w:r>
        <w:rPr>
          <w:rFonts w:hint="eastAsia"/>
        </w:rPr>
        <w:t>万元，支出率为</w:t>
      </w:r>
      <w:r>
        <w:t>59.14%</w:t>
      </w:r>
      <w:r>
        <w:rPr>
          <w:rFonts w:hint="eastAsia"/>
        </w:rPr>
        <w:t>。</w:t>
      </w:r>
    </w:p>
    <w:p>
      <w:pPr>
        <w:pStyle w:val="11"/>
        <w:ind w:firstLine="643"/>
      </w:pPr>
      <w:r>
        <w:rPr>
          <w:rFonts w:hint="eastAsia"/>
          <w:b/>
          <w:bCs/>
        </w:rPr>
        <w:t>四是</w:t>
      </w:r>
      <w:r>
        <w:rPr>
          <w:rFonts w:hint="eastAsia"/>
        </w:rPr>
        <w:t>社保基金管理存在漏洞，多发错发待遇未完全追回。多发社保待遇119人，须追回金额51</w:t>
      </w:r>
      <w:r>
        <w:t>.</w:t>
      </w:r>
      <w:r>
        <w:rPr>
          <w:rFonts w:hint="eastAsia"/>
        </w:rPr>
        <w:t>4</w:t>
      </w:r>
      <w:r>
        <w:t>4</w:t>
      </w:r>
      <w:r>
        <w:rPr>
          <w:rFonts w:hint="eastAsia"/>
        </w:rPr>
        <w:t>万元，截至2022年5月仍有7人3</w:t>
      </w:r>
      <w:r>
        <w:t>.</w:t>
      </w:r>
      <w:r>
        <w:rPr>
          <w:rFonts w:hint="eastAsia"/>
        </w:rPr>
        <w:t>27万元未追回。截至2022年12月仍有2人未追回，金额1</w:t>
      </w:r>
      <w:r>
        <w:t>.</w:t>
      </w:r>
      <w:r>
        <w:rPr>
          <w:rFonts w:hint="eastAsia"/>
        </w:rPr>
        <w:t>8</w:t>
      </w:r>
      <w:r>
        <w:t>4</w:t>
      </w:r>
      <w:r>
        <w:rPr>
          <w:rFonts w:hint="eastAsia"/>
        </w:rPr>
        <w:t>万元。</w:t>
      </w:r>
    </w:p>
    <w:p>
      <w:pPr>
        <w:pStyle w:val="10"/>
        <w:ind w:firstLine="643"/>
      </w:pPr>
      <w:r>
        <w:rPr>
          <w:rFonts w:hint="eastAsia"/>
        </w:rPr>
        <w:t>五、相关建议</w:t>
      </w:r>
    </w:p>
    <w:p>
      <w:pPr>
        <w:pStyle w:val="12"/>
        <w:ind w:firstLine="643"/>
        <w:rPr>
          <w:snapToGrid w:val="0"/>
        </w:rPr>
      </w:pPr>
      <w:bookmarkStart w:id="3" w:name="_Toc146035613"/>
      <w:r>
        <w:rPr>
          <w:rFonts w:hint="eastAsia"/>
          <w:snapToGrid w:val="0"/>
        </w:rPr>
        <w:t>（一）提高引才留才力度，加强跟踪动态管理力度</w:t>
      </w:r>
      <w:bookmarkEnd w:id="3"/>
    </w:p>
    <w:p>
      <w:pPr>
        <w:pStyle w:val="11"/>
        <w:ind w:firstLine="640"/>
        <w:rPr>
          <w:snapToGrid w:val="0"/>
        </w:rPr>
      </w:pPr>
      <w:r>
        <w:rPr>
          <w:rFonts w:hint="eastAsia"/>
          <w:snapToGrid w:val="0"/>
        </w:rPr>
        <w:t>建议加强对各项惠民政策的解读力度，出台细化的操作细则，根据本地区特色对政策实施内容进行优化完善，同时加强宣传力度，扩大群众对就业政策的知晓率，采取“多途径、全方位、深层次”的宣传方式，不断强化就业宣传效能。建议加强对求职者的跟踪动态管理，摸清底数，形成未就业人群跟踪服务名单，并提供针对性服务。对于参加招聘会却未达成用工意向的群体，需详细了解其需求及就业创业意愿等情况，做好服务跟踪台账。同时应积极建立促进创业带动就业、多渠道灵活就业机制，注重缓解结构性就业矛盾，防范化解规模性失业风险，实现更加充分更高质量就业。</w:t>
      </w:r>
    </w:p>
    <w:p>
      <w:pPr>
        <w:pStyle w:val="12"/>
        <w:ind w:firstLine="643"/>
        <w:rPr>
          <w:snapToGrid w:val="0"/>
        </w:rPr>
      </w:pPr>
      <w:bookmarkStart w:id="4" w:name="_Toc146035614"/>
      <w:r>
        <w:rPr>
          <w:rFonts w:hint="eastAsia"/>
          <w:snapToGrid w:val="0"/>
        </w:rPr>
        <w:t>（二）规范固定资产管理，提高资产利用效率</w:t>
      </w:r>
      <w:bookmarkEnd w:id="4"/>
    </w:p>
    <w:p>
      <w:pPr>
        <w:pStyle w:val="11"/>
        <w:ind w:firstLine="640"/>
        <w:rPr>
          <w:szCs w:val="32"/>
        </w:rPr>
      </w:pPr>
      <w:r>
        <w:rPr>
          <w:rFonts w:hint="eastAsia" w:ascii="仿宋_GB2312"/>
        </w:rPr>
        <w:t>建议项目单位增强固定资产管理意识，明确固定资产管理的职责和权限，完善内控制度，健全固定资产保管制度，做到入账时有验收，做好固定资产标签动态管理，确保会计账与实物账相符。建议项目单位加强对固定资产盘点和清理的重视程度，及时开展固定资产盘点工作，并做好对盘点工作进度的跟踪监督，规范闲置、报废固定资产的账目管理，确保固定资产符合实际需求，杜绝不必要的浪费行为，提高固定资产的使用效率。</w:t>
      </w:r>
    </w:p>
    <w:p>
      <w:pPr>
        <w:pStyle w:val="12"/>
        <w:ind w:firstLine="643"/>
        <w:rPr>
          <w:snapToGrid w:val="0"/>
        </w:rPr>
      </w:pPr>
      <w:bookmarkStart w:id="5" w:name="_Toc146035615"/>
      <w:r>
        <w:rPr>
          <w:rFonts w:hint="eastAsia"/>
          <w:snapToGrid w:val="0"/>
        </w:rPr>
        <w:t>（三）提高资金管理规范性，完善社保基金管理办法</w:t>
      </w:r>
      <w:bookmarkEnd w:id="5"/>
    </w:p>
    <w:p>
      <w:pPr>
        <w:pStyle w:val="11"/>
        <w:ind w:firstLine="640"/>
        <w:rPr>
          <w:rFonts w:hint="eastAsia"/>
        </w:rPr>
      </w:pPr>
      <w:r>
        <w:rPr>
          <w:rFonts w:hint="eastAsia"/>
        </w:rPr>
        <w:t>建议项目单位健全财务审批制度，完善内控措施，确保资金专款专用，明确经办人、证明人、审批人的职责，对不符合规定或票据不完善的原始凭证予以退回，严格控制资金支出。建议项目单位建立专项资金管理办法，明确绩效管理制度，重视巡查组、审计组等提出的整改意见，提高资金使用的规范性。建议项目单位完善社保基金管理办法，加强数据对碰，有效避免多发社保问题。</w:t>
      </w:r>
    </w:p>
    <w:sectPr>
      <w:headerReference r:id="rId5" w:type="first"/>
      <w:footerReference r:id="rId8" w:type="first"/>
      <w:headerReference r:id="rId3" w:type="default"/>
      <w:footerReference r:id="rId6" w:type="default"/>
      <w:headerReference r:id="rId4" w:type="even"/>
      <w:footerReference r:id="rId7" w:type="even"/>
      <w:pgSz w:w="11906" w:h="16838"/>
      <w:pgMar w:top="1418" w:right="1418" w:bottom="1418" w:left="1418" w:header="851" w:footer="851" w:gutter="0"/>
      <w:pgNumType w:fmt="decimal"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bookmarkStart w:id="6" w:name="_GoBack"/>
    <w:bookmarkEnd w:id="6"/>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9AD78D"/>
    <w:multiLevelType w:val="singleLevel"/>
    <w:tmpl w:val="829AD78D"/>
    <w:lvl w:ilvl="0" w:tentative="0">
      <w:start w:val="2"/>
      <w:numFmt w:val="chineseCounting"/>
      <w:suff w:val="nothing"/>
      <w:lvlText w:val="（%1）"/>
      <w:lvlJc w:val="left"/>
      <w:rPr>
        <w:rFonts w:hint="eastAsia"/>
      </w:rPr>
    </w:lvl>
  </w:abstractNum>
  <w:abstractNum w:abstractNumId="1">
    <w:nsid w:val="B1D37190"/>
    <w:multiLevelType w:val="singleLevel"/>
    <w:tmpl w:val="B1D37190"/>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Y2IzYjI0YzIzM2Y2ZDM5ODA3OTJhMGViMjVmYjQifQ=="/>
  </w:docVars>
  <w:rsids>
    <w:rsidRoot w:val="33E328CE"/>
    <w:rsid w:val="00040C07"/>
    <w:rsid w:val="000A4BBE"/>
    <w:rsid w:val="00625DBA"/>
    <w:rsid w:val="0078314C"/>
    <w:rsid w:val="0083310D"/>
    <w:rsid w:val="009449BC"/>
    <w:rsid w:val="00970C1B"/>
    <w:rsid w:val="00A4008B"/>
    <w:rsid w:val="00C01AD8"/>
    <w:rsid w:val="0A032F1E"/>
    <w:rsid w:val="10D73E8F"/>
    <w:rsid w:val="33E328CE"/>
    <w:rsid w:val="375A6BCB"/>
    <w:rsid w:val="38431D54"/>
    <w:rsid w:val="42275FAC"/>
    <w:rsid w:val="52000822"/>
    <w:rsid w:val="60621F70"/>
    <w:rsid w:val="6A8353C1"/>
    <w:rsid w:val="71F72416"/>
    <w:rsid w:val="74463A57"/>
    <w:rsid w:val="7B564EC8"/>
    <w:rsid w:val="7F6A68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overflowPunct w:val="0"/>
      <w:spacing w:line="360" w:lineRule="auto"/>
      <w:ind w:firstLine="200" w:firstLineChars="20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4">
    <w:name w:val="annotation text"/>
    <w:basedOn w:val="1"/>
    <w:unhideWhenUsed/>
    <w:qFormat/>
    <w:uiPriority w:val="0"/>
    <w:pPr>
      <w:jc w:val="left"/>
    </w:p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annotation reference"/>
    <w:basedOn w:val="8"/>
    <w:unhideWhenUsed/>
    <w:qFormat/>
    <w:uiPriority w:val="99"/>
    <w:rPr>
      <w:sz w:val="21"/>
      <w:szCs w:val="21"/>
    </w:rPr>
  </w:style>
  <w:style w:type="paragraph" w:customStyle="1" w:styleId="10">
    <w:name w:val="零点-1级标题"/>
    <w:basedOn w:val="2"/>
    <w:next w:val="11"/>
    <w:qFormat/>
    <w:uiPriority w:val="0"/>
    <w:pPr>
      <w:spacing w:before="0" w:after="0" w:line="560" w:lineRule="exact"/>
      <w:ind w:firstLine="640"/>
      <w:jc w:val="left"/>
    </w:pPr>
    <w:rPr>
      <w:rFonts w:ascii="Times New Roman" w:hAnsi="Times New Roman" w:eastAsia="黑体"/>
      <w:color w:val="000000" w:themeColor="text1"/>
      <w:sz w:val="32"/>
      <w14:textFill>
        <w14:solidFill>
          <w14:schemeClr w14:val="tx1"/>
        </w14:solidFill>
      </w14:textFill>
    </w:rPr>
  </w:style>
  <w:style w:type="paragraph" w:customStyle="1" w:styleId="11">
    <w:name w:val="零点-正文"/>
    <w:basedOn w:val="1"/>
    <w:qFormat/>
    <w:uiPriority w:val="0"/>
    <w:pPr>
      <w:spacing w:line="560" w:lineRule="exact"/>
    </w:pPr>
    <w:rPr>
      <w:rFonts w:ascii="Times New Roman" w:hAnsi="Times New Roman" w:eastAsia="仿宋_GB2312"/>
      <w:sz w:val="32"/>
      <w:szCs w:val="22"/>
    </w:rPr>
  </w:style>
  <w:style w:type="paragraph" w:customStyle="1" w:styleId="12">
    <w:name w:val="零点-2级标题"/>
    <w:basedOn w:val="3"/>
    <w:next w:val="11"/>
    <w:qFormat/>
    <w:uiPriority w:val="0"/>
    <w:pPr>
      <w:spacing w:before="0" w:after="0" w:line="560" w:lineRule="exact"/>
    </w:pPr>
    <w:rPr>
      <w:rFonts w:ascii="Times New Roman" w:hAnsi="Times New Roman" w:eastAsia="楷体_GB2312"/>
      <w:color w:val="000000" w:themeColor="text1"/>
      <w14:textFill>
        <w14:solidFill>
          <w14:schemeClr w14:val="tx1"/>
        </w14:solidFill>
      </w14:textFill>
    </w:rPr>
  </w:style>
  <w:style w:type="paragraph" w:customStyle="1" w:styleId="13">
    <w:name w:val="零点-图表标题"/>
    <w:basedOn w:val="1"/>
    <w:next w:val="11"/>
    <w:qFormat/>
    <w:uiPriority w:val="0"/>
    <w:pPr>
      <w:keepNext/>
      <w:spacing w:line="560" w:lineRule="exact"/>
      <w:ind w:firstLine="0" w:firstLineChars="0"/>
      <w:jc w:val="center"/>
    </w:pPr>
    <w:rPr>
      <w:rFonts w:ascii="Times New Roman" w:hAnsi="Times New Roman" w:eastAsia="黑体"/>
      <w:b/>
      <w:color w:val="000000" w:themeColor="text1"/>
      <w:sz w:val="28"/>
      <w14:textFill>
        <w14:solidFill>
          <w14:schemeClr w14:val="tx1"/>
        </w14:solidFill>
      </w14:textFill>
    </w:rPr>
  </w:style>
  <w:style w:type="paragraph" w:customStyle="1" w:styleId="14">
    <w:name w:val="零点-表内容"/>
    <w:basedOn w:val="1"/>
    <w:next w:val="11"/>
    <w:qFormat/>
    <w:uiPriority w:val="0"/>
    <w:pPr>
      <w:widowControl w:val="0"/>
      <w:adjustRightInd w:val="0"/>
      <w:snapToGrid w:val="0"/>
      <w:spacing w:line="240" w:lineRule="auto"/>
      <w:ind w:firstLine="0" w:firstLineChars="0"/>
      <w:jc w:val="center"/>
    </w:pPr>
    <w:rPr>
      <w:rFonts w:ascii="Times New Roman" w:hAnsi="Times New Roman" w:eastAsia="仿宋_GB2312"/>
      <w:bCs/>
      <w:sz w:val="24"/>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1207</Words>
  <Characters>6881</Characters>
  <Lines>57</Lines>
  <Paragraphs>16</Paragraphs>
  <TotalTime>82</TotalTime>
  <ScaleCrop>false</ScaleCrop>
  <LinksUpToDate>false</LinksUpToDate>
  <CharactersWithSpaces>8072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2023-09-18T07:21:00Z</dcterms:created>
  <dc:creator>11796</dc:creator>
  <cp:lastModifiedBy>周怡</cp:lastModifiedBy>
  <dcterms:modified xsi:type="dcterms:W3CDTF">2023-10-18T10:46:47Z</dcterms:modified>
  <dc:title>2022年从化区人力资源和社会保障局部门整体支出绩效评价报告</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11DDA2B4406F4F07877B71BFE157E4AE_13</vt:lpwstr>
  </property>
</Properties>
</file>