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overflowPunct/>
        <w:adjustRightInd w:val="0"/>
        <w:snapToGrid w:val="0"/>
        <w:spacing w:line="560" w:lineRule="atLeast"/>
        <w:ind w:firstLine="0" w:firstLineChars="0"/>
        <w:jc w:val="center"/>
        <w:rPr>
          <w:rFonts w:hint="eastAsia" w:ascii="方正小标宋_GBK" w:hAnsi="方正小标宋_GBK" w:eastAsia="方正小标宋_GBK" w:cs="方正小标宋_GBK"/>
          <w:b w:val="0"/>
          <w:bCs w:val="0"/>
          <w:kern w:val="36"/>
          <w:sz w:val="44"/>
          <w:szCs w:val="44"/>
          <w:shd w:val="clear" w:color="auto" w:fill="FFFFFF"/>
          <w:lang w:val="en-US" w:eastAsia="zh-CN" w:bidi="ar-SA"/>
        </w:rPr>
      </w:pPr>
      <w:r>
        <w:rPr>
          <w:rFonts w:hint="eastAsia" w:ascii="方正小标宋_GBK" w:hAnsi="方正小标宋_GBK" w:eastAsia="方正小标宋_GBK" w:cs="方正小标宋_GBK"/>
          <w:b w:val="0"/>
          <w:bCs w:val="0"/>
          <w:kern w:val="36"/>
          <w:sz w:val="44"/>
          <w:szCs w:val="44"/>
          <w:shd w:val="clear" w:color="auto" w:fill="FFFFFF"/>
          <w:lang w:val="en-US" w:eastAsia="zh-CN" w:bidi="ar-SA"/>
        </w:rPr>
        <w:t>2022年度经济开发区管理委员会部门整体支出</w:t>
      </w:r>
    </w:p>
    <w:p>
      <w:pPr>
        <w:widowControl w:val="0"/>
        <w:overflowPunct/>
        <w:adjustRightInd w:val="0"/>
        <w:snapToGrid w:val="0"/>
        <w:spacing w:line="560" w:lineRule="atLeast"/>
        <w:ind w:firstLine="0" w:firstLineChars="0"/>
        <w:jc w:val="center"/>
        <w:rPr>
          <w:rFonts w:hint="eastAsia" w:ascii="方正小标宋_GBK" w:hAnsi="方正小标宋_GBK" w:eastAsia="方正小标宋_GBK" w:cs="方正小标宋_GBK"/>
          <w:b w:val="0"/>
          <w:bCs w:val="0"/>
          <w:kern w:val="36"/>
          <w:sz w:val="44"/>
          <w:szCs w:val="44"/>
          <w:shd w:val="clear" w:color="auto" w:fill="FFFFFF"/>
          <w:lang w:val="en-US" w:eastAsia="zh-CN" w:bidi="ar-SA"/>
        </w:rPr>
      </w:pPr>
      <w:r>
        <w:rPr>
          <w:rFonts w:hint="eastAsia" w:ascii="方正小标宋_GBK" w:hAnsi="方正小标宋_GBK" w:eastAsia="方正小标宋_GBK" w:cs="方正小标宋_GBK"/>
          <w:b w:val="0"/>
          <w:bCs w:val="0"/>
          <w:kern w:val="36"/>
          <w:sz w:val="44"/>
          <w:szCs w:val="44"/>
          <w:shd w:val="clear" w:color="auto" w:fill="FFFFFF"/>
          <w:lang w:val="en-US" w:eastAsia="zh-CN" w:bidi="ar-SA"/>
        </w:rPr>
        <w:t>绩效评价报告</w:t>
      </w:r>
    </w:p>
    <w:p>
      <w:pPr>
        <w:pStyle w:val="9"/>
        <w:ind w:firstLine="0" w:firstLineChars="0"/>
        <w:jc w:val="center"/>
        <w:rPr>
          <w:rFonts w:ascii="仿宋" w:hAnsi="仿宋" w:eastAsia="仿宋" w:cs="仿宋"/>
        </w:rPr>
      </w:pPr>
      <w:r>
        <w:rPr>
          <w:rFonts w:hint="eastAsia"/>
          <w:snapToGrid w:val="0"/>
        </w:rPr>
        <w:t>广州零点有数数据科技有限</w:t>
      </w:r>
      <w:r>
        <w:rPr>
          <w:rFonts w:hint="eastAsia" w:ascii="仿宋" w:hAnsi="仿宋" w:eastAsia="仿宋" w:cs="仿宋"/>
        </w:rPr>
        <w:t>公司</w:t>
      </w:r>
    </w:p>
    <w:p>
      <w:pPr>
        <w:pStyle w:val="9"/>
        <w:ind w:firstLine="640"/>
        <w:jc w:val="center"/>
        <w:rPr>
          <w:rFonts w:ascii="宋体" w:hAnsi="宋体" w:eastAsia="宋体" w:cs="宋体"/>
        </w:rPr>
      </w:pPr>
    </w:p>
    <w:p>
      <w:pPr>
        <w:pStyle w:val="9"/>
        <w:ind w:firstLine="640"/>
        <w:rPr>
          <w:b/>
          <w:bCs/>
        </w:rPr>
      </w:pPr>
      <w:r>
        <w:rPr>
          <w:rFonts w:hint="eastAsia"/>
        </w:rPr>
        <w:t>根据《广州市从化区财政局关于开展</w:t>
      </w:r>
      <w:r>
        <w:t>2023年财政支出第三方绩效评价工作的通知</w:t>
      </w:r>
      <w:r>
        <w:rPr>
          <w:rFonts w:hint="eastAsia"/>
        </w:rPr>
        <w:t>》有关要求，受</w:t>
      </w:r>
      <w:r>
        <w:t>广州市</w:t>
      </w:r>
      <w:r>
        <w:rPr>
          <w:rFonts w:hint="eastAsia"/>
        </w:rPr>
        <w:t>从化区</w:t>
      </w:r>
      <w:r>
        <w:t>财政局</w:t>
      </w:r>
      <w:r>
        <w:rPr>
          <w:rFonts w:hint="eastAsia"/>
        </w:rPr>
        <w:t>委托，本机构对广东从化经济开发区管理委员会部门整体支出开展绩效评价。经评价，广东从化经济开发区管理委员会部门整体支出情况良好，年度预算完成率为100%。绩效目标完成情况良好，完成履行部门职能、</w:t>
      </w:r>
      <w:r>
        <w:t>推进项目落地和建设</w:t>
      </w:r>
      <w:r>
        <w:rPr>
          <w:rFonts w:hint="eastAsia"/>
        </w:rPr>
        <w:t>等工作任务。</w:t>
      </w:r>
      <w:r>
        <w:rPr>
          <w:rFonts w:hint="eastAsia"/>
          <w:b/>
          <w:bCs/>
        </w:rPr>
        <w:t>经综合评定，2022年广东从化经济开发区管理委员会部门整体支出绩效评价等级为“良”。</w:t>
      </w:r>
    </w:p>
    <w:p>
      <w:pPr>
        <w:pStyle w:val="8"/>
        <w:ind w:firstLine="643"/>
      </w:pPr>
      <w:r>
        <w:rPr>
          <w:rFonts w:hint="eastAsia"/>
        </w:rPr>
        <w:t>一、评价部门概况</w:t>
      </w:r>
    </w:p>
    <w:p>
      <w:pPr>
        <w:pStyle w:val="9"/>
        <w:ind w:firstLine="640"/>
      </w:pPr>
      <w:r>
        <w:rPr>
          <w:rFonts w:hint="eastAsia"/>
        </w:rPr>
        <w:t>整体来看，2022年，经济开发区管理委员会基本能够履行部门职能，</w:t>
      </w:r>
      <w:r>
        <w:t>推进项目落地和建设</w:t>
      </w:r>
      <w:r>
        <w:rPr>
          <w:rFonts w:hint="eastAsia"/>
        </w:rPr>
        <w:t>，但在工程造价准确性、</w:t>
      </w:r>
      <w:r>
        <w:t>预算绩效管理水平、合同管理、资金支出规范性</w:t>
      </w:r>
      <w:r>
        <w:rPr>
          <w:rFonts w:hint="eastAsia"/>
        </w:rPr>
        <w:t>等方面存在一定问题。</w:t>
      </w:r>
      <w:r>
        <w:t>经综合分析，评定</w:t>
      </w:r>
      <w:r>
        <w:rPr>
          <w:rFonts w:hint="eastAsia"/>
        </w:rPr>
        <w:t>经济开发区管理委员会</w:t>
      </w:r>
      <w:r>
        <w:t>2022年部门整体支出绩效评价得分为83.90分</w:t>
      </w:r>
      <w:r>
        <w:rPr>
          <w:rFonts w:hint="eastAsia"/>
        </w:rPr>
        <w:t>，绩效等级为“良”。</w:t>
      </w:r>
    </w:p>
    <w:p>
      <w:pPr>
        <w:pStyle w:val="8"/>
        <w:ind w:firstLine="643"/>
      </w:pPr>
      <w:r>
        <w:rPr>
          <w:rFonts w:hint="eastAsia"/>
        </w:rPr>
        <w:t>二、绩效目标分析</w:t>
      </w:r>
    </w:p>
    <w:p>
      <w:pPr>
        <w:pStyle w:val="10"/>
        <w:ind w:firstLine="643"/>
      </w:pPr>
      <w:r>
        <w:rPr>
          <w:rFonts w:hint="eastAsia"/>
        </w:rPr>
        <w:t>（一）目标设置</w:t>
      </w:r>
    </w:p>
    <w:p>
      <w:pPr>
        <w:pStyle w:val="9"/>
        <w:ind w:firstLine="640"/>
      </w:pPr>
      <w:r>
        <w:rPr>
          <w:rFonts w:hint="eastAsia"/>
        </w:rPr>
        <w:t>经济开发区管理委员会2022</w:t>
      </w:r>
      <w:r>
        <w:t>年</w:t>
      </w:r>
      <w:r>
        <w:rPr>
          <w:rFonts w:hint="eastAsia"/>
        </w:rPr>
        <w:t>度</w:t>
      </w:r>
      <w:r>
        <w:t>总体</w:t>
      </w:r>
      <w:r>
        <w:rPr>
          <w:rFonts w:hint="eastAsia"/>
        </w:rPr>
        <w:t>目标为</w:t>
      </w:r>
      <w:r>
        <w:t>：广东从化经济</w:t>
      </w:r>
      <w:r>
        <w:rPr>
          <w:rFonts w:hint="eastAsia"/>
        </w:rPr>
        <w:t>开发区</w:t>
      </w:r>
      <w:r>
        <w:t>紧紧围绕构建高端高质高新现代化产业体系，以土地储备整理为载体。全力以赴推进联合利华等重点项目建设；坚持规划引领，脚踏实地破解用地难题；真抓实干完善基础设施建设；创新思路加强招商引资工作；持之以恒营造优良的营商环境。奋力打造融生产生活生态于一体的生态园林式工业园区。</w:t>
      </w:r>
    </w:p>
    <w:p>
      <w:pPr>
        <w:pStyle w:val="9"/>
        <w:ind w:firstLine="640"/>
      </w:pPr>
      <w:r>
        <w:rPr>
          <w:rFonts w:hint="eastAsia"/>
        </w:rPr>
        <w:t>年度重点工作任务为：保障经济开发区管理委员会机关日常行政工作正常运转；全力推进基础设施建设；做好土地收储工作；狠抓项目落地。</w:t>
      </w:r>
    </w:p>
    <w:p>
      <w:pPr>
        <w:pStyle w:val="10"/>
        <w:numPr>
          <w:ilvl w:val="0"/>
          <w:numId w:val="1"/>
        </w:numPr>
        <w:ind w:firstLine="643"/>
      </w:pPr>
      <w:r>
        <w:rPr>
          <w:rFonts w:hint="eastAsia"/>
        </w:rPr>
        <w:t>目标完成</w:t>
      </w:r>
    </w:p>
    <w:p>
      <w:pPr>
        <w:pStyle w:val="9"/>
        <w:ind w:firstLine="640"/>
      </w:pPr>
      <w:r>
        <w:rPr>
          <w:rFonts w:hint="eastAsia"/>
        </w:rPr>
        <w:t>2022年，经济开发区管理委员会</w:t>
      </w:r>
      <w:r>
        <w:t>年度设置绩效指标</w:t>
      </w:r>
      <w:r>
        <w:rPr>
          <w:rFonts w:hint="eastAsia"/>
        </w:rPr>
        <w:t>13</w:t>
      </w:r>
      <w:r>
        <w:t>个，</w:t>
      </w:r>
      <w:r>
        <w:rPr>
          <w:rFonts w:hint="eastAsia"/>
        </w:rPr>
        <w:t>均达到预期目标</w:t>
      </w:r>
      <w:r>
        <w:t>，目标完成率</w:t>
      </w:r>
      <w:r>
        <w:rPr>
          <w:rFonts w:hint="eastAsia"/>
        </w:rPr>
        <w:t>100%</w:t>
      </w:r>
      <w:r>
        <w:t>。</w:t>
      </w:r>
      <w:r>
        <w:rPr>
          <w:rFonts w:hint="eastAsia"/>
        </w:rPr>
        <w:t>详见附表。</w:t>
      </w:r>
    </w:p>
    <w:p>
      <w:pPr>
        <w:pStyle w:val="9"/>
        <w:ind w:firstLine="560"/>
        <w:jc w:val="center"/>
        <w:rPr>
          <w:rFonts w:eastAsia="黑体" w:cs="Times New Roman"/>
          <w:bCs/>
          <w:sz w:val="28"/>
          <w:szCs w:val="28"/>
        </w:rPr>
      </w:pPr>
      <w:r>
        <w:rPr>
          <w:rFonts w:hint="eastAsia" w:eastAsia="黑体" w:cs="Times New Roman"/>
          <w:bCs/>
          <w:sz w:val="28"/>
          <w:szCs w:val="28"/>
        </w:rPr>
        <w:t xml:space="preserve">附表 </w:t>
      </w:r>
      <w:r>
        <w:rPr>
          <w:rFonts w:eastAsia="黑体" w:cs="Times New Roman"/>
          <w:bCs/>
          <w:sz w:val="28"/>
          <w:szCs w:val="28"/>
        </w:rPr>
        <w:t>部门整体支出绩效关键指标及完成情况</w:t>
      </w:r>
    </w:p>
    <w:tbl>
      <w:tblPr>
        <w:tblStyle w:val="6"/>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997"/>
        <w:gridCol w:w="3560"/>
        <w:gridCol w:w="1417"/>
        <w:gridCol w:w="2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blHeader/>
        </w:trPr>
        <w:tc>
          <w:tcPr>
            <w:tcW w:w="1104" w:type="dxa"/>
            <w:shd w:val="clear" w:color="FFFFFF" w:fill="BDDDE8"/>
            <w:vAlign w:val="center"/>
          </w:tcPr>
          <w:p>
            <w:pPr>
              <w:pStyle w:val="11"/>
              <w:rPr>
                <w:rFonts w:eastAsia="仿宋_GB2312" w:cs="Times New Roman"/>
                <w:b/>
                <w:bCs w:val="0"/>
              </w:rPr>
            </w:pPr>
            <w:r>
              <w:rPr>
                <w:rFonts w:eastAsia="仿宋_GB2312" w:cs="Times New Roman"/>
                <w:b/>
                <w:bCs w:val="0"/>
              </w:rPr>
              <w:t>一级指标</w:t>
            </w:r>
          </w:p>
        </w:tc>
        <w:tc>
          <w:tcPr>
            <w:tcW w:w="997" w:type="dxa"/>
            <w:shd w:val="clear" w:color="FFFFFF" w:fill="BDDDE8"/>
            <w:vAlign w:val="center"/>
          </w:tcPr>
          <w:p>
            <w:pPr>
              <w:pStyle w:val="11"/>
              <w:rPr>
                <w:rFonts w:eastAsia="仿宋_GB2312" w:cs="Times New Roman"/>
                <w:b/>
                <w:bCs w:val="0"/>
              </w:rPr>
            </w:pPr>
            <w:r>
              <w:rPr>
                <w:rFonts w:eastAsia="仿宋_GB2312" w:cs="Times New Roman"/>
                <w:b/>
                <w:bCs w:val="0"/>
              </w:rPr>
              <w:t>二级指标</w:t>
            </w:r>
          </w:p>
        </w:tc>
        <w:tc>
          <w:tcPr>
            <w:tcW w:w="3560" w:type="dxa"/>
            <w:shd w:val="clear" w:color="FFFFFF" w:fill="BDDDE8"/>
            <w:vAlign w:val="center"/>
          </w:tcPr>
          <w:p>
            <w:pPr>
              <w:pStyle w:val="11"/>
              <w:rPr>
                <w:rFonts w:eastAsia="仿宋_GB2312" w:cs="Times New Roman"/>
                <w:b/>
                <w:bCs w:val="0"/>
              </w:rPr>
            </w:pPr>
            <w:r>
              <w:rPr>
                <w:rFonts w:eastAsia="仿宋_GB2312" w:cs="Times New Roman"/>
                <w:b/>
                <w:bCs w:val="0"/>
              </w:rPr>
              <w:t>三级指标</w:t>
            </w:r>
          </w:p>
        </w:tc>
        <w:tc>
          <w:tcPr>
            <w:tcW w:w="1417" w:type="dxa"/>
            <w:shd w:val="clear" w:color="FFFFFF" w:fill="BDDDE8"/>
            <w:vAlign w:val="center"/>
          </w:tcPr>
          <w:p>
            <w:pPr>
              <w:pStyle w:val="11"/>
              <w:rPr>
                <w:rFonts w:eastAsia="仿宋_GB2312" w:cs="Times New Roman"/>
                <w:b/>
                <w:bCs w:val="0"/>
              </w:rPr>
            </w:pPr>
            <w:r>
              <w:rPr>
                <w:rFonts w:eastAsia="仿宋_GB2312" w:cs="Times New Roman"/>
                <w:b/>
                <w:bCs w:val="0"/>
              </w:rPr>
              <w:t>实施周期指标值</w:t>
            </w:r>
          </w:p>
        </w:tc>
        <w:tc>
          <w:tcPr>
            <w:tcW w:w="2208" w:type="dxa"/>
            <w:shd w:val="clear" w:color="FFFFFF" w:fill="BDDDE8"/>
            <w:vAlign w:val="center"/>
          </w:tcPr>
          <w:p>
            <w:pPr>
              <w:pStyle w:val="11"/>
              <w:rPr>
                <w:rFonts w:eastAsia="仿宋_GB2312" w:cs="Times New Roman"/>
                <w:b/>
                <w:bCs w:val="0"/>
              </w:rPr>
            </w:pPr>
            <w:r>
              <w:rPr>
                <w:rFonts w:eastAsia="仿宋_GB2312" w:cs="Times New Roman"/>
                <w:b/>
                <w:bCs w:val="0"/>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104" w:type="dxa"/>
            <w:vMerge w:val="restart"/>
            <w:shd w:val="clear" w:color="FFFFFF" w:fill="FFFFFF"/>
            <w:vAlign w:val="center"/>
          </w:tcPr>
          <w:p>
            <w:pPr>
              <w:pStyle w:val="11"/>
              <w:rPr>
                <w:rFonts w:eastAsia="仿宋_GB2312" w:cs="Times New Roman"/>
              </w:rPr>
            </w:pPr>
            <w:r>
              <w:rPr>
                <w:rFonts w:eastAsia="仿宋_GB2312" w:cs="Times New Roman"/>
              </w:rPr>
              <w:t>产出指标</w:t>
            </w:r>
          </w:p>
        </w:tc>
        <w:tc>
          <w:tcPr>
            <w:tcW w:w="997" w:type="dxa"/>
            <w:vMerge w:val="restart"/>
            <w:shd w:val="clear" w:color="FFFFFF" w:fill="FFFFFF"/>
            <w:vAlign w:val="center"/>
          </w:tcPr>
          <w:p>
            <w:pPr>
              <w:pStyle w:val="11"/>
              <w:rPr>
                <w:rFonts w:eastAsia="仿宋_GB2312" w:cs="Times New Roman"/>
              </w:rPr>
            </w:pPr>
            <w:r>
              <w:rPr>
                <w:rFonts w:eastAsia="仿宋_GB2312" w:cs="Times New Roman"/>
              </w:rPr>
              <w:t>数量指标</w:t>
            </w:r>
          </w:p>
        </w:tc>
        <w:tc>
          <w:tcPr>
            <w:tcW w:w="3560" w:type="dxa"/>
            <w:shd w:val="clear" w:color="FFFFFF" w:fill="FFFFFF"/>
            <w:vAlign w:val="center"/>
          </w:tcPr>
          <w:p>
            <w:pPr>
              <w:pStyle w:val="11"/>
              <w:rPr>
                <w:rFonts w:eastAsia="仿宋_GB2312" w:cs="Times New Roman"/>
              </w:rPr>
            </w:pPr>
            <w:r>
              <w:rPr>
                <w:rFonts w:eastAsia="仿宋_GB2312" w:cs="Times New Roman"/>
              </w:rPr>
              <w:t>物资采购完成率</w:t>
            </w:r>
          </w:p>
        </w:tc>
        <w:tc>
          <w:tcPr>
            <w:tcW w:w="1417" w:type="dxa"/>
            <w:shd w:val="clear" w:color="FFFFFF" w:fill="FFFFFF"/>
            <w:vAlign w:val="center"/>
          </w:tcPr>
          <w:p>
            <w:pPr>
              <w:pStyle w:val="11"/>
              <w:rPr>
                <w:rFonts w:eastAsia="仿宋_GB2312" w:cs="Times New Roman"/>
              </w:rPr>
            </w:pPr>
            <w:r>
              <w:rPr>
                <w:rFonts w:eastAsia="仿宋_GB2312" w:cs="Times New Roman"/>
              </w:rPr>
              <w:t>100%</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104" w:type="dxa"/>
            <w:vMerge w:val="continue"/>
            <w:vAlign w:val="center"/>
          </w:tcPr>
          <w:p>
            <w:pPr>
              <w:pStyle w:val="11"/>
              <w:rPr>
                <w:rFonts w:eastAsia="仿宋_GB2312" w:cs="Times New Roman"/>
              </w:rPr>
            </w:pPr>
          </w:p>
        </w:tc>
        <w:tc>
          <w:tcPr>
            <w:tcW w:w="997" w:type="dxa"/>
            <w:vMerge w:val="continue"/>
            <w:vAlign w:val="center"/>
          </w:tcPr>
          <w:p>
            <w:pPr>
              <w:pStyle w:val="11"/>
              <w:rPr>
                <w:rFonts w:eastAsia="仿宋_GB2312" w:cs="Times New Roman"/>
              </w:rPr>
            </w:pPr>
          </w:p>
        </w:tc>
        <w:tc>
          <w:tcPr>
            <w:tcW w:w="3560" w:type="dxa"/>
            <w:shd w:val="clear" w:color="FFFFFF" w:fill="FFFFFF"/>
            <w:vAlign w:val="center"/>
          </w:tcPr>
          <w:p>
            <w:pPr>
              <w:pStyle w:val="11"/>
              <w:rPr>
                <w:rFonts w:eastAsia="仿宋_GB2312" w:cs="Times New Roman"/>
              </w:rPr>
            </w:pPr>
            <w:r>
              <w:rPr>
                <w:rFonts w:eastAsia="仿宋_GB2312" w:cs="Times New Roman"/>
              </w:rPr>
              <w:t>奖励完成率</w:t>
            </w:r>
          </w:p>
        </w:tc>
        <w:tc>
          <w:tcPr>
            <w:tcW w:w="1417" w:type="dxa"/>
            <w:shd w:val="clear" w:color="FFFFFF" w:fill="FFFFFF"/>
            <w:vAlign w:val="center"/>
          </w:tcPr>
          <w:p>
            <w:pPr>
              <w:pStyle w:val="11"/>
              <w:rPr>
                <w:rFonts w:eastAsia="仿宋_GB2312" w:cs="Times New Roman"/>
              </w:rPr>
            </w:pPr>
            <w:r>
              <w:rPr>
                <w:rFonts w:eastAsia="仿宋_GB2312" w:cs="Times New Roman"/>
              </w:rPr>
              <w:t>100%</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104" w:type="dxa"/>
            <w:vMerge w:val="continue"/>
            <w:vAlign w:val="center"/>
          </w:tcPr>
          <w:p>
            <w:pPr>
              <w:pStyle w:val="11"/>
              <w:rPr>
                <w:rFonts w:eastAsia="仿宋_GB2312" w:cs="Times New Roman"/>
              </w:rPr>
            </w:pPr>
          </w:p>
        </w:tc>
        <w:tc>
          <w:tcPr>
            <w:tcW w:w="997" w:type="dxa"/>
            <w:vMerge w:val="continue"/>
            <w:vAlign w:val="center"/>
          </w:tcPr>
          <w:p>
            <w:pPr>
              <w:pStyle w:val="11"/>
              <w:rPr>
                <w:rFonts w:eastAsia="仿宋_GB2312" w:cs="Times New Roman"/>
              </w:rPr>
            </w:pPr>
          </w:p>
        </w:tc>
        <w:tc>
          <w:tcPr>
            <w:tcW w:w="3560" w:type="dxa"/>
            <w:shd w:val="clear" w:color="FFFFFF" w:fill="FFFFFF"/>
            <w:vAlign w:val="center"/>
          </w:tcPr>
          <w:p>
            <w:pPr>
              <w:pStyle w:val="11"/>
              <w:rPr>
                <w:rFonts w:eastAsia="仿宋_GB2312" w:cs="Times New Roman"/>
              </w:rPr>
            </w:pPr>
            <w:r>
              <w:rPr>
                <w:rFonts w:eastAsia="仿宋_GB2312" w:cs="Times New Roman"/>
              </w:rPr>
              <w:t>调研报告成果完成率</w:t>
            </w:r>
          </w:p>
        </w:tc>
        <w:tc>
          <w:tcPr>
            <w:tcW w:w="1417" w:type="dxa"/>
            <w:shd w:val="clear" w:color="FFFFFF" w:fill="FFFFFF"/>
            <w:vAlign w:val="center"/>
          </w:tcPr>
          <w:p>
            <w:pPr>
              <w:pStyle w:val="11"/>
              <w:rPr>
                <w:rFonts w:eastAsia="仿宋_GB2312" w:cs="Times New Roman"/>
              </w:rPr>
            </w:pPr>
            <w:r>
              <w:rPr>
                <w:rFonts w:eastAsia="仿宋_GB2312" w:cs="Times New Roman"/>
              </w:rPr>
              <w:t>100%</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104" w:type="dxa"/>
            <w:vMerge w:val="continue"/>
            <w:vAlign w:val="center"/>
          </w:tcPr>
          <w:p>
            <w:pPr>
              <w:pStyle w:val="11"/>
              <w:rPr>
                <w:rFonts w:eastAsia="仿宋_GB2312" w:cs="Times New Roman"/>
              </w:rPr>
            </w:pPr>
          </w:p>
        </w:tc>
        <w:tc>
          <w:tcPr>
            <w:tcW w:w="997" w:type="dxa"/>
            <w:vMerge w:val="continue"/>
            <w:vAlign w:val="center"/>
          </w:tcPr>
          <w:p>
            <w:pPr>
              <w:pStyle w:val="11"/>
              <w:rPr>
                <w:rFonts w:eastAsia="仿宋_GB2312" w:cs="Times New Roman"/>
              </w:rPr>
            </w:pPr>
          </w:p>
        </w:tc>
        <w:tc>
          <w:tcPr>
            <w:tcW w:w="3560" w:type="dxa"/>
            <w:shd w:val="clear" w:color="FFFFFF" w:fill="FFFFFF"/>
            <w:vAlign w:val="center"/>
          </w:tcPr>
          <w:p>
            <w:pPr>
              <w:pStyle w:val="11"/>
              <w:rPr>
                <w:rFonts w:eastAsia="仿宋_GB2312" w:cs="Times New Roman"/>
              </w:rPr>
            </w:pPr>
            <w:r>
              <w:rPr>
                <w:rFonts w:eastAsia="仿宋_GB2312" w:cs="Times New Roman"/>
              </w:rPr>
              <w:t>控规调整完成率</w:t>
            </w:r>
          </w:p>
        </w:tc>
        <w:tc>
          <w:tcPr>
            <w:tcW w:w="1417" w:type="dxa"/>
            <w:shd w:val="clear" w:color="FFFFFF" w:fill="FFFFFF"/>
            <w:vAlign w:val="center"/>
          </w:tcPr>
          <w:p>
            <w:pPr>
              <w:pStyle w:val="11"/>
              <w:rPr>
                <w:rFonts w:eastAsia="仿宋_GB2312" w:cs="Times New Roman"/>
              </w:rPr>
            </w:pPr>
            <w:r>
              <w:rPr>
                <w:rFonts w:eastAsia="仿宋_GB2312" w:cs="Times New Roman"/>
              </w:rPr>
              <w:t>100%</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104" w:type="dxa"/>
            <w:vMerge w:val="continue"/>
            <w:vAlign w:val="center"/>
          </w:tcPr>
          <w:p>
            <w:pPr>
              <w:pStyle w:val="11"/>
              <w:rPr>
                <w:rFonts w:eastAsia="仿宋_GB2312" w:cs="Times New Roman"/>
              </w:rPr>
            </w:pPr>
          </w:p>
        </w:tc>
        <w:tc>
          <w:tcPr>
            <w:tcW w:w="997" w:type="dxa"/>
            <w:vMerge w:val="continue"/>
            <w:vAlign w:val="center"/>
          </w:tcPr>
          <w:p>
            <w:pPr>
              <w:pStyle w:val="11"/>
              <w:rPr>
                <w:rFonts w:eastAsia="仿宋_GB2312" w:cs="Times New Roman"/>
              </w:rPr>
            </w:pPr>
          </w:p>
        </w:tc>
        <w:tc>
          <w:tcPr>
            <w:tcW w:w="3560" w:type="dxa"/>
            <w:shd w:val="clear" w:color="FFFFFF" w:fill="FFFFFF"/>
            <w:vAlign w:val="center"/>
          </w:tcPr>
          <w:p>
            <w:pPr>
              <w:pStyle w:val="11"/>
              <w:rPr>
                <w:rFonts w:eastAsia="仿宋_GB2312" w:cs="Times New Roman"/>
              </w:rPr>
            </w:pPr>
            <w:r>
              <w:rPr>
                <w:rFonts w:eastAsia="仿宋_GB2312" w:cs="Times New Roman"/>
              </w:rPr>
              <w:t>工程建设完成率</w:t>
            </w:r>
          </w:p>
        </w:tc>
        <w:tc>
          <w:tcPr>
            <w:tcW w:w="1417" w:type="dxa"/>
            <w:shd w:val="clear" w:color="FFFFFF" w:fill="FFFFFF"/>
            <w:vAlign w:val="center"/>
          </w:tcPr>
          <w:p>
            <w:pPr>
              <w:pStyle w:val="11"/>
              <w:rPr>
                <w:rFonts w:eastAsia="仿宋_GB2312" w:cs="Times New Roman"/>
              </w:rPr>
            </w:pPr>
            <w:r>
              <w:rPr>
                <w:rFonts w:eastAsia="仿宋_GB2312" w:cs="Times New Roman"/>
              </w:rPr>
              <w:t>100%</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104" w:type="dxa"/>
            <w:vMerge w:val="continue"/>
            <w:vAlign w:val="center"/>
          </w:tcPr>
          <w:p>
            <w:pPr>
              <w:pStyle w:val="11"/>
              <w:rPr>
                <w:rFonts w:eastAsia="仿宋_GB2312" w:cs="Times New Roman"/>
              </w:rPr>
            </w:pPr>
          </w:p>
        </w:tc>
        <w:tc>
          <w:tcPr>
            <w:tcW w:w="997" w:type="dxa"/>
            <w:vMerge w:val="restart"/>
            <w:shd w:val="clear" w:color="FFFFFF" w:fill="FFFFFF"/>
            <w:vAlign w:val="center"/>
          </w:tcPr>
          <w:p>
            <w:pPr>
              <w:pStyle w:val="11"/>
              <w:rPr>
                <w:rFonts w:eastAsia="仿宋_GB2312" w:cs="Times New Roman"/>
              </w:rPr>
            </w:pPr>
            <w:r>
              <w:rPr>
                <w:rFonts w:eastAsia="仿宋_GB2312" w:cs="Times New Roman"/>
              </w:rPr>
              <w:t>质量指标</w:t>
            </w:r>
          </w:p>
        </w:tc>
        <w:tc>
          <w:tcPr>
            <w:tcW w:w="3560" w:type="dxa"/>
            <w:shd w:val="clear" w:color="FFFFFF" w:fill="FFFFFF"/>
            <w:vAlign w:val="center"/>
          </w:tcPr>
          <w:p>
            <w:pPr>
              <w:pStyle w:val="11"/>
              <w:rPr>
                <w:rFonts w:eastAsia="仿宋_GB2312" w:cs="Times New Roman"/>
              </w:rPr>
            </w:pPr>
            <w:r>
              <w:rPr>
                <w:rFonts w:eastAsia="仿宋_GB2312" w:cs="Times New Roman"/>
              </w:rPr>
              <w:t>调研报告成果通过率</w:t>
            </w:r>
          </w:p>
        </w:tc>
        <w:tc>
          <w:tcPr>
            <w:tcW w:w="1417" w:type="dxa"/>
            <w:shd w:val="clear" w:color="FFFFFF" w:fill="FFFFFF"/>
            <w:vAlign w:val="center"/>
          </w:tcPr>
          <w:p>
            <w:pPr>
              <w:pStyle w:val="11"/>
              <w:rPr>
                <w:rFonts w:eastAsia="仿宋_GB2312" w:cs="Times New Roman"/>
              </w:rPr>
            </w:pPr>
            <w:r>
              <w:rPr>
                <w:rFonts w:eastAsia="仿宋_GB2312" w:cs="Times New Roman"/>
              </w:rPr>
              <w:t>100%</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104" w:type="dxa"/>
            <w:vMerge w:val="continue"/>
            <w:vAlign w:val="center"/>
          </w:tcPr>
          <w:p>
            <w:pPr>
              <w:pStyle w:val="11"/>
              <w:rPr>
                <w:rFonts w:eastAsia="仿宋_GB2312" w:cs="Times New Roman"/>
              </w:rPr>
            </w:pPr>
          </w:p>
        </w:tc>
        <w:tc>
          <w:tcPr>
            <w:tcW w:w="997" w:type="dxa"/>
            <w:vMerge w:val="continue"/>
            <w:vAlign w:val="center"/>
          </w:tcPr>
          <w:p>
            <w:pPr>
              <w:pStyle w:val="11"/>
              <w:rPr>
                <w:rFonts w:eastAsia="仿宋_GB2312" w:cs="Times New Roman"/>
              </w:rPr>
            </w:pPr>
          </w:p>
        </w:tc>
        <w:tc>
          <w:tcPr>
            <w:tcW w:w="3560" w:type="dxa"/>
            <w:shd w:val="clear" w:color="FFFFFF" w:fill="FFFFFF"/>
            <w:vAlign w:val="center"/>
          </w:tcPr>
          <w:p>
            <w:pPr>
              <w:pStyle w:val="11"/>
              <w:rPr>
                <w:rFonts w:eastAsia="仿宋_GB2312" w:cs="Times New Roman"/>
              </w:rPr>
            </w:pPr>
            <w:r>
              <w:rPr>
                <w:rFonts w:eastAsia="仿宋_GB2312" w:cs="Times New Roman"/>
              </w:rPr>
              <w:t>工程验收通过率</w:t>
            </w:r>
          </w:p>
        </w:tc>
        <w:tc>
          <w:tcPr>
            <w:tcW w:w="1417" w:type="dxa"/>
            <w:shd w:val="clear" w:color="FFFFFF" w:fill="FFFFFF"/>
            <w:vAlign w:val="center"/>
          </w:tcPr>
          <w:p>
            <w:pPr>
              <w:pStyle w:val="11"/>
              <w:rPr>
                <w:rFonts w:eastAsia="仿宋_GB2312" w:cs="Times New Roman"/>
              </w:rPr>
            </w:pPr>
            <w:r>
              <w:rPr>
                <w:rFonts w:eastAsia="仿宋_GB2312" w:cs="Times New Roman"/>
              </w:rPr>
              <w:t>100%</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104" w:type="dxa"/>
            <w:vMerge w:val="continue"/>
            <w:vAlign w:val="center"/>
          </w:tcPr>
          <w:p>
            <w:pPr>
              <w:pStyle w:val="11"/>
              <w:rPr>
                <w:rFonts w:eastAsia="仿宋_GB2312" w:cs="Times New Roman"/>
              </w:rPr>
            </w:pPr>
          </w:p>
        </w:tc>
        <w:tc>
          <w:tcPr>
            <w:tcW w:w="997" w:type="dxa"/>
            <w:shd w:val="clear" w:color="FFFFFF" w:fill="FFFFFF"/>
            <w:vAlign w:val="center"/>
          </w:tcPr>
          <w:p>
            <w:pPr>
              <w:pStyle w:val="11"/>
              <w:rPr>
                <w:rFonts w:eastAsia="仿宋_GB2312" w:cs="Times New Roman"/>
              </w:rPr>
            </w:pPr>
            <w:r>
              <w:rPr>
                <w:rFonts w:eastAsia="仿宋_GB2312" w:cs="Times New Roman"/>
              </w:rPr>
              <w:t>时效指标</w:t>
            </w:r>
          </w:p>
        </w:tc>
        <w:tc>
          <w:tcPr>
            <w:tcW w:w="3560" w:type="dxa"/>
            <w:shd w:val="clear" w:color="FFFFFF" w:fill="FFFFFF"/>
            <w:vAlign w:val="center"/>
          </w:tcPr>
          <w:p>
            <w:pPr>
              <w:pStyle w:val="11"/>
              <w:rPr>
                <w:rFonts w:eastAsia="仿宋_GB2312" w:cs="Times New Roman"/>
              </w:rPr>
            </w:pPr>
            <w:r>
              <w:rPr>
                <w:rFonts w:eastAsia="仿宋_GB2312" w:cs="Times New Roman"/>
              </w:rPr>
              <w:t>补贴（补助）及时发放完成率</w:t>
            </w:r>
          </w:p>
        </w:tc>
        <w:tc>
          <w:tcPr>
            <w:tcW w:w="1417" w:type="dxa"/>
            <w:shd w:val="clear" w:color="FFFFFF" w:fill="FFFFFF"/>
            <w:vAlign w:val="center"/>
          </w:tcPr>
          <w:p>
            <w:pPr>
              <w:pStyle w:val="11"/>
              <w:rPr>
                <w:rFonts w:eastAsia="仿宋_GB2312" w:cs="Times New Roman"/>
              </w:rPr>
            </w:pPr>
            <w:r>
              <w:rPr>
                <w:rFonts w:eastAsia="仿宋_GB2312" w:cs="Times New Roman"/>
              </w:rPr>
              <w:t>100%</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104" w:type="dxa"/>
            <w:vMerge w:val="restart"/>
            <w:shd w:val="clear" w:color="FFFFFF" w:fill="FFFFFF"/>
            <w:vAlign w:val="center"/>
          </w:tcPr>
          <w:p>
            <w:pPr>
              <w:pStyle w:val="11"/>
              <w:rPr>
                <w:rFonts w:eastAsia="仿宋_GB2312" w:cs="Times New Roman"/>
              </w:rPr>
            </w:pPr>
            <w:r>
              <w:rPr>
                <w:rFonts w:eastAsia="仿宋_GB2312" w:cs="Times New Roman"/>
              </w:rPr>
              <w:t>效益指标</w:t>
            </w:r>
          </w:p>
        </w:tc>
        <w:tc>
          <w:tcPr>
            <w:tcW w:w="997" w:type="dxa"/>
            <w:vMerge w:val="restart"/>
            <w:shd w:val="clear" w:color="FFFFFF" w:fill="FFFFFF"/>
            <w:vAlign w:val="center"/>
          </w:tcPr>
          <w:p>
            <w:pPr>
              <w:pStyle w:val="11"/>
              <w:rPr>
                <w:rFonts w:eastAsia="仿宋_GB2312" w:cs="Times New Roman"/>
              </w:rPr>
            </w:pPr>
            <w:r>
              <w:rPr>
                <w:rFonts w:eastAsia="仿宋_GB2312" w:cs="Times New Roman"/>
              </w:rPr>
              <w:t>社会效益指标</w:t>
            </w:r>
          </w:p>
        </w:tc>
        <w:tc>
          <w:tcPr>
            <w:tcW w:w="3560" w:type="dxa"/>
            <w:shd w:val="clear" w:color="FFFFFF" w:fill="FFFFFF"/>
            <w:vAlign w:val="center"/>
          </w:tcPr>
          <w:p>
            <w:pPr>
              <w:pStyle w:val="11"/>
              <w:rPr>
                <w:rFonts w:eastAsia="仿宋_GB2312" w:cs="Times New Roman"/>
              </w:rPr>
            </w:pPr>
            <w:r>
              <w:rPr>
                <w:rFonts w:eastAsia="仿宋_GB2312" w:cs="Times New Roman"/>
              </w:rPr>
              <w:t>物资投入使用率</w:t>
            </w:r>
          </w:p>
        </w:tc>
        <w:tc>
          <w:tcPr>
            <w:tcW w:w="1417" w:type="dxa"/>
            <w:shd w:val="clear" w:color="FFFFFF" w:fill="FFFFFF"/>
            <w:vAlign w:val="center"/>
          </w:tcPr>
          <w:p>
            <w:pPr>
              <w:pStyle w:val="11"/>
              <w:rPr>
                <w:rFonts w:eastAsia="仿宋_GB2312" w:cs="Times New Roman"/>
              </w:rPr>
            </w:pPr>
            <w:r>
              <w:rPr>
                <w:rFonts w:eastAsia="仿宋_GB2312" w:cs="Times New Roman"/>
              </w:rPr>
              <w:t>100%</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104" w:type="dxa"/>
            <w:vMerge w:val="continue"/>
            <w:vAlign w:val="center"/>
          </w:tcPr>
          <w:p>
            <w:pPr>
              <w:pStyle w:val="11"/>
              <w:rPr>
                <w:rFonts w:eastAsia="仿宋_GB2312" w:cs="Times New Roman"/>
              </w:rPr>
            </w:pPr>
          </w:p>
        </w:tc>
        <w:tc>
          <w:tcPr>
            <w:tcW w:w="997" w:type="dxa"/>
            <w:vMerge w:val="continue"/>
            <w:vAlign w:val="center"/>
          </w:tcPr>
          <w:p>
            <w:pPr>
              <w:pStyle w:val="11"/>
              <w:rPr>
                <w:rFonts w:eastAsia="仿宋_GB2312" w:cs="Times New Roman"/>
              </w:rPr>
            </w:pPr>
          </w:p>
        </w:tc>
        <w:tc>
          <w:tcPr>
            <w:tcW w:w="3560" w:type="dxa"/>
            <w:shd w:val="clear" w:color="FFFFFF" w:fill="FFFFFF"/>
            <w:vAlign w:val="center"/>
          </w:tcPr>
          <w:p>
            <w:pPr>
              <w:pStyle w:val="11"/>
              <w:rPr>
                <w:rFonts w:eastAsia="仿宋_GB2312" w:cs="Times New Roman"/>
              </w:rPr>
            </w:pPr>
            <w:r>
              <w:rPr>
                <w:rFonts w:eastAsia="仿宋_GB2312" w:cs="Times New Roman"/>
              </w:rPr>
              <w:t>成果使用率</w:t>
            </w:r>
          </w:p>
        </w:tc>
        <w:tc>
          <w:tcPr>
            <w:tcW w:w="1417" w:type="dxa"/>
            <w:shd w:val="clear" w:color="FFFFFF" w:fill="FFFFFF"/>
            <w:vAlign w:val="center"/>
          </w:tcPr>
          <w:p>
            <w:pPr>
              <w:pStyle w:val="11"/>
              <w:rPr>
                <w:rFonts w:eastAsia="仿宋_GB2312" w:cs="Times New Roman"/>
              </w:rPr>
            </w:pPr>
            <w:r>
              <w:rPr>
                <w:rFonts w:eastAsia="仿宋_GB2312" w:cs="Times New Roman"/>
              </w:rPr>
              <w:t>90%或以上</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104" w:type="dxa"/>
            <w:vMerge w:val="continue"/>
            <w:vAlign w:val="center"/>
          </w:tcPr>
          <w:p>
            <w:pPr>
              <w:pStyle w:val="11"/>
              <w:rPr>
                <w:rFonts w:eastAsia="仿宋_GB2312" w:cs="Times New Roman"/>
              </w:rPr>
            </w:pPr>
          </w:p>
        </w:tc>
        <w:tc>
          <w:tcPr>
            <w:tcW w:w="997" w:type="dxa"/>
            <w:vMerge w:val="continue"/>
            <w:vAlign w:val="center"/>
          </w:tcPr>
          <w:p>
            <w:pPr>
              <w:pStyle w:val="11"/>
              <w:rPr>
                <w:rFonts w:eastAsia="仿宋_GB2312" w:cs="Times New Roman"/>
              </w:rPr>
            </w:pPr>
          </w:p>
        </w:tc>
        <w:tc>
          <w:tcPr>
            <w:tcW w:w="3560" w:type="dxa"/>
            <w:shd w:val="clear" w:color="FFFFFF" w:fill="FFFFFF"/>
            <w:vAlign w:val="center"/>
          </w:tcPr>
          <w:p>
            <w:pPr>
              <w:pStyle w:val="11"/>
              <w:rPr>
                <w:rFonts w:eastAsia="仿宋_GB2312" w:cs="Times New Roman"/>
              </w:rPr>
            </w:pPr>
            <w:r>
              <w:rPr>
                <w:rFonts w:eastAsia="仿宋_GB2312" w:cs="Times New Roman"/>
              </w:rPr>
              <w:t>提出建议的采纳率</w:t>
            </w:r>
          </w:p>
        </w:tc>
        <w:tc>
          <w:tcPr>
            <w:tcW w:w="1417" w:type="dxa"/>
            <w:shd w:val="clear" w:color="FFFFFF" w:fill="FFFFFF"/>
            <w:vAlign w:val="center"/>
          </w:tcPr>
          <w:p>
            <w:pPr>
              <w:pStyle w:val="11"/>
              <w:rPr>
                <w:rFonts w:eastAsia="仿宋_GB2312" w:cs="Times New Roman"/>
              </w:rPr>
            </w:pPr>
            <w:r>
              <w:rPr>
                <w:rFonts w:eastAsia="仿宋_GB2312" w:cs="Times New Roman"/>
              </w:rPr>
              <w:t>60%或以上</w:t>
            </w:r>
          </w:p>
        </w:tc>
        <w:tc>
          <w:tcPr>
            <w:tcW w:w="2208" w:type="dxa"/>
            <w:shd w:val="clear" w:color="FFFFFF" w:fill="FFFFFF"/>
            <w:vAlign w:val="center"/>
          </w:tcPr>
          <w:p>
            <w:pPr>
              <w:pStyle w:val="11"/>
              <w:rPr>
                <w:rFonts w:eastAsia="仿宋_GB2312" w:cs="Times New Roman"/>
              </w:rPr>
            </w:pPr>
            <w:r>
              <w:rPr>
                <w:rFonts w:eastAsia="仿宋_GB2312" w:cs="Times New Roman"/>
              </w:rPr>
              <w:t>无意见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104" w:type="dxa"/>
            <w:vMerge w:val="continue"/>
            <w:vAlign w:val="center"/>
          </w:tcPr>
          <w:p>
            <w:pPr>
              <w:pStyle w:val="11"/>
              <w:rPr>
                <w:rFonts w:eastAsia="仿宋_GB2312" w:cs="Times New Roman"/>
              </w:rPr>
            </w:pPr>
          </w:p>
        </w:tc>
        <w:tc>
          <w:tcPr>
            <w:tcW w:w="997" w:type="dxa"/>
            <w:vMerge w:val="continue"/>
            <w:vAlign w:val="center"/>
          </w:tcPr>
          <w:p>
            <w:pPr>
              <w:pStyle w:val="11"/>
              <w:rPr>
                <w:rFonts w:eastAsia="仿宋_GB2312" w:cs="Times New Roman"/>
              </w:rPr>
            </w:pPr>
          </w:p>
        </w:tc>
        <w:tc>
          <w:tcPr>
            <w:tcW w:w="3560" w:type="dxa"/>
            <w:shd w:val="clear" w:color="FFFFFF" w:fill="FFFFFF"/>
            <w:vAlign w:val="center"/>
          </w:tcPr>
          <w:p>
            <w:pPr>
              <w:pStyle w:val="11"/>
              <w:rPr>
                <w:rFonts w:eastAsia="仿宋_GB2312" w:cs="Times New Roman"/>
              </w:rPr>
            </w:pPr>
            <w:r>
              <w:rPr>
                <w:rFonts w:eastAsia="仿宋_GB2312" w:cs="Times New Roman"/>
              </w:rPr>
              <w:t>投诉有效处理率</w:t>
            </w:r>
          </w:p>
        </w:tc>
        <w:tc>
          <w:tcPr>
            <w:tcW w:w="1417" w:type="dxa"/>
            <w:shd w:val="clear" w:color="FFFFFF" w:fill="FFFFFF"/>
            <w:vAlign w:val="center"/>
          </w:tcPr>
          <w:p>
            <w:pPr>
              <w:pStyle w:val="11"/>
              <w:rPr>
                <w:rFonts w:eastAsia="仿宋_GB2312" w:cs="Times New Roman"/>
              </w:rPr>
            </w:pPr>
            <w:r>
              <w:rPr>
                <w:rFonts w:eastAsia="仿宋_GB2312" w:cs="Times New Roman"/>
              </w:rPr>
              <w:t>90%或以上</w:t>
            </w:r>
          </w:p>
        </w:tc>
        <w:tc>
          <w:tcPr>
            <w:tcW w:w="2208" w:type="dxa"/>
            <w:shd w:val="clear" w:color="FFFFFF" w:fill="FFFFFF"/>
            <w:vAlign w:val="center"/>
          </w:tcPr>
          <w:p>
            <w:pPr>
              <w:pStyle w:val="11"/>
              <w:rPr>
                <w:rFonts w:eastAsia="仿宋_GB2312" w:cs="Times New Roman"/>
              </w:rPr>
            </w:pPr>
            <w:r>
              <w:rPr>
                <w:rFonts w:eastAsia="仿宋_GB2312" w:cs="Times New Roman"/>
              </w:rPr>
              <w:t>无投诉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104" w:type="dxa"/>
            <w:shd w:val="clear" w:color="FFFFFF" w:fill="FFFFFF"/>
            <w:vAlign w:val="center"/>
          </w:tcPr>
          <w:p>
            <w:pPr>
              <w:pStyle w:val="11"/>
              <w:rPr>
                <w:rFonts w:eastAsia="仿宋_GB2312" w:cs="Times New Roman"/>
              </w:rPr>
            </w:pPr>
            <w:r>
              <w:rPr>
                <w:rFonts w:eastAsia="仿宋_GB2312" w:cs="Times New Roman"/>
              </w:rPr>
              <w:t>满意度指标</w:t>
            </w:r>
          </w:p>
        </w:tc>
        <w:tc>
          <w:tcPr>
            <w:tcW w:w="997" w:type="dxa"/>
            <w:shd w:val="clear" w:color="FFFFFF" w:fill="FFFFFF"/>
            <w:vAlign w:val="center"/>
          </w:tcPr>
          <w:p>
            <w:pPr>
              <w:pStyle w:val="11"/>
              <w:rPr>
                <w:rFonts w:eastAsia="仿宋_GB2312" w:cs="Times New Roman"/>
              </w:rPr>
            </w:pPr>
            <w:r>
              <w:rPr>
                <w:rFonts w:eastAsia="仿宋_GB2312" w:cs="Times New Roman"/>
              </w:rPr>
              <w:t>服务对象满意度指标</w:t>
            </w:r>
          </w:p>
        </w:tc>
        <w:tc>
          <w:tcPr>
            <w:tcW w:w="3560" w:type="dxa"/>
            <w:shd w:val="clear" w:color="FFFFFF" w:fill="FFFFFF"/>
            <w:vAlign w:val="center"/>
          </w:tcPr>
          <w:p>
            <w:pPr>
              <w:pStyle w:val="11"/>
              <w:rPr>
                <w:rFonts w:eastAsia="仿宋_GB2312" w:cs="Times New Roman"/>
              </w:rPr>
            </w:pPr>
            <w:r>
              <w:rPr>
                <w:rFonts w:eastAsia="仿宋_GB2312" w:cs="Times New Roman"/>
              </w:rPr>
              <w:t>综合满意度</w:t>
            </w:r>
          </w:p>
        </w:tc>
        <w:tc>
          <w:tcPr>
            <w:tcW w:w="1417" w:type="dxa"/>
            <w:shd w:val="clear" w:color="FFFFFF" w:fill="FFFFFF"/>
            <w:vAlign w:val="center"/>
          </w:tcPr>
          <w:p>
            <w:pPr>
              <w:pStyle w:val="11"/>
              <w:rPr>
                <w:rFonts w:eastAsia="仿宋_GB2312" w:cs="Times New Roman"/>
              </w:rPr>
            </w:pPr>
            <w:r>
              <w:rPr>
                <w:rFonts w:eastAsia="仿宋_GB2312" w:cs="Times New Roman"/>
              </w:rPr>
              <w:t>90%或以上</w:t>
            </w:r>
          </w:p>
        </w:tc>
        <w:tc>
          <w:tcPr>
            <w:tcW w:w="2208" w:type="dxa"/>
            <w:shd w:val="clear" w:color="FFFFFF" w:fill="FFFFFF"/>
            <w:vAlign w:val="center"/>
          </w:tcPr>
          <w:p>
            <w:pPr>
              <w:pStyle w:val="11"/>
              <w:rPr>
                <w:rFonts w:eastAsia="仿宋_GB2312" w:cs="Times New Roman"/>
              </w:rPr>
            </w:pPr>
            <w:r>
              <w:rPr>
                <w:rFonts w:eastAsia="仿宋_GB2312" w:cs="Times New Roman"/>
              </w:rPr>
              <w:t>100%</w:t>
            </w:r>
          </w:p>
        </w:tc>
      </w:tr>
    </w:tbl>
    <w:p>
      <w:pPr>
        <w:pStyle w:val="8"/>
        <w:ind w:firstLine="643"/>
      </w:pPr>
      <w:r>
        <w:rPr>
          <w:rFonts w:hint="eastAsia"/>
        </w:rPr>
        <w:t>三、部门主要绩效</w:t>
      </w:r>
    </w:p>
    <w:p>
      <w:pPr>
        <w:pStyle w:val="10"/>
        <w:ind w:firstLine="643"/>
        <w:rPr>
          <w:snapToGrid w:val="0"/>
        </w:rPr>
      </w:pPr>
      <w:bookmarkStart w:id="0" w:name="_Toc146238099"/>
      <w:r>
        <w:rPr>
          <w:rFonts w:hint="eastAsia"/>
          <w:snapToGrid w:val="0"/>
        </w:rPr>
        <w:t>（一）要素资源加速聚集，加快推进重大项目落地</w:t>
      </w:r>
      <w:bookmarkEnd w:id="0"/>
    </w:p>
    <w:p>
      <w:pPr>
        <w:pStyle w:val="9"/>
        <w:ind w:firstLine="640"/>
      </w:pPr>
      <w:r>
        <w:rPr>
          <w:rFonts w:hint="eastAsia"/>
        </w:rPr>
        <w:t>2</w:t>
      </w:r>
      <w:r>
        <w:t>022</w:t>
      </w:r>
      <w:r>
        <w:rPr>
          <w:rFonts w:hint="eastAsia"/>
        </w:rPr>
        <w:t>年，经济开发区管理委员会完成联合利华二期、世盛包装、联合利华大湾区分装及供应链基地、药物非临床评价和创新药物研发平台、本立开关、华农大功能性乳品等8个项目的用地出让工作，相关项目预计总投资37亿元，建成达产后预计可实现产值约94亿元，每年纳税约7.5亿元。为企业能早日动工投产，经济开发区管理委员会加快项目落地速度，如150天内完成联合利华华南生产和营销基地项目从签约落户到“熟地”出让、拿地开工；16天内完成二期土地全部报建手续顺利并取得施工许可证，为企业创造效益争取更多时间。</w:t>
      </w:r>
    </w:p>
    <w:p>
      <w:pPr>
        <w:pStyle w:val="10"/>
        <w:ind w:firstLine="643"/>
        <w:rPr>
          <w:snapToGrid w:val="0"/>
        </w:rPr>
      </w:pPr>
      <w:bookmarkStart w:id="1" w:name="_Toc146238100"/>
      <w:r>
        <w:rPr>
          <w:rFonts w:hint="eastAsia"/>
          <w:snapToGrid w:val="0"/>
        </w:rPr>
        <w:t>（二）平台建设能级跃升，为建设现代化从化注入新动能</w:t>
      </w:r>
      <w:bookmarkEnd w:id="1"/>
    </w:p>
    <w:p>
      <w:pPr>
        <w:pStyle w:val="9"/>
        <w:ind w:firstLine="640"/>
      </w:pPr>
      <w:r>
        <w:rPr>
          <w:rFonts w:hint="eastAsia"/>
        </w:rPr>
        <w:t>一是以联合利华集团全国首个全品类生产和营销基地项目为核心，全力打造都市消费品平台；二是依托广东莱恩医药拥有的华南最大G</w:t>
      </w:r>
      <w:r>
        <w:t>LP</w:t>
      </w:r>
      <w:r>
        <w:rPr>
          <w:rFonts w:hint="eastAsia"/>
        </w:rPr>
        <w:t>评价研究技术平台以及从化拥有全国最大的食蟹猴养殖基地等资源有数打造粤港</w:t>
      </w:r>
      <w:r>
        <w:rPr>
          <w:rFonts w:hint="eastAsia"/>
          <w:lang w:val="en-US" w:eastAsia="zh-CN"/>
        </w:rPr>
        <w:t>澳</w:t>
      </w:r>
      <w:r>
        <w:rPr>
          <w:rFonts w:hint="eastAsia"/>
        </w:rPr>
        <w:t>大湾区（从化）生物医药产业创新平台。</w:t>
      </w:r>
      <w:bookmarkStart w:id="12" w:name="_GoBack"/>
      <w:bookmarkEnd w:id="12"/>
    </w:p>
    <w:p>
      <w:pPr>
        <w:pStyle w:val="10"/>
        <w:ind w:firstLine="643"/>
        <w:rPr>
          <w:rFonts w:ascii="仿宋" w:hAnsi="仿宋" w:eastAsia="仿宋"/>
        </w:rPr>
      </w:pPr>
      <w:bookmarkStart w:id="2" w:name="_Toc146238101"/>
      <w:r>
        <w:rPr>
          <w:rFonts w:hint="eastAsia"/>
          <w:snapToGrid w:val="0"/>
        </w:rPr>
        <w:t>（三）基础配套设施建设推进顺利，夯实产业发展与生产生活基础</w:t>
      </w:r>
      <w:bookmarkEnd w:id="2"/>
    </w:p>
    <w:p>
      <w:pPr>
        <w:pStyle w:val="9"/>
        <w:ind w:firstLine="640"/>
      </w:pPr>
      <w:r>
        <w:rPr>
          <w:rFonts w:hint="eastAsia" w:ascii="仿宋_GB2312" w:hAnsi="宋体" w:cs="宋体"/>
          <w:kern w:val="0"/>
        </w:rPr>
        <w:t>2022年完工项目共18个，包括立白污水管网排放系统及提升泵站工程、明珠工业园吉祥大道延长段工程、明珠工业园聚宝片区市政管网改造工程等重大工程。</w:t>
      </w:r>
      <w:r>
        <w:rPr>
          <w:rFonts w:hint="eastAsia" w:ascii="仿宋_GB2312" w:hAnsi="宋体" w:cs="宋体"/>
          <w:color w:val="000000"/>
          <w:kern w:val="0"/>
        </w:rPr>
        <w:t>2</w:t>
      </w:r>
      <w:r>
        <w:rPr>
          <w:rFonts w:hint="eastAsia"/>
          <w:color w:val="000000"/>
        </w:rPr>
        <w:t>022年共完成基础设施投资5.21亿元，</w:t>
      </w:r>
      <w:r>
        <w:rPr>
          <w:rFonts w:hint="eastAsia"/>
        </w:rPr>
        <w:t>在建项目共16个</w:t>
      </w:r>
      <w:r>
        <w:rPr>
          <w:rFonts w:hint="eastAsia"/>
          <w:color w:val="000000"/>
        </w:rPr>
        <w:t>，</w:t>
      </w:r>
      <w:r>
        <w:rPr>
          <w:rFonts w:hint="eastAsia"/>
        </w:rPr>
        <w:t>包括涉及仙迪、珠江电缆、蓝盾等项目地块的市政配套道路的从化区低丘缓坡土地综合开发利用太平工业园片区一期市政工程已进场施工；涉及联合利华、大唐发电项目落地的明珠工业园东片区宝珠大道北侧基础设施工程已完成76%；涉及黄从合作区等项目的明珠智慧产业园基础设施工程已完成76%；其他工程项目亦有序推进。</w:t>
      </w:r>
    </w:p>
    <w:p>
      <w:pPr>
        <w:pStyle w:val="8"/>
        <w:ind w:firstLine="643"/>
      </w:pPr>
      <w:r>
        <w:rPr>
          <w:rFonts w:hint="eastAsia"/>
        </w:rPr>
        <w:t>四、存在问题</w:t>
      </w:r>
    </w:p>
    <w:p>
      <w:pPr>
        <w:pStyle w:val="9"/>
        <w:ind w:firstLine="640"/>
      </w:pPr>
      <w:r>
        <w:rPr>
          <w:rFonts w:hint="eastAsia"/>
        </w:rPr>
        <w:t>总体来看，2</w:t>
      </w:r>
      <w:r>
        <w:t>022</w:t>
      </w:r>
      <w:r>
        <w:rPr>
          <w:rFonts w:hint="eastAsia"/>
        </w:rPr>
        <w:t>年经济开发区管理委员会基本按计划推进项目落地和建设，但在预算绩效管理水平、合同管理、资金支出规范性、工程造价管理等方面存在不足，具体如下：</w:t>
      </w:r>
    </w:p>
    <w:p>
      <w:pPr>
        <w:pStyle w:val="10"/>
        <w:ind w:firstLine="643"/>
        <w:rPr>
          <w:snapToGrid w:val="0"/>
        </w:rPr>
      </w:pPr>
      <w:bookmarkStart w:id="3" w:name="_Toc146238103"/>
      <w:r>
        <w:rPr>
          <w:rFonts w:hint="eastAsia"/>
          <w:snapToGrid w:val="0"/>
        </w:rPr>
        <w:t>（一）</w:t>
      </w:r>
      <w:r>
        <w:rPr>
          <w:snapToGrid w:val="0"/>
        </w:rPr>
        <w:t>部分项目工程造价不准确</w:t>
      </w:r>
      <w:bookmarkEnd w:id="3"/>
    </w:p>
    <w:p>
      <w:pPr>
        <w:pStyle w:val="9"/>
        <w:ind w:firstLine="640"/>
      </w:pPr>
      <w:r>
        <w:rPr>
          <w:rFonts w:hint="eastAsia"/>
        </w:rPr>
        <w:t>部分项目工程造价不准确，</w:t>
      </w:r>
      <w:r>
        <w:t>项目总投资变更幅度较大，影响预算编制的精准性。如从化高技术产业园三期D地块土石方挖填工程（二标段）项目概算1976.45万元。该项目于2012年招标，中标价1351.88万元。项目竣工验收后，结算审定金额1630.94万元，与合同价相比，增加20.64%；与项目概算金额相比，减少17.48%。</w:t>
      </w:r>
    </w:p>
    <w:p>
      <w:pPr>
        <w:pStyle w:val="10"/>
        <w:ind w:firstLine="643"/>
        <w:rPr>
          <w:rFonts w:cs="Times New Roman"/>
          <w:snapToGrid w:val="0"/>
        </w:rPr>
      </w:pPr>
      <w:bookmarkStart w:id="4" w:name="_Toc146238104"/>
      <w:r>
        <w:rPr>
          <w:rFonts w:cs="Times New Roman"/>
          <w:snapToGrid w:val="0"/>
        </w:rPr>
        <w:t>（</w:t>
      </w:r>
      <w:r>
        <w:rPr>
          <w:rFonts w:hint="eastAsia" w:cs="Times New Roman"/>
          <w:snapToGrid w:val="0"/>
        </w:rPr>
        <w:t>二</w:t>
      </w:r>
      <w:r>
        <w:rPr>
          <w:rFonts w:cs="Times New Roman"/>
          <w:snapToGrid w:val="0"/>
        </w:rPr>
        <w:t>）合同管理不够完善</w:t>
      </w:r>
      <w:bookmarkEnd w:id="4"/>
    </w:p>
    <w:p>
      <w:pPr>
        <w:pStyle w:val="9"/>
        <w:ind w:firstLine="643"/>
        <w:rPr>
          <w:rFonts w:cs="Times New Roman"/>
          <w:snapToGrid w:val="0"/>
          <w:kern w:val="0"/>
          <w:szCs w:val="32"/>
        </w:rPr>
      </w:pPr>
      <w:r>
        <w:rPr>
          <w:rFonts w:hint="eastAsia" w:cs="Times New Roman"/>
          <w:b/>
          <w:bCs/>
          <w:snapToGrid w:val="0"/>
          <w:kern w:val="0"/>
          <w:szCs w:val="32"/>
        </w:rPr>
        <w:t>一是</w:t>
      </w:r>
      <w:r>
        <w:rPr>
          <w:rFonts w:cs="Times New Roman"/>
          <w:b/>
          <w:bCs/>
          <w:snapToGrid w:val="0"/>
          <w:kern w:val="0"/>
          <w:szCs w:val="32"/>
        </w:rPr>
        <w:t>部分合同逾期付款违约金设置过高。</w:t>
      </w:r>
      <w:r>
        <w:rPr>
          <w:rFonts w:cs="Times New Roman"/>
          <w:snapToGrid w:val="0"/>
          <w:kern w:val="0"/>
          <w:szCs w:val="32"/>
        </w:rPr>
        <w:t>如“高新区产业园罗洞水支流整治服务项目”合同金额182.25万元，合同约定“若甲方逾期未支付费用，每逾期一天按照未付金额的2%计付逾期付款违约金。”且未约定违约金上限。根据《最高人民法院关于逾期付款违约金应当按照何种标准计算问题的批复》,对于合同当事人没有约定逾期还款或付款违约金标准的,可以要求违约金,该违约金可以参照中国人民银行规定的金融机构计收逾期贷款利息的标准计算，违约金计算方式为：在</w:t>
      </w:r>
      <w:r>
        <w:fldChar w:fldCharType="begin"/>
      </w:r>
      <w:r>
        <w:instrText xml:space="preserve"> HYPERLINK "https://www.64365.com/contract/jkht1/" \t "_blank" \o "借款合同" </w:instrText>
      </w:r>
      <w:r>
        <w:fldChar w:fldCharType="separate"/>
      </w:r>
      <w:r>
        <w:rPr>
          <w:rFonts w:cs="Times New Roman"/>
          <w:snapToGrid w:val="0"/>
          <w:kern w:val="0"/>
          <w:szCs w:val="32"/>
        </w:rPr>
        <w:t>借款合同</w:t>
      </w:r>
      <w:r>
        <w:rPr>
          <w:rFonts w:cs="Times New Roman"/>
          <w:snapToGrid w:val="0"/>
          <w:kern w:val="0"/>
          <w:szCs w:val="32"/>
        </w:rPr>
        <w:fldChar w:fldCharType="end"/>
      </w:r>
      <w:r>
        <w:rPr>
          <w:rFonts w:cs="Times New Roman"/>
          <w:snapToGrid w:val="0"/>
          <w:kern w:val="0"/>
          <w:szCs w:val="32"/>
        </w:rPr>
        <w:t>载明的贷款利率水平上加收30%-50%，但不得超过中国人民</w:t>
      </w:r>
      <w:r>
        <w:fldChar w:fldCharType="begin"/>
      </w:r>
      <w:r>
        <w:instrText xml:space="preserve"> HYPERLINK "https://www.64365.com/baike/yhdkll/" \t "_blank" \o "银行贷款利率" </w:instrText>
      </w:r>
      <w:r>
        <w:fldChar w:fldCharType="separate"/>
      </w:r>
      <w:r>
        <w:rPr>
          <w:rFonts w:cs="Times New Roman"/>
          <w:snapToGrid w:val="0"/>
          <w:kern w:val="0"/>
          <w:szCs w:val="32"/>
        </w:rPr>
        <w:t>银行贷款利率</w:t>
      </w:r>
      <w:r>
        <w:rPr>
          <w:rFonts w:cs="Times New Roman"/>
          <w:snapToGrid w:val="0"/>
          <w:kern w:val="0"/>
          <w:szCs w:val="32"/>
        </w:rPr>
        <w:fldChar w:fldCharType="end"/>
      </w:r>
      <w:r>
        <w:rPr>
          <w:rFonts w:cs="Times New Roman"/>
          <w:snapToGrid w:val="0"/>
          <w:kern w:val="0"/>
          <w:szCs w:val="32"/>
        </w:rPr>
        <w:t>（约每日万分之二点一）的4倍</w:t>
      </w:r>
      <w:r>
        <w:rPr>
          <w:rFonts w:hint="eastAsia" w:cs="Times New Roman" w:eastAsiaTheme="minorEastAsia"/>
          <w:color w:val="333333"/>
          <w:sz w:val="21"/>
          <w:szCs w:val="21"/>
        </w:rPr>
        <w:t>，</w:t>
      </w:r>
      <w:r>
        <w:rPr>
          <w:rFonts w:cs="Times New Roman"/>
          <w:snapToGrid w:val="0"/>
          <w:kern w:val="0"/>
          <w:szCs w:val="32"/>
        </w:rPr>
        <w:t>该项目合同所约定的每日</w:t>
      </w:r>
      <w:r>
        <w:rPr>
          <w:rFonts w:hint="eastAsia" w:cs="Times New Roman"/>
          <w:snapToGrid w:val="0"/>
          <w:kern w:val="0"/>
          <w:szCs w:val="32"/>
        </w:rPr>
        <w:t>2</w:t>
      </w:r>
      <w:r>
        <w:rPr>
          <w:rFonts w:cs="Times New Roman"/>
          <w:snapToGrid w:val="0"/>
          <w:kern w:val="0"/>
          <w:szCs w:val="32"/>
        </w:rPr>
        <w:t>%的逾期付款违约金标准过高。</w:t>
      </w:r>
    </w:p>
    <w:p>
      <w:pPr>
        <w:pStyle w:val="9"/>
        <w:ind w:firstLine="643"/>
        <w:rPr>
          <w:rFonts w:cs="Times New Roman"/>
          <w:snapToGrid w:val="0"/>
          <w:kern w:val="0"/>
          <w:szCs w:val="32"/>
        </w:rPr>
      </w:pPr>
      <w:r>
        <w:rPr>
          <w:rFonts w:hint="eastAsia" w:cs="Times New Roman"/>
          <w:b/>
          <w:bCs/>
          <w:snapToGrid w:val="0"/>
          <w:kern w:val="0"/>
          <w:szCs w:val="32"/>
        </w:rPr>
        <w:t>二是</w:t>
      </w:r>
      <w:r>
        <w:rPr>
          <w:rFonts w:cs="Times New Roman"/>
          <w:b/>
          <w:bCs/>
          <w:snapToGrid w:val="0"/>
          <w:kern w:val="0"/>
          <w:szCs w:val="32"/>
        </w:rPr>
        <w:t>部分合同约定无需验收成果。</w:t>
      </w:r>
      <w:r>
        <w:rPr>
          <w:rFonts w:cs="Times New Roman"/>
          <w:snapToGrid w:val="0"/>
          <w:kern w:val="0"/>
          <w:szCs w:val="32"/>
        </w:rPr>
        <w:t>如“审计服务定点议价采购合同”在验收条款方面约定乙方出具的《专项债项目收益和融资自求平衡评价报告》“不需要验收。”考虑到明珠智慧产业园项目的《收益与融资自求平衡专项评价报告》其论证存在多处不合理之处（详见《明珠智慧产业园建设项目绩效评价报告》），对专项债相关项目的《收益与融资自求平衡评价报告》进行验收是必要的。</w:t>
      </w:r>
    </w:p>
    <w:p>
      <w:pPr>
        <w:pStyle w:val="10"/>
        <w:ind w:firstLine="643"/>
        <w:rPr>
          <w:snapToGrid w:val="0"/>
        </w:rPr>
      </w:pPr>
      <w:bookmarkStart w:id="5" w:name="_Toc146238105"/>
      <w:bookmarkStart w:id="6" w:name="_Toc143268572"/>
      <w:r>
        <w:rPr>
          <w:rFonts w:hint="eastAsia"/>
          <w:snapToGrid w:val="0"/>
        </w:rPr>
        <w:t>（三）预算绩效管理水平有待提升</w:t>
      </w:r>
      <w:bookmarkEnd w:id="5"/>
    </w:p>
    <w:bookmarkEnd w:id="6"/>
    <w:p>
      <w:pPr>
        <w:pStyle w:val="9"/>
        <w:ind w:firstLine="640"/>
        <w:rPr>
          <w:rFonts w:cs="Times New Roman"/>
          <w:snapToGrid w:val="0"/>
          <w:kern w:val="0"/>
          <w:szCs w:val="32"/>
        </w:rPr>
      </w:pPr>
      <w:r>
        <w:rPr>
          <w:rFonts w:hint="eastAsia" w:cs="Times New Roman"/>
          <w:snapToGrid w:val="0"/>
          <w:kern w:val="0"/>
          <w:szCs w:val="32"/>
        </w:rPr>
        <w:t>一是</w:t>
      </w:r>
      <w:r>
        <w:rPr>
          <w:rFonts w:cs="Times New Roman"/>
          <w:snapToGrid w:val="0"/>
          <w:kern w:val="0"/>
          <w:szCs w:val="32"/>
        </w:rPr>
        <w:t>绩效目标管理不规范。</w:t>
      </w:r>
      <w:r>
        <w:rPr>
          <w:rFonts w:hint="eastAsia" w:cs="Times New Roman"/>
          <w:snapToGrid w:val="0"/>
          <w:kern w:val="0"/>
          <w:szCs w:val="32"/>
        </w:rPr>
        <w:t>一方面</w:t>
      </w:r>
      <w:r>
        <w:rPr>
          <w:rFonts w:cs="Times New Roman"/>
          <w:snapToGrid w:val="0"/>
          <w:kern w:val="0"/>
          <w:szCs w:val="32"/>
        </w:rPr>
        <w:t>，部分部门重点工作未设置相关指标，如未设置年度重点工作“做好土地收储工作”的相关指标，未设置部门职责“招商引资工作”相关指标</w:t>
      </w:r>
      <w:r>
        <w:rPr>
          <w:rFonts w:hint="eastAsia" w:cs="Times New Roman"/>
          <w:snapToGrid w:val="0"/>
          <w:kern w:val="0"/>
          <w:szCs w:val="32"/>
        </w:rPr>
        <w:t>；另一方面</w:t>
      </w:r>
      <w:r>
        <w:rPr>
          <w:rFonts w:cs="Times New Roman"/>
          <w:snapToGrid w:val="0"/>
          <w:kern w:val="0"/>
          <w:szCs w:val="32"/>
        </w:rPr>
        <w:t>，未设置产出成本指标，如可设置“工程项目决算价与概算价相差±10%”。</w:t>
      </w:r>
    </w:p>
    <w:p>
      <w:pPr>
        <w:pStyle w:val="9"/>
        <w:ind w:firstLine="640"/>
        <w:rPr>
          <w:rFonts w:cs="Times New Roman"/>
          <w:snapToGrid w:val="0"/>
          <w:kern w:val="0"/>
          <w:szCs w:val="32"/>
        </w:rPr>
      </w:pPr>
      <w:r>
        <w:rPr>
          <w:rFonts w:hint="eastAsia" w:cs="Times New Roman"/>
          <w:snapToGrid w:val="0"/>
          <w:kern w:val="0"/>
          <w:szCs w:val="32"/>
        </w:rPr>
        <w:t>二是自评报告有待完善。存在</w:t>
      </w:r>
      <w:r>
        <w:rPr>
          <w:rFonts w:cs="Times New Roman"/>
          <w:kern w:val="0"/>
        </w:rPr>
        <w:t>自评报告未针对绩效指标逐一总结，自评报告资金统计口径与决算报表不符，</w:t>
      </w:r>
      <w:r>
        <w:rPr>
          <w:rFonts w:hint="eastAsia" w:cs="Times New Roman"/>
          <w:kern w:val="0"/>
        </w:rPr>
        <w:t>应扣分指标未扣分等问题。</w:t>
      </w:r>
    </w:p>
    <w:p>
      <w:pPr>
        <w:pStyle w:val="10"/>
        <w:ind w:firstLine="643"/>
        <w:rPr>
          <w:rFonts w:cs="Times New Roman"/>
        </w:rPr>
      </w:pPr>
      <w:bookmarkStart w:id="7" w:name="_Toc146238106"/>
      <w:r>
        <w:rPr>
          <w:rFonts w:cs="Times New Roman"/>
        </w:rPr>
        <w:t>（</w:t>
      </w:r>
      <w:r>
        <w:rPr>
          <w:rFonts w:hint="eastAsia" w:cs="Times New Roman"/>
        </w:rPr>
        <w:t>四</w:t>
      </w:r>
      <w:r>
        <w:rPr>
          <w:rFonts w:cs="Times New Roman"/>
        </w:rPr>
        <w:t>）部分资金支出不够规范，资金监管有待加强</w:t>
      </w:r>
      <w:bookmarkEnd w:id="7"/>
    </w:p>
    <w:p>
      <w:pPr>
        <w:pStyle w:val="9"/>
        <w:ind w:firstLine="643"/>
        <w:rPr>
          <w:rFonts w:cs="Times New Roman"/>
        </w:rPr>
      </w:pPr>
      <w:r>
        <w:rPr>
          <w:rFonts w:cs="Times New Roman"/>
          <w:b/>
          <w:bCs/>
        </w:rPr>
        <w:t>一是财务资料管理有待规范。</w:t>
      </w:r>
      <w:r>
        <w:rPr>
          <w:rFonts w:cs="Times New Roman"/>
        </w:rPr>
        <w:t>现场评价发现，部门2022年的会计账簿为散乱状态，会计账簿未按政府会计准则与制度的规定按年装订归档。</w:t>
      </w:r>
    </w:p>
    <w:p>
      <w:pPr>
        <w:pStyle w:val="9"/>
        <w:ind w:firstLine="643"/>
        <w:rPr>
          <w:rFonts w:cs="Times New Roman"/>
        </w:rPr>
      </w:pPr>
      <w:r>
        <w:rPr>
          <w:rFonts w:cs="Times New Roman"/>
          <w:b/>
          <w:bCs/>
        </w:rPr>
        <w:t>二是部分费用记账科目错误。</w:t>
      </w:r>
      <w:r>
        <w:rPr>
          <w:rFonts w:cs="Times New Roman"/>
        </w:rPr>
        <w:t>如12月9号凭证，支付配变电工程尾款，未入在建工程，却入业务活动费，会计记账错误。</w:t>
      </w:r>
    </w:p>
    <w:p>
      <w:pPr>
        <w:pStyle w:val="9"/>
        <w:ind w:firstLine="643"/>
        <w:rPr>
          <w:rFonts w:cs="Times New Roman"/>
        </w:rPr>
      </w:pPr>
      <w:r>
        <w:rPr>
          <w:rFonts w:hint="eastAsia" w:cs="Times New Roman"/>
          <w:b/>
          <w:bCs/>
        </w:rPr>
        <w:t>三</w:t>
      </w:r>
      <w:r>
        <w:rPr>
          <w:rFonts w:cs="Times New Roman"/>
          <w:b/>
          <w:bCs/>
        </w:rPr>
        <w:t>是部分费用会计核算错误。</w:t>
      </w:r>
      <w:r>
        <w:rPr>
          <w:rFonts w:cs="Times New Roman"/>
        </w:rPr>
        <w:t>如7月15号凭证，接收无偿调拨资产，其剩余使用寿命8年，但部门将该资产全部计提折旧，会计核算错误，贷方应计入无偿调拨净资产。</w:t>
      </w:r>
    </w:p>
    <w:p>
      <w:pPr>
        <w:pStyle w:val="9"/>
        <w:ind w:firstLine="643"/>
      </w:pPr>
      <w:r>
        <w:rPr>
          <w:rFonts w:hint="eastAsia" w:cs="Times New Roman"/>
          <w:b/>
          <w:bCs/>
        </w:rPr>
        <w:t>四是</w:t>
      </w:r>
      <w:r>
        <w:rPr>
          <w:rFonts w:cs="Times New Roman"/>
          <w:b/>
          <w:bCs/>
        </w:rPr>
        <w:t>部分工程项目支付进度滞后</w:t>
      </w:r>
      <w:r>
        <w:rPr>
          <w:rFonts w:cs="Times New Roman"/>
        </w:rPr>
        <w:t>。如12月2号凭证，支付明珠工业园市政零星工程进度款，该项目</w:t>
      </w:r>
      <w:r>
        <w:rPr>
          <w:rFonts w:hint="eastAsia" w:cs="Times New Roman"/>
        </w:rPr>
        <w:t>于</w:t>
      </w:r>
      <w:r>
        <w:rPr>
          <w:rFonts w:cs="Times New Roman"/>
        </w:rPr>
        <w:t>2021年10月18日竣工验收，根据合同约定，竣工验收后应支付至合同价的80%，但该项目至2022年12月才支付至</w:t>
      </w:r>
      <w:r>
        <w:rPr>
          <w:rFonts w:hint="eastAsia" w:cs="Times New Roman"/>
        </w:rPr>
        <w:t>合同价的</w:t>
      </w:r>
      <w:r>
        <w:rPr>
          <w:rFonts w:cs="Times New Roman"/>
        </w:rPr>
        <w:t>60%。</w:t>
      </w:r>
    </w:p>
    <w:p>
      <w:pPr>
        <w:pStyle w:val="8"/>
        <w:ind w:firstLine="643"/>
      </w:pPr>
      <w:r>
        <w:rPr>
          <w:rFonts w:hint="eastAsia"/>
        </w:rPr>
        <w:t>五、相关建议</w:t>
      </w:r>
    </w:p>
    <w:p>
      <w:pPr>
        <w:pStyle w:val="10"/>
        <w:ind w:firstLine="643"/>
        <w:rPr>
          <w:rFonts w:cs="Times New Roman"/>
        </w:rPr>
      </w:pPr>
      <w:bookmarkStart w:id="8" w:name="_Toc146238108"/>
      <w:r>
        <w:rPr>
          <w:rFonts w:hint="eastAsia" w:cs="Times New Roman"/>
        </w:rPr>
        <w:t>（一）做实项目前期工作，加强对设计任务的审核把关</w:t>
      </w:r>
      <w:bookmarkEnd w:id="8"/>
    </w:p>
    <w:p>
      <w:pPr>
        <w:pStyle w:val="9"/>
        <w:ind w:firstLine="640"/>
        <w:rPr>
          <w:rFonts w:cs="Times New Roman"/>
        </w:rPr>
      </w:pPr>
      <w:r>
        <w:rPr>
          <w:rFonts w:hint="eastAsia" w:cs="Times New Roman"/>
        </w:rPr>
        <w:t>一是建议做实项目前期概算编制、审查工作。建设单位要充分认识、高度重视项目前工作的重要性，充分做好项目勘察工作，委托有资质的设计单位进行初步设计，并加强项目概算的审查工作，对难度高、投资大的项目需经咨询机构评估、专家评议、风险评估等科学论证；二是建议加强对设计任务的审核把关，促使提高设计深度，尽可能以经图审的施工图进行施工招投标工作，保证清单项目特征的准确性和清单内容的全面性，并采取措施保证工程量清单及控制价编制质量，减少工程项目预算、结算因清单编制不准确导致建设费用与概算金额差距较大的风险。</w:t>
      </w:r>
    </w:p>
    <w:p>
      <w:pPr>
        <w:pStyle w:val="10"/>
        <w:ind w:firstLine="643"/>
      </w:pPr>
      <w:bookmarkStart w:id="9" w:name="_Toc146238109"/>
      <w:r>
        <w:rPr>
          <w:rFonts w:hint="eastAsia"/>
        </w:rPr>
        <w:t>（二）加强内控制度，完善合同管理</w:t>
      </w:r>
      <w:bookmarkEnd w:id="9"/>
    </w:p>
    <w:p>
      <w:pPr>
        <w:pStyle w:val="9"/>
        <w:ind w:firstLine="643"/>
      </w:pPr>
      <w:r>
        <w:rPr>
          <w:rFonts w:hint="eastAsia"/>
          <w:b/>
          <w:bCs/>
        </w:rPr>
        <w:t>一</w:t>
      </w:r>
      <w:r>
        <w:rPr>
          <w:rFonts w:hint="eastAsia"/>
        </w:rPr>
        <w:t>是建议完善内控制度，聘请专业法务对相关合同进行严格审核并根据法务意见完善合同；二是建议加强对报告类项目的验收，对报告质量进行审核并在合同条款中进行约定，如增设付费金额与报告质量挂钩的条款，加强乙方对报告质量的控制。</w:t>
      </w:r>
    </w:p>
    <w:p>
      <w:pPr>
        <w:pStyle w:val="10"/>
        <w:ind w:firstLine="643"/>
      </w:pPr>
      <w:bookmarkStart w:id="10" w:name="_Toc146238110"/>
      <w:r>
        <w:rPr>
          <w:rFonts w:hint="eastAsia"/>
        </w:rPr>
        <w:t>（三）优化预算编制工作，规范绩效梳理考核</w:t>
      </w:r>
      <w:bookmarkEnd w:id="10"/>
    </w:p>
    <w:p>
      <w:pPr>
        <w:pStyle w:val="9"/>
        <w:ind w:firstLine="640"/>
      </w:pPr>
      <w:r>
        <w:rPr>
          <w:rFonts w:hint="eastAsia"/>
        </w:rPr>
        <w:t>绩效目标方面，建议单位在填报部门绩效目标时，提升目标设定的合理性及填报的规范性。一方面，建议经济开发区管理委员会首先对本部门职责、长期工作规划、本年度工作计划进行列举、分析，对共性的工作进行汇总，归并。在形成清单后，建议部门考虑往年工作成果情况、当年度上级或本部门工作计划以及行业标准等因素设置对应的绩效目标，最后将绩效目标应用到指导部门实现规划目标上。另一方面，建议单位加强对预算绩效管理工作的学习与培训，结合本年度重点项目工作计划明确具体工作目标值，并围绕产出数量、质量、时效、成本及经济、社会、环境、可持续等效益全面量化、细化绩效指标，避免因指标设置不全面而导致指标完成情况不能全面反映项目实施完成情况，或因指标目标值设定不合理而导致不能切实衡量反映项目实施完成水平。</w:t>
      </w:r>
    </w:p>
    <w:p>
      <w:pPr>
        <w:pStyle w:val="9"/>
        <w:ind w:firstLine="640"/>
      </w:pPr>
      <w:r>
        <w:rPr>
          <w:rFonts w:hint="eastAsia"/>
        </w:rPr>
        <w:t>自评报告方面，建议加强对绩效自评的重视程度，以部门决算报表数据为基础，客观开展自评工作，重视发现问题的整改，通过自评提高部门管理效能、优化行政资源配置。</w:t>
      </w:r>
    </w:p>
    <w:p>
      <w:pPr>
        <w:pStyle w:val="10"/>
        <w:ind w:firstLine="643"/>
        <w:rPr>
          <w:snapToGrid w:val="0"/>
        </w:rPr>
      </w:pPr>
      <w:bookmarkStart w:id="11" w:name="_Toc146238111"/>
      <w:r>
        <w:rPr>
          <w:rFonts w:hint="eastAsia"/>
          <w:snapToGrid w:val="0"/>
        </w:rPr>
        <w:t>（四）严格支出审批程序，确保经费支出规范</w:t>
      </w:r>
      <w:bookmarkEnd w:id="11"/>
    </w:p>
    <w:p>
      <w:pPr>
        <w:pStyle w:val="9"/>
        <w:ind w:firstLine="640"/>
      </w:pPr>
      <w:r>
        <w:rPr>
          <w:rFonts w:hint="eastAsia"/>
        </w:rPr>
        <w:t>一是</w:t>
      </w:r>
      <w:r>
        <w:t>建议</w:t>
      </w:r>
      <w:r>
        <w:rPr>
          <w:rFonts w:hint="eastAsia"/>
        </w:rPr>
        <w:t>部门</w:t>
      </w:r>
      <w:r>
        <w:t>对业务管理制度、资金管理制度进行全方位的梳理，对往期审计结果和存在问题进行全面回顾、分析与总结，强化对管理制度执行不到位或有纰漏之处的认知，增强制度执行力度</w:t>
      </w:r>
      <w:r>
        <w:rPr>
          <w:rFonts w:hint="eastAsia"/>
        </w:rPr>
        <w:t>；二是</w:t>
      </w:r>
      <w:r>
        <w:t>强化人员培训工作，围绕业务管理制度、资金管理制度开展培训，明确资金使用规范性、资金监管重点、资金支出范围、报销流程及手续资料</w:t>
      </w:r>
      <w:r>
        <w:rPr>
          <w:rFonts w:hint="eastAsia"/>
        </w:rPr>
        <w:t>；三是</w:t>
      </w:r>
      <w:r>
        <w:t>加强内部监管监督，建议由主管部门对本级及下属单位，定期开展资金使用合规性检查，及时反馈问题，并督促责任人员整改。</w:t>
      </w:r>
    </w:p>
    <w:p>
      <w:pPr>
        <w:ind w:firstLine="420"/>
      </w:pPr>
    </w:p>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851"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9AD78D"/>
    <w:multiLevelType w:val="singleLevel"/>
    <w:tmpl w:val="829AD78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mNWRlODc5MjgyMGRjMzcwMmQ5YTAzMmM5NWE1M2QifQ=="/>
  </w:docVars>
  <w:rsids>
    <w:rsidRoot w:val="33E328CE"/>
    <w:rsid w:val="00180B8B"/>
    <w:rsid w:val="001C59A0"/>
    <w:rsid w:val="003862D8"/>
    <w:rsid w:val="005658FA"/>
    <w:rsid w:val="005D6D21"/>
    <w:rsid w:val="005F0BC7"/>
    <w:rsid w:val="00637645"/>
    <w:rsid w:val="009B1821"/>
    <w:rsid w:val="00A368DB"/>
    <w:rsid w:val="00B15570"/>
    <w:rsid w:val="00C65A90"/>
    <w:rsid w:val="00CC3B19"/>
    <w:rsid w:val="00D76D78"/>
    <w:rsid w:val="00EC31C4"/>
    <w:rsid w:val="00EC38FC"/>
    <w:rsid w:val="025F7747"/>
    <w:rsid w:val="15280C79"/>
    <w:rsid w:val="163F05C3"/>
    <w:rsid w:val="2E5B20DC"/>
    <w:rsid w:val="33E328CE"/>
    <w:rsid w:val="473B21A9"/>
    <w:rsid w:val="48BF246D"/>
    <w:rsid w:val="52000822"/>
    <w:rsid w:val="63F20BAE"/>
    <w:rsid w:val="71F72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overflowPunct w:val="0"/>
      <w:spacing w:line="360" w:lineRule="auto"/>
      <w:ind w:firstLine="200" w:firstLineChars="20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零点-1级标题"/>
    <w:basedOn w:val="2"/>
    <w:next w:val="9"/>
    <w:qFormat/>
    <w:uiPriority w:val="0"/>
    <w:pPr>
      <w:spacing w:before="0" w:after="0" w:line="560" w:lineRule="exact"/>
      <w:ind w:firstLine="640"/>
      <w:jc w:val="left"/>
    </w:pPr>
    <w:rPr>
      <w:rFonts w:ascii="Times New Roman" w:hAnsi="Times New Roman" w:eastAsia="黑体"/>
      <w:color w:val="000000" w:themeColor="text1"/>
      <w:sz w:val="32"/>
      <w14:textFill>
        <w14:solidFill>
          <w14:schemeClr w14:val="tx1"/>
        </w14:solidFill>
      </w14:textFill>
    </w:rPr>
  </w:style>
  <w:style w:type="paragraph" w:customStyle="1" w:styleId="9">
    <w:name w:val="零点-正文"/>
    <w:basedOn w:val="1"/>
    <w:qFormat/>
    <w:uiPriority w:val="0"/>
    <w:pPr>
      <w:spacing w:line="560" w:lineRule="exact"/>
    </w:pPr>
    <w:rPr>
      <w:rFonts w:ascii="Times New Roman" w:hAnsi="Times New Roman" w:eastAsia="仿宋_GB2312"/>
      <w:sz w:val="32"/>
      <w:szCs w:val="22"/>
    </w:rPr>
  </w:style>
  <w:style w:type="paragraph" w:customStyle="1" w:styleId="10">
    <w:name w:val="零点-2级标题"/>
    <w:basedOn w:val="3"/>
    <w:next w:val="9"/>
    <w:qFormat/>
    <w:uiPriority w:val="0"/>
    <w:pPr>
      <w:spacing w:before="0" w:after="0" w:line="560" w:lineRule="exact"/>
    </w:pPr>
    <w:rPr>
      <w:rFonts w:ascii="Times New Roman" w:hAnsi="Times New Roman" w:eastAsia="楷体_GB2312"/>
      <w:color w:val="000000" w:themeColor="text1"/>
      <w14:textFill>
        <w14:solidFill>
          <w14:schemeClr w14:val="tx1"/>
        </w14:solidFill>
      </w14:textFill>
    </w:rPr>
  </w:style>
  <w:style w:type="paragraph" w:customStyle="1" w:styleId="11">
    <w:name w:val="零点-表内容"/>
    <w:basedOn w:val="1"/>
    <w:next w:val="9"/>
    <w:qFormat/>
    <w:uiPriority w:val="0"/>
    <w:pPr>
      <w:widowControl w:val="0"/>
      <w:adjustRightInd w:val="0"/>
      <w:snapToGrid w:val="0"/>
      <w:spacing w:line="240" w:lineRule="auto"/>
      <w:ind w:firstLine="0" w:firstLineChars="0"/>
      <w:jc w:val="center"/>
    </w:pPr>
    <w:rPr>
      <w:rFonts w:ascii="Times New Roman" w:hAnsi="Times New Roman" w:eastAsia="宋体"/>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687</Words>
  <Characters>3922</Characters>
  <Lines>32</Lines>
  <Paragraphs>9</Paragraphs>
  <TotalTime>6</TotalTime>
  <ScaleCrop>false</ScaleCrop>
  <LinksUpToDate>false</LinksUpToDate>
  <CharactersWithSpaces>4600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2023-09-18T07:21:00Z</dcterms:created>
  <dc:creator>11796</dc:creator>
  <cp:lastModifiedBy>区财政局</cp:lastModifiedBy>
  <dcterms:modified xsi:type="dcterms:W3CDTF">2025-03-13T08:34:09Z</dcterms:modified>
  <dc:title>2022年度经济开发区管理委员会部门整体支出</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260242DB03A04E58B1B3E0A1A3C0D56B_13</vt:lpwstr>
  </property>
</Properties>
</file>