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outlineLvl w:val="0"/>
        <w:rPr>
          <w:rFonts w:hint="default" w:ascii="Times New Roman" w:hAnsi="Times New Roman" w:eastAsia="方正小标宋简体" w:cs="方正小标宋简体"/>
          <w:b w:val="0"/>
          <w:bCs w:val="0"/>
          <w:snapToGrid w:val="0"/>
          <w:kern w:val="0"/>
          <w:sz w:val="36"/>
          <w:szCs w:val="36"/>
          <w:lang w:val="en-US" w:eastAsia="zh-CN"/>
        </w:rPr>
      </w:pPr>
      <w:r>
        <w:rPr>
          <w:rFonts w:hint="eastAsia" w:ascii="Times New Roman" w:hAnsi="Times New Roman" w:eastAsia="方正小标宋简体" w:cs="方正小标宋简体"/>
          <w:b w:val="0"/>
          <w:bCs w:val="0"/>
          <w:snapToGrid w:val="0"/>
          <w:kern w:val="0"/>
          <w:sz w:val="36"/>
          <w:szCs w:val="36"/>
          <w:lang w:val="en-US" w:eastAsia="zh-CN"/>
        </w:rPr>
        <w:t>2022年广州市从化区太平镇人民政府部门整体支出</w:t>
      </w:r>
      <w:r>
        <w:rPr>
          <w:rFonts w:hint="default" w:ascii="Times New Roman" w:hAnsi="Times New Roman" w:eastAsia="方正小标宋简体" w:cs="方正小标宋简体"/>
          <w:b w:val="0"/>
          <w:bCs w:val="0"/>
          <w:snapToGrid w:val="0"/>
          <w:kern w:val="0"/>
          <w:sz w:val="36"/>
          <w:szCs w:val="36"/>
          <w:lang w:val="en-US" w:eastAsia="zh-CN"/>
        </w:rPr>
        <w:t xml:space="preserve"> </w:t>
      </w:r>
    </w:p>
    <w:p>
      <w:pPr>
        <w:widowControl/>
        <w:spacing w:line="360" w:lineRule="auto"/>
        <w:jc w:val="center"/>
        <w:outlineLvl w:val="0"/>
        <w:rPr>
          <w:rFonts w:hint="eastAsia" w:ascii="Times New Roman" w:hAnsi="Times New Roman" w:eastAsia="方正小标宋简体" w:cs="方正小标宋简体"/>
          <w:b w:val="0"/>
          <w:bCs w:val="0"/>
          <w:snapToGrid w:val="0"/>
          <w:kern w:val="0"/>
          <w:sz w:val="36"/>
          <w:szCs w:val="36"/>
        </w:rPr>
      </w:pPr>
      <w:r>
        <w:rPr>
          <w:rFonts w:hint="default" w:ascii="Times New Roman" w:hAnsi="Times New Roman" w:eastAsia="方正小标宋简体" w:cs="方正小标宋简体"/>
          <w:b w:val="0"/>
          <w:bCs w:val="0"/>
          <w:snapToGrid w:val="0"/>
          <w:kern w:val="0"/>
          <w:sz w:val="36"/>
          <w:szCs w:val="36"/>
          <w:lang w:val="en-US" w:eastAsia="zh-CN"/>
        </w:rPr>
        <w:t>绩效评价报告</w:t>
      </w:r>
    </w:p>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仿宋_GB2312" w:cs="宋体"/>
          <w:kern w:val="0"/>
          <w:sz w:val="32"/>
        </w:rPr>
      </w:pPr>
      <w:r>
        <w:rPr>
          <w:rFonts w:hint="eastAsia" w:ascii="Times New Roman" w:hAnsi="Times New Roman" w:eastAsia="仿宋_GB2312" w:cs="宋体"/>
          <w:kern w:val="0"/>
          <w:sz w:val="32"/>
        </w:rPr>
        <w:t>上海元方智库公共管理咨询有限公司</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宋体"/>
          <w:kern w:val="0"/>
          <w:sz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宋体"/>
          <w:kern w:val="0"/>
          <w:sz w:val="32"/>
        </w:rPr>
      </w:pPr>
      <w:r>
        <w:rPr>
          <w:rFonts w:hint="eastAsia" w:ascii="Times New Roman" w:hAnsi="Times New Roman" w:eastAsia="仿宋_GB2312" w:cs="宋体"/>
          <w:kern w:val="0"/>
          <w:sz w:val="32"/>
        </w:rPr>
        <w:t>根据《广州市从化区财政局关于印发2023年广州市从化区财政资金支出绩效评价工作方案的通知》要求，受广州市从化区财政局委托，上海元方智库公共管理咨询有限公司（以下简称“评价组”）于2023年7-8月对2022年广州市从化区</w:t>
      </w:r>
      <w:r>
        <w:rPr>
          <w:rFonts w:hint="eastAsia" w:ascii="Times New Roman" w:hAnsi="Times New Roman" w:eastAsia="仿宋_GB2312" w:cs="宋体"/>
          <w:kern w:val="0"/>
          <w:sz w:val="32"/>
          <w:lang w:val="en-US" w:eastAsia="zh-CN"/>
        </w:rPr>
        <w:t>太平镇</w:t>
      </w:r>
      <w:r>
        <w:rPr>
          <w:rFonts w:hint="eastAsia" w:ascii="Times New Roman" w:hAnsi="Times New Roman" w:eastAsia="仿宋_GB2312" w:cs="宋体"/>
          <w:kern w:val="0"/>
          <w:sz w:val="32"/>
        </w:rPr>
        <w:t>人民政府（下称“</w:t>
      </w:r>
      <w:r>
        <w:rPr>
          <w:rFonts w:hint="eastAsia" w:ascii="Times New Roman" w:hAnsi="Times New Roman" w:eastAsia="仿宋_GB2312" w:cs="宋体"/>
          <w:kern w:val="0"/>
          <w:sz w:val="32"/>
          <w:lang w:val="en-US" w:eastAsia="zh-CN"/>
        </w:rPr>
        <w:t>太平镇</w:t>
      </w:r>
      <w:r>
        <w:rPr>
          <w:rFonts w:hint="eastAsia" w:ascii="Times New Roman" w:hAnsi="Times New Roman" w:eastAsia="仿宋_GB2312" w:cs="宋体"/>
          <w:kern w:val="0"/>
          <w:sz w:val="32"/>
        </w:rPr>
        <w:t>政府”）开展部门整体绩效评价。经书面评审、现场核查、综合分析，部门整体绩效评价得分86.80分，评价等级为“良”。</w:t>
      </w:r>
    </w:p>
    <w:p>
      <w:pPr>
        <w:pStyle w:val="2"/>
        <w:rPr>
          <w:rFonts w:hint="eastAsia"/>
        </w:rPr>
      </w:pPr>
    </w:p>
    <w:p>
      <w:pPr>
        <w:widowControl/>
        <w:ind w:firstLine="643" w:firstLineChars="200"/>
        <w:jc w:val="both"/>
        <w:outlineLvl w:val="0"/>
        <w:rPr>
          <w:rFonts w:hint="eastAsia" w:ascii="Times New Roman" w:hAnsi="Times New Roman" w:eastAsia="黑体" w:cs="黑体"/>
          <w:b/>
          <w:snapToGrid w:val="0"/>
          <w:kern w:val="0"/>
          <w:sz w:val="32"/>
          <w:szCs w:val="32"/>
          <w:highlight w:val="none"/>
        </w:rPr>
      </w:pPr>
      <w:r>
        <w:rPr>
          <w:rFonts w:hint="eastAsia" w:ascii="Times New Roman" w:hAnsi="Times New Roman" w:eastAsia="黑体" w:cs="黑体"/>
          <w:b/>
          <w:snapToGrid w:val="0"/>
          <w:kern w:val="0"/>
          <w:sz w:val="32"/>
          <w:szCs w:val="32"/>
          <w:highlight w:val="none"/>
          <w:lang w:val="en-US" w:eastAsia="zh-CN"/>
        </w:rPr>
        <w:t xml:space="preserve">一、评价部门概况 </w:t>
      </w:r>
    </w:p>
    <w:p>
      <w:pPr>
        <w:widowControl/>
        <w:spacing w:line="360" w:lineRule="auto"/>
        <w:ind w:firstLine="643" w:firstLineChars="200"/>
        <w:jc w:val="both"/>
        <w:outlineLvl w:val="1"/>
        <w:rPr>
          <w:rFonts w:hint="eastAsia" w:ascii="Times New Roman" w:hAnsi="Times New Roman" w:eastAsia="楷体_GB2312" w:cs="楷体_GB2312"/>
          <w:b/>
          <w:bCs/>
          <w:snapToGrid w:val="0"/>
          <w:kern w:val="0"/>
          <w:sz w:val="32"/>
          <w:szCs w:val="32"/>
          <w:highlight w:val="none"/>
          <w:lang w:val="en-US" w:eastAsia="zh-CN"/>
        </w:rPr>
      </w:pPr>
      <w:r>
        <w:rPr>
          <w:rFonts w:hint="eastAsia" w:ascii="Times New Roman" w:hAnsi="Times New Roman" w:eastAsia="楷体_GB2312" w:cs="楷体_GB2312"/>
          <w:b/>
          <w:bCs/>
          <w:snapToGrid w:val="0"/>
          <w:kern w:val="0"/>
          <w:sz w:val="32"/>
          <w:szCs w:val="32"/>
          <w:highlight w:val="none"/>
          <w:lang w:val="en-US" w:eastAsia="zh-CN"/>
        </w:rPr>
        <w:t>（一）部门基本情况</w:t>
      </w:r>
    </w:p>
    <w:p>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宋体"/>
          <w:b/>
          <w:bCs/>
          <w:kern w:val="0"/>
          <w:sz w:val="32"/>
          <w:lang w:val="en-US" w:eastAsia="zh-CN"/>
        </w:rPr>
      </w:pPr>
      <w:r>
        <w:rPr>
          <w:rFonts w:hint="eastAsia" w:ascii="Times New Roman" w:hAnsi="Times New Roman" w:eastAsia="仿宋_GB2312" w:cs="宋体"/>
          <w:b/>
          <w:bCs/>
          <w:kern w:val="0"/>
          <w:sz w:val="32"/>
          <w:lang w:val="en-US" w:eastAsia="zh-CN"/>
        </w:rPr>
        <w:t>1.部门职责</w:t>
      </w:r>
    </w:p>
    <w:p>
      <w:pPr>
        <w:spacing w:line="360" w:lineRule="auto"/>
        <w:ind w:firstLine="640" w:firstLineChars="200"/>
        <w:jc w:val="both"/>
        <w:rPr>
          <w:rFonts w:hint="eastAsia" w:ascii="Times New Roman" w:hAnsi="Times New Roman" w:eastAsia="仿宋_GB2312" w:cs="宋体"/>
          <w:kern w:val="0"/>
          <w:sz w:val="32"/>
          <w:lang w:val="en-US" w:eastAsia="zh-CN"/>
        </w:rPr>
      </w:pPr>
      <w:r>
        <w:rPr>
          <w:rFonts w:hint="eastAsia" w:ascii="Times New Roman" w:hAnsi="Times New Roman" w:eastAsia="仿宋_GB2312" w:cs="宋体"/>
          <w:kern w:val="0"/>
          <w:sz w:val="32"/>
          <w:lang w:val="en-US" w:eastAsia="zh-CN"/>
        </w:rPr>
        <w:t>太平镇</w:t>
      </w:r>
      <w:r>
        <w:rPr>
          <w:rFonts w:hint="eastAsia" w:ascii="Times New Roman" w:hAnsi="Times New Roman" w:eastAsia="仿宋_GB2312" w:cs="宋体"/>
          <w:kern w:val="0"/>
          <w:sz w:val="32"/>
        </w:rPr>
        <w:t>政府</w:t>
      </w:r>
      <w:r>
        <w:rPr>
          <w:rFonts w:hint="eastAsia" w:ascii="Times New Roman" w:hAnsi="Times New Roman" w:eastAsia="仿宋_GB2312" w:cs="宋体"/>
          <w:kern w:val="0"/>
          <w:sz w:val="32"/>
          <w:lang w:val="en-US" w:eastAsia="zh-CN"/>
        </w:rPr>
        <w:t>主要职责共13项，主要为执行本级人民代表大会的决议和上级国家行政机关的决定和命令；完善党领导下的基层社会治理体系，提高基层自治水平，负责基层政权组织建设工作；统筹制定区域发展重大决策和建设规划，负责镇经济管理工作；</w:t>
      </w:r>
      <w:r>
        <w:rPr>
          <w:rFonts w:hint="eastAsia" w:ascii="Times New Roman" w:hAnsi="Times New Roman" w:eastAsia="仿宋_GB2312"/>
          <w:snapToGrid w:val="0"/>
          <w:sz w:val="32"/>
          <w:szCs w:val="32"/>
          <w:highlight w:val="none"/>
          <w:lang w:val="en-US" w:eastAsia="zh-CN"/>
        </w:rPr>
        <w:t>统筹负责辖区内公共服务、综合治理、综合行政执法、突发公共事件的应对处置等；贯彻落实国家民族、宗教政策，尊重少数民族的风俗习惯，保障少数民族合法权益；动员辖区内各类单位、社会组织和村（居）民等社会力量参与社会治理，积极开展社区服务工作；做好人才服务和引进工作。</w:t>
      </w:r>
    </w:p>
    <w:p>
      <w:pPr>
        <w:spacing w:line="360" w:lineRule="auto"/>
        <w:ind w:firstLine="643" w:firstLineChars="200"/>
        <w:jc w:val="both"/>
        <w:rPr>
          <w:rFonts w:hint="eastAsia" w:ascii="Times New Roman" w:hAnsi="Times New Roman" w:eastAsia="仿宋_GB2312" w:cs="宋体"/>
          <w:b/>
          <w:bCs/>
          <w:kern w:val="0"/>
          <w:sz w:val="32"/>
          <w:lang w:val="en-US" w:eastAsia="zh-CN"/>
        </w:rPr>
      </w:pPr>
      <w:r>
        <w:rPr>
          <w:rFonts w:hint="eastAsia" w:ascii="Times New Roman" w:hAnsi="Times New Roman" w:eastAsia="仿宋_GB2312" w:cs="宋体"/>
          <w:b/>
          <w:bCs/>
          <w:kern w:val="0"/>
          <w:sz w:val="32"/>
          <w:lang w:val="en-US" w:eastAsia="zh-CN"/>
        </w:rPr>
        <w:t>2.部门整体收支情况</w:t>
      </w:r>
    </w:p>
    <w:p>
      <w:pPr>
        <w:spacing w:line="360" w:lineRule="auto"/>
        <w:ind w:firstLine="640" w:firstLineChars="200"/>
        <w:jc w:val="both"/>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2022年，太平镇政府总收入79,661.32万元，总支出46,779.16万元，部门整体资金支出率为58.72%。</w:t>
      </w:r>
    </w:p>
    <w:p>
      <w:pPr>
        <w:spacing w:line="360" w:lineRule="auto"/>
        <w:ind w:firstLine="640" w:firstLineChars="200"/>
        <w:jc w:val="both"/>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2022年，太平镇政府财政收入17,975.70万元，财政支出17,940.02万元，部门财政资金整体支出率为99.80%。</w:t>
      </w:r>
    </w:p>
    <w:p>
      <w:pPr>
        <w:widowControl/>
        <w:spacing w:line="360" w:lineRule="auto"/>
        <w:ind w:firstLine="643" w:firstLineChars="200"/>
        <w:jc w:val="both"/>
        <w:outlineLvl w:val="1"/>
        <w:rPr>
          <w:rFonts w:hint="eastAsia" w:ascii="Times New Roman" w:hAnsi="Times New Roman" w:eastAsia="楷体_GB2312" w:cs="楷体_GB2312"/>
          <w:b/>
          <w:bCs/>
          <w:snapToGrid w:val="0"/>
          <w:kern w:val="0"/>
          <w:sz w:val="32"/>
          <w:szCs w:val="32"/>
          <w:highlight w:val="none"/>
          <w:lang w:val="en-US" w:eastAsia="zh-CN"/>
        </w:rPr>
      </w:pPr>
      <w:r>
        <w:rPr>
          <w:rFonts w:hint="eastAsia" w:ascii="Times New Roman" w:hAnsi="Times New Roman" w:eastAsia="楷体_GB2312" w:cs="楷体_GB2312"/>
          <w:b/>
          <w:bCs/>
          <w:snapToGrid w:val="0"/>
          <w:kern w:val="0"/>
          <w:sz w:val="32"/>
          <w:szCs w:val="32"/>
          <w:highlight w:val="none"/>
          <w:lang w:val="en-US" w:eastAsia="zh-CN"/>
        </w:rPr>
        <w:t>（二）部门目标完成情况</w:t>
      </w:r>
    </w:p>
    <w:p>
      <w:pPr>
        <w:spacing w:line="360" w:lineRule="auto"/>
        <w:ind w:firstLine="640" w:firstLineChars="200"/>
        <w:jc w:val="both"/>
        <w:rPr>
          <w:rFonts w:hint="eastAsia" w:ascii="Times New Roman" w:hAnsi="Times New Roman" w:eastAsia="仿宋_GB2312"/>
          <w:snapToGrid w:val="0"/>
          <w:sz w:val="32"/>
          <w:szCs w:val="32"/>
          <w:highlight w:val="none"/>
          <w:lang w:val="en-US" w:eastAsia="zh-CN"/>
        </w:rPr>
      </w:pPr>
      <w:r>
        <w:rPr>
          <w:rFonts w:hint="eastAsia" w:ascii="Times New Roman" w:hAnsi="Times New Roman" w:eastAsia="仿宋_GB2312" w:cs="仿宋_GB2312"/>
          <w:sz w:val="32"/>
          <w:szCs w:val="32"/>
          <w:highlight w:val="none"/>
        </w:rPr>
        <w:t>2</w:t>
      </w:r>
      <w:r>
        <w:rPr>
          <w:rFonts w:ascii="Times New Roman" w:hAnsi="Times New Roman" w:eastAsia="仿宋_GB2312" w:cs="仿宋_GB2312"/>
          <w:sz w:val="32"/>
          <w:szCs w:val="32"/>
          <w:highlight w:val="none"/>
        </w:rPr>
        <w:t>022</w:t>
      </w:r>
      <w:r>
        <w:rPr>
          <w:rFonts w:hint="eastAsia" w:ascii="Times New Roman" w:hAnsi="Times New Roman" w:eastAsia="仿宋_GB2312" w:cs="仿宋_GB2312"/>
          <w:sz w:val="32"/>
          <w:szCs w:val="32"/>
          <w:highlight w:val="none"/>
        </w:rPr>
        <w:t>年，</w:t>
      </w:r>
      <w:r>
        <w:rPr>
          <w:rFonts w:hint="eastAsia" w:ascii="Times New Roman" w:hAnsi="Times New Roman" w:eastAsia="仿宋_GB2312" w:cs="宋体"/>
          <w:kern w:val="0"/>
          <w:sz w:val="32"/>
          <w:lang w:val="en-US" w:eastAsia="zh-CN"/>
        </w:rPr>
        <w:t>太平镇政府</w:t>
      </w:r>
      <w:r>
        <w:rPr>
          <w:rFonts w:hint="eastAsia" w:ascii="Times New Roman" w:hAnsi="Times New Roman" w:eastAsia="仿宋_GB2312" w:cs="仿宋_GB2312"/>
          <w:sz w:val="32"/>
          <w:szCs w:val="32"/>
          <w:highlight w:val="none"/>
        </w:rPr>
        <w:t>共设置</w:t>
      </w:r>
      <w:r>
        <w:rPr>
          <w:rFonts w:hint="eastAsia" w:ascii="Times New Roman" w:hAnsi="Times New Roman" w:eastAsia="仿宋_GB2312" w:cs="仿宋_GB2312"/>
          <w:sz w:val="32"/>
          <w:szCs w:val="32"/>
          <w:highlight w:val="none"/>
          <w:lang w:val="en-US" w:eastAsia="zh-CN"/>
        </w:rPr>
        <w:t>9</w:t>
      </w:r>
      <w:r>
        <w:rPr>
          <w:rFonts w:hint="eastAsia" w:ascii="Times New Roman" w:hAnsi="Times New Roman" w:eastAsia="仿宋_GB2312" w:cs="仿宋_GB2312"/>
          <w:sz w:val="32"/>
          <w:szCs w:val="32"/>
          <w:highlight w:val="none"/>
        </w:rPr>
        <w:t>个</w:t>
      </w:r>
      <w:r>
        <w:rPr>
          <w:rFonts w:hint="eastAsia" w:ascii="Times New Roman" w:hAnsi="Times New Roman" w:eastAsia="仿宋_GB2312" w:cs="仿宋_GB2312"/>
          <w:sz w:val="32"/>
          <w:szCs w:val="32"/>
          <w:highlight w:val="none"/>
          <w:lang w:val="en-US" w:eastAsia="zh-CN"/>
        </w:rPr>
        <w:t>绩效</w:t>
      </w:r>
      <w:r>
        <w:rPr>
          <w:rFonts w:hint="eastAsia" w:ascii="Times New Roman" w:hAnsi="Times New Roman" w:eastAsia="仿宋_GB2312" w:cs="仿宋_GB2312"/>
          <w:sz w:val="32"/>
          <w:szCs w:val="32"/>
          <w:highlight w:val="none"/>
        </w:rPr>
        <w:t>目标。截止2</w:t>
      </w:r>
      <w:r>
        <w:rPr>
          <w:rFonts w:ascii="Times New Roman" w:hAnsi="Times New Roman" w:eastAsia="仿宋_GB2312" w:cs="仿宋_GB2312"/>
          <w:sz w:val="32"/>
          <w:szCs w:val="32"/>
          <w:highlight w:val="none"/>
        </w:rPr>
        <w:t>022</w:t>
      </w:r>
      <w:r>
        <w:rPr>
          <w:rFonts w:hint="eastAsia" w:ascii="Times New Roman" w:hAnsi="Times New Roman" w:eastAsia="仿宋_GB2312" w:cs="仿宋_GB2312"/>
          <w:sz w:val="32"/>
          <w:szCs w:val="32"/>
          <w:highlight w:val="none"/>
        </w:rPr>
        <w:t>年1</w:t>
      </w:r>
      <w:r>
        <w:rPr>
          <w:rFonts w:ascii="Times New Roman" w:hAnsi="Times New Roman" w:eastAsia="仿宋_GB2312" w:cs="仿宋_GB2312"/>
          <w:sz w:val="32"/>
          <w:szCs w:val="32"/>
          <w:highlight w:val="none"/>
        </w:rPr>
        <w:t>2</w:t>
      </w:r>
      <w:r>
        <w:rPr>
          <w:rFonts w:hint="eastAsia" w:ascii="Times New Roman" w:hAnsi="Times New Roman" w:eastAsia="仿宋_GB2312" w:cs="仿宋_GB2312"/>
          <w:sz w:val="32"/>
          <w:szCs w:val="32"/>
          <w:highlight w:val="none"/>
        </w:rPr>
        <w:t>月3</w:t>
      </w:r>
      <w:r>
        <w:rPr>
          <w:rFonts w:ascii="Times New Roman" w:hAnsi="Times New Roman" w:eastAsia="仿宋_GB2312" w:cs="仿宋_GB2312"/>
          <w:sz w:val="32"/>
          <w:szCs w:val="32"/>
          <w:highlight w:val="none"/>
        </w:rPr>
        <w:t>1</w:t>
      </w:r>
      <w:r>
        <w:rPr>
          <w:rFonts w:hint="eastAsia" w:ascii="Times New Roman" w:hAnsi="Times New Roman" w:eastAsia="仿宋_GB2312" w:cs="仿宋_GB2312"/>
          <w:sz w:val="32"/>
          <w:szCs w:val="32"/>
          <w:highlight w:val="none"/>
        </w:rPr>
        <w:t>日，已完成</w:t>
      </w:r>
      <w:r>
        <w:rPr>
          <w:rFonts w:hint="eastAsia" w:ascii="Times New Roman" w:hAnsi="Times New Roman" w:eastAsia="仿宋_GB2312" w:cs="仿宋_GB2312"/>
          <w:sz w:val="32"/>
          <w:szCs w:val="32"/>
          <w:highlight w:val="none"/>
          <w:lang w:val="en-US" w:eastAsia="zh-CN"/>
        </w:rPr>
        <w:t>6</w:t>
      </w:r>
      <w:r>
        <w:rPr>
          <w:rFonts w:hint="eastAsia" w:ascii="Times New Roman" w:hAnsi="Times New Roman" w:eastAsia="仿宋_GB2312" w:cs="仿宋_GB2312"/>
          <w:sz w:val="32"/>
          <w:szCs w:val="32"/>
          <w:highlight w:val="none"/>
        </w:rPr>
        <w:t>个</w:t>
      </w:r>
      <w:r>
        <w:rPr>
          <w:rFonts w:hint="eastAsia" w:ascii="Times New Roman" w:hAnsi="Times New Roman" w:eastAsia="仿宋_GB2312"/>
          <w:snapToGrid w:val="0"/>
          <w:sz w:val="32"/>
          <w:szCs w:val="32"/>
          <w:highlight w:val="none"/>
        </w:rPr>
        <w:t>目标</w:t>
      </w:r>
      <w:r>
        <w:rPr>
          <w:rFonts w:hint="eastAsia" w:ascii="Times New Roman" w:hAnsi="Times New Roman" w:eastAsia="仿宋_GB2312" w:cs="仿宋_GB2312"/>
          <w:sz w:val="32"/>
          <w:szCs w:val="32"/>
          <w:highlight w:val="none"/>
        </w:rPr>
        <w:t>，未完成</w:t>
      </w:r>
      <w:r>
        <w:rPr>
          <w:rFonts w:hint="eastAsia" w:ascii="Times New Roman" w:hAnsi="Times New Roman" w:eastAsia="仿宋_GB2312" w:cs="仿宋_GB2312"/>
          <w:sz w:val="32"/>
          <w:szCs w:val="32"/>
          <w:highlight w:val="none"/>
          <w:lang w:val="en-US" w:eastAsia="zh-CN"/>
        </w:rPr>
        <w:t>3</w:t>
      </w:r>
      <w:r>
        <w:rPr>
          <w:rFonts w:hint="eastAsia" w:ascii="Times New Roman" w:hAnsi="Times New Roman" w:eastAsia="仿宋_GB2312" w:cs="仿宋_GB2312"/>
          <w:sz w:val="32"/>
          <w:szCs w:val="32"/>
          <w:highlight w:val="none"/>
        </w:rPr>
        <w:t>个</w:t>
      </w:r>
      <w:r>
        <w:rPr>
          <w:rFonts w:hint="eastAsia" w:ascii="Times New Roman" w:hAnsi="Times New Roman" w:eastAsia="仿宋_GB2312"/>
          <w:snapToGrid w:val="0"/>
          <w:sz w:val="32"/>
          <w:szCs w:val="32"/>
          <w:highlight w:val="none"/>
        </w:rPr>
        <w:t>目标</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其中“村社文化室正常运作率”指标由于疫情原因未能按计划完成。</w:t>
      </w:r>
    </w:p>
    <w:p>
      <w:pPr>
        <w:spacing w:before="156" w:beforeLines="50" w:line="360" w:lineRule="auto"/>
        <w:jc w:val="center"/>
        <w:rPr>
          <w:rFonts w:ascii="Times New Roman" w:hAnsi="Times New Roman" w:eastAsia="黑体"/>
          <w:snapToGrid w:val="0"/>
          <w:sz w:val="28"/>
          <w:szCs w:val="28"/>
          <w:highlight w:val="none"/>
        </w:rPr>
      </w:pPr>
      <w:r>
        <w:rPr>
          <w:rFonts w:hint="eastAsia" w:ascii="Times New Roman" w:hAnsi="Times New Roman" w:eastAsia="黑体"/>
          <w:snapToGrid w:val="0"/>
          <w:sz w:val="28"/>
          <w:szCs w:val="28"/>
          <w:highlight w:val="none"/>
        </w:rPr>
        <w:t>表</w:t>
      </w:r>
      <w:r>
        <w:rPr>
          <w:rFonts w:hint="eastAsia" w:ascii="Times New Roman" w:hAnsi="Times New Roman" w:eastAsia="黑体"/>
          <w:snapToGrid w:val="0"/>
          <w:sz w:val="28"/>
          <w:szCs w:val="28"/>
          <w:highlight w:val="none"/>
          <w:lang w:val="en-US" w:eastAsia="zh-CN"/>
        </w:rPr>
        <w:t>1</w:t>
      </w:r>
      <w:r>
        <w:rPr>
          <w:rFonts w:ascii="Times New Roman" w:hAnsi="Times New Roman" w:eastAsia="黑体"/>
          <w:snapToGrid w:val="0"/>
          <w:sz w:val="28"/>
          <w:szCs w:val="28"/>
          <w:highlight w:val="none"/>
        </w:rPr>
        <w:t xml:space="preserve"> </w:t>
      </w:r>
      <w:r>
        <w:rPr>
          <w:rFonts w:hint="eastAsia" w:ascii="Times New Roman" w:hAnsi="Times New Roman" w:eastAsia="黑体"/>
          <w:snapToGrid w:val="0"/>
          <w:sz w:val="28"/>
          <w:szCs w:val="28"/>
          <w:highlight w:val="none"/>
          <w:lang w:eastAsia="zh-CN"/>
        </w:rPr>
        <w:t>太平镇</w:t>
      </w:r>
      <w:r>
        <w:rPr>
          <w:rFonts w:hint="eastAsia" w:ascii="Times New Roman" w:hAnsi="Times New Roman" w:eastAsia="黑体"/>
          <w:snapToGrid w:val="0"/>
          <w:sz w:val="28"/>
          <w:szCs w:val="28"/>
          <w:highlight w:val="none"/>
        </w:rPr>
        <w:t>政府</w:t>
      </w:r>
      <w:r>
        <w:rPr>
          <w:rFonts w:ascii="Times New Roman" w:hAnsi="Times New Roman" w:eastAsia="黑体"/>
          <w:snapToGrid w:val="0"/>
          <w:sz w:val="28"/>
          <w:szCs w:val="28"/>
          <w:highlight w:val="none"/>
        </w:rPr>
        <w:t>2022年</w:t>
      </w:r>
      <w:r>
        <w:rPr>
          <w:rFonts w:hint="eastAsia" w:ascii="Times New Roman" w:hAnsi="Times New Roman" w:eastAsia="黑体"/>
          <w:snapToGrid w:val="0"/>
          <w:sz w:val="28"/>
          <w:szCs w:val="28"/>
          <w:highlight w:val="none"/>
        </w:rPr>
        <w:t>部门</w:t>
      </w:r>
      <w:r>
        <w:rPr>
          <w:rFonts w:hint="eastAsia" w:ascii="Times New Roman" w:hAnsi="Times New Roman" w:eastAsia="黑体"/>
          <w:snapToGrid w:val="0"/>
          <w:sz w:val="28"/>
          <w:szCs w:val="28"/>
          <w:highlight w:val="none"/>
          <w:lang w:val="en-US" w:eastAsia="zh-CN"/>
        </w:rPr>
        <w:t>绩效目标</w:t>
      </w:r>
      <w:r>
        <w:rPr>
          <w:rFonts w:hint="eastAsia" w:ascii="Times New Roman" w:hAnsi="Times New Roman" w:eastAsia="黑体"/>
          <w:snapToGrid w:val="0"/>
          <w:sz w:val="28"/>
          <w:szCs w:val="28"/>
          <w:highlight w:val="none"/>
        </w:rPr>
        <w:t>完成情况</w:t>
      </w:r>
    </w:p>
    <w:tbl>
      <w:tblPr>
        <w:tblStyle w:val="7"/>
        <w:tblW w:w="85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4043"/>
        <w:gridCol w:w="1825"/>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791" w:type="dxa"/>
            <w:noWrap w:val="0"/>
            <w:vAlign w:val="center"/>
          </w:tcPr>
          <w:p>
            <w:pPr>
              <w:spacing w:line="280" w:lineRule="exact"/>
              <w:jc w:val="center"/>
              <w:rPr>
                <w:rFonts w:hint="eastAsia" w:ascii="Times New Roman" w:hAnsi="Times New Roman" w:eastAsia="仿宋_GB2312"/>
                <w:b/>
                <w:bCs/>
                <w:sz w:val="21"/>
                <w:szCs w:val="21"/>
                <w:highlight w:val="none"/>
              </w:rPr>
            </w:pPr>
            <w:r>
              <w:rPr>
                <w:rFonts w:hint="eastAsia" w:ascii="Times New Roman" w:hAnsi="Times New Roman" w:eastAsia="仿宋_GB2312"/>
                <w:b/>
                <w:bCs/>
                <w:sz w:val="21"/>
                <w:szCs w:val="21"/>
                <w:highlight w:val="none"/>
              </w:rPr>
              <w:t>序号</w:t>
            </w:r>
          </w:p>
        </w:tc>
        <w:tc>
          <w:tcPr>
            <w:tcW w:w="4043" w:type="dxa"/>
            <w:noWrap w:val="0"/>
            <w:vAlign w:val="center"/>
          </w:tcPr>
          <w:p>
            <w:pPr>
              <w:spacing w:line="280" w:lineRule="exact"/>
              <w:jc w:val="center"/>
              <w:rPr>
                <w:rFonts w:hint="eastAsia" w:ascii="Times New Roman" w:hAnsi="Times New Roman" w:eastAsia="仿宋_GB2312"/>
                <w:b/>
                <w:bCs/>
                <w:sz w:val="21"/>
                <w:szCs w:val="21"/>
                <w:highlight w:val="none"/>
              </w:rPr>
            </w:pPr>
            <w:r>
              <w:rPr>
                <w:rFonts w:hint="eastAsia" w:ascii="Times New Roman" w:hAnsi="Times New Roman" w:eastAsia="仿宋_GB2312"/>
                <w:b/>
                <w:bCs/>
                <w:sz w:val="21"/>
                <w:szCs w:val="21"/>
                <w:highlight w:val="none"/>
              </w:rPr>
              <w:t>三级指标</w:t>
            </w:r>
          </w:p>
        </w:tc>
        <w:tc>
          <w:tcPr>
            <w:tcW w:w="1825" w:type="dxa"/>
            <w:noWrap w:val="0"/>
            <w:vAlign w:val="center"/>
          </w:tcPr>
          <w:p>
            <w:pPr>
              <w:spacing w:line="280" w:lineRule="exact"/>
              <w:jc w:val="center"/>
              <w:rPr>
                <w:rFonts w:hint="eastAsia" w:ascii="Times New Roman" w:hAnsi="Times New Roman" w:eastAsia="仿宋_GB2312"/>
                <w:b/>
                <w:bCs/>
                <w:sz w:val="21"/>
                <w:szCs w:val="21"/>
                <w:highlight w:val="none"/>
              </w:rPr>
            </w:pPr>
            <w:r>
              <w:rPr>
                <w:rFonts w:hint="eastAsia" w:ascii="Times New Roman" w:hAnsi="Times New Roman" w:eastAsia="仿宋_GB2312"/>
                <w:b/>
                <w:bCs/>
                <w:sz w:val="21"/>
                <w:szCs w:val="21"/>
                <w:highlight w:val="none"/>
              </w:rPr>
              <w:t>年度指标值</w:t>
            </w:r>
          </w:p>
        </w:tc>
        <w:tc>
          <w:tcPr>
            <w:tcW w:w="1860" w:type="dxa"/>
            <w:noWrap w:val="0"/>
            <w:vAlign w:val="center"/>
          </w:tcPr>
          <w:p>
            <w:pPr>
              <w:spacing w:line="280" w:lineRule="exact"/>
              <w:jc w:val="center"/>
              <w:rPr>
                <w:rFonts w:hint="eastAsia" w:ascii="Times New Roman" w:hAnsi="Times New Roman" w:eastAsia="仿宋_GB2312"/>
                <w:b/>
                <w:bCs/>
                <w:sz w:val="21"/>
                <w:szCs w:val="21"/>
                <w:highlight w:val="none"/>
              </w:rPr>
            </w:pPr>
            <w:r>
              <w:rPr>
                <w:rFonts w:hint="eastAsia" w:ascii="Times New Roman" w:hAnsi="Times New Roman" w:eastAsia="仿宋_GB2312"/>
                <w:b/>
                <w:bCs/>
                <w:sz w:val="21"/>
                <w:szCs w:val="21"/>
                <w:highlight w:val="none"/>
              </w:rPr>
              <w:t>指标完成情况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1</w:t>
            </w:r>
          </w:p>
        </w:tc>
        <w:tc>
          <w:tcPr>
            <w:tcW w:w="4043"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基建工程完成率</w:t>
            </w:r>
          </w:p>
        </w:tc>
        <w:tc>
          <w:tcPr>
            <w:tcW w:w="1825"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100%</w:t>
            </w:r>
          </w:p>
        </w:tc>
        <w:tc>
          <w:tcPr>
            <w:tcW w:w="1860" w:type="dxa"/>
            <w:noWrap w:val="0"/>
            <w:vAlign w:val="center"/>
          </w:tcPr>
          <w:p>
            <w:pPr>
              <w:spacing w:line="280" w:lineRule="exact"/>
              <w:jc w:val="center"/>
              <w:rPr>
                <w:rFonts w:hint="default" w:ascii="Times New Roman" w:hAnsi="Times New Roman" w:eastAsia="仿宋_GB2312"/>
                <w:sz w:val="21"/>
                <w:szCs w:val="21"/>
                <w:highlight w:val="none"/>
                <w:lang w:val="en-US" w:eastAsia="zh-CN"/>
              </w:rPr>
            </w:pPr>
            <w:r>
              <w:rPr>
                <w:rFonts w:hint="eastAsia" w:ascii="Times New Roman" w:hAnsi="Times New Roman" w:eastAsia="仿宋_GB2312"/>
                <w:sz w:val="21"/>
                <w:szCs w:val="21"/>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2</w:t>
            </w:r>
          </w:p>
        </w:tc>
        <w:tc>
          <w:tcPr>
            <w:tcW w:w="4043"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养护维修工程完成率</w:t>
            </w:r>
          </w:p>
        </w:tc>
        <w:tc>
          <w:tcPr>
            <w:tcW w:w="1825"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 w:val="21"/>
                <w:szCs w:val="21"/>
                <w:highlight w:val="none"/>
                <w:lang w:eastAsia="zh-CN"/>
              </w:rPr>
            </w:pPr>
            <w:r>
              <w:rPr>
                <w:rFonts w:hint="eastAsia" w:ascii="Times New Roman" w:hAnsi="Times New Roman" w:eastAsia="仿宋_GB2312"/>
                <w:sz w:val="21"/>
                <w:szCs w:val="21"/>
                <w:highlight w:val="none"/>
                <w:lang w:val="en-US" w:eastAsia="zh-CN"/>
              </w:rPr>
              <w:t>3</w:t>
            </w:r>
          </w:p>
        </w:tc>
        <w:tc>
          <w:tcPr>
            <w:tcW w:w="4043"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村社文化室正常运作率</w:t>
            </w:r>
          </w:p>
        </w:tc>
        <w:tc>
          <w:tcPr>
            <w:tcW w:w="1825"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因疫情原因未开放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 w:val="21"/>
                <w:szCs w:val="21"/>
                <w:highlight w:val="none"/>
                <w:lang w:eastAsia="zh-CN"/>
              </w:rPr>
            </w:pPr>
            <w:r>
              <w:rPr>
                <w:rFonts w:hint="eastAsia" w:ascii="Times New Roman" w:hAnsi="Times New Roman" w:eastAsia="仿宋_GB2312"/>
                <w:sz w:val="21"/>
                <w:szCs w:val="21"/>
                <w:highlight w:val="none"/>
                <w:lang w:val="en-US" w:eastAsia="zh-CN"/>
              </w:rPr>
              <w:t>4</w:t>
            </w:r>
          </w:p>
        </w:tc>
        <w:tc>
          <w:tcPr>
            <w:tcW w:w="4043"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村社党群服务中心正常运作率</w:t>
            </w:r>
          </w:p>
        </w:tc>
        <w:tc>
          <w:tcPr>
            <w:tcW w:w="1825"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1</w:t>
            </w:r>
            <w:r>
              <w:rPr>
                <w:rFonts w:ascii="Times New Roman" w:hAnsi="Times New Roman" w:eastAsia="仿宋_GB2312"/>
                <w:sz w:val="21"/>
                <w:szCs w:val="21"/>
                <w:highlight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 w:val="21"/>
                <w:szCs w:val="21"/>
                <w:highlight w:val="none"/>
                <w:lang w:eastAsia="zh-CN"/>
              </w:rPr>
            </w:pPr>
            <w:r>
              <w:rPr>
                <w:rFonts w:hint="eastAsia" w:ascii="Times New Roman" w:hAnsi="Times New Roman" w:eastAsia="仿宋_GB2312"/>
                <w:sz w:val="21"/>
                <w:szCs w:val="21"/>
                <w:highlight w:val="none"/>
                <w:lang w:val="en-US" w:eastAsia="zh-CN"/>
              </w:rPr>
              <w:t>5</w:t>
            </w:r>
          </w:p>
        </w:tc>
        <w:tc>
          <w:tcPr>
            <w:tcW w:w="4043"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群众投诉、信访及时处理率</w:t>
            </w:r>
          </w:p>
        </w:tc>
        <w:tc>
          <w:tcPr>
            <w:tcW w:w="1825"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lang w:val="en-US" w:eastAsia="zh-CN"/>
              </w:rPr>
              <w:t>100</w:t>
            </w:r>
            <w:r>
              <w:rPr>
                <w:rFonts w:ascii="Times New Roman" w:hAnsi="Times New Roman" w:eastAsia="仿宋_GB231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 w:val="21"/>
                <w:szCs w:val="21"/>
                <w:highlight w:val="none"/>
                <w:lang w:eastAsia="zh-CN"/>
              </w:rPr>
            </w:pPr>
            <w:r>
              <w:rPr>
                <w:rFonts w:hint="eastAsia" w:ascii="Times New Roman" w:hAnsi="Times New Roman" w:eastAsia="仿宋_GB2312"/>
                <w:sz w:val="21"/>
                <w:szCs w:val="21"/>
                <w:highlight w:val="none"/>
                <w:lang w:val="en-US" w:eastAsia="zh-CN"/>
              </w:rPr>
              <w:t>6</w:t>
            </w:r>
          </w:p>
        </w:tc>
        <w:tc>
          <w:tcPr>
            <w:tcW w:w="4043"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各类津贴补贴及时发放率</w:t>
            </w:r>
          </w:p>
        </w:tc>
        <w:tc>
          <w:tcPr>
            <w:tcW w:w="1825"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90%或以上</w:t>
            </w:r>
          </w:p>
        </w:tc>
        <w:tc>
          <w:tcPr>
            <w:tcW w:w="1860"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1</w:t>
            </w:r>
            <w:r>
              <w:rPr>
                <w:rFonts w:ascii="Times New Roman" w:hAnsi="Times New Roman" w:eastAsia="仿宋_GB2312"/>
                <w:sz w:val="21"/>
                <w:szCs w:val="21"/>
                <w:highlight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 w:val="21"/>
                <w:szCs w:val="21"/>
                <w:highlight w:val="none"/>
                <w:lang w:val="en-US" w:eastAsia="zh-CN"/>
              </w:rPr>
            </w:pPr>
            <w:r>
              <w:rPr>
                <w:rFonts w:hint="eastAsia" w:ascii="Times New Roman" w:hAnsi="Times New Roman" w:eastAsia="仿宋_GB2312"/>
                <w:sz w:val="21"/>
                <w:szCs w:val="21"/>
                <w:highlight w:val="none"/>
                <w:lang w:val="en-US" w:eastAsia="zh-CN"/>
              </w:rPr>
              <w:t>7</w:t>
            </w:r>
          </w:p>
        </w:tc>
        <w:tc>
          <w:tcPr>
            <w:tcW w:w="4043"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居家养老及日间托老服务人次数完成率</w:t>
            </w:r>
          </w:p>
        </w:tc>
        <w:tc>
          <w:tcPr>
            <w:tcW w:w="1825"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default" w:ascii="Times New Roman" w:hAnsi="Times New Roman" w:eastAsia="仿宋_GB2312"/>
                <w:sz w:val="21"/>
                <w:szCs w:val="21"/>
                <w:highlight w:val="none"/>
                <w:lang w:val="en-US" w:eastAsia="zh-CN"/>
              </w:rPr>
            </w:pPr>
            <w:r>
              <w:rPr>
                <w:rFonts w:hint="eastAsia" w:ascii="Times New Roman" w:hAnsi="Times New Roman" w:eastAsia="仿宋_GB2312"/>
                <w:sz w:val="21"/>
                <w:szCs w:val="21"/>
                <w:highlight w:val="none"/>
                <w:lang w:val="en-US" w:eastAsia="zh-CN"/>
              </w:rPr>
              <w:t>8</w:t>
            </w:r>
          </w:p>
        </w:tc>
        <w:tc>
          <w:tcPr>
            <w:tcW w:w="4043"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发现卫生黑点或被通报卫生问题及时整改率</w:t>
            </w:r>
          </w:p>
        </w:tc>
        <w:tc>
          <w:tcPr>
            <w:tcW w:w="1825"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100%</w:t>
            </w:r>
          </w:p>
        </w:tc>
        <w:tc>
          <w:tcPr>
            <w:tcW w:w="1860"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97.25%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default" w:ascii="Times New Roman" w:hAnsi="Times New Roman" w:eastAsia="仿宋_GB2312"/>
                <w:sz w:val="21"/>
                <w:szCs w:val="21"/>
                <w:highlight w:val="none"/>
                <w:lang w:val="en-US" w:eastAsia="zh-CN"/>
              </w:rPr>
            </w:pPr>
            <w:r>
              <w:rPr>
                <w:rFonts w:hint="eastAsia" w:ascii="Times New Roman" w:hAnsi="Times New Roman" w:eastAsia="仿宋_GB2312"/>
                <w:sz w:val="21"/>
                <w:szCs w:val="21"/>
                <w:highlight w:val="none"/>
                <w:lang w:val="en-US" w:eastAsia="zh-CN"/>
              </w:rPr>
              <w:t>9</w:t>
            </w:r>
          </w:p>
        </w:tc>
        <w:tc>
          <w:tcPr>
            <w:tcW w:w="4043"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居民综合满意度</w:t>
            </w:r>
          </w:p>
        </w:tc>
        <w:tc>
          <w:tcPr>
            <w:tcW w:w="1825"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rPr>
              <w:t>90%或以上</w:t>
            </w:r>
          </w:p>
        </w:tc>
        <w:tc>
          <w:tcPr>
            <w:tcW w:w="1860" w:type="dxa"/>
            <w:noWrap w:val="0"/>
            <w:vAlign w:val="center"/>
          </w:tcPr>
          <w:p>
            <w:pPr>
              <w:spacing w:line="280" w:lineRule="exact"/>
              <w:jc w:val="center"/>
              <w:rPr>
                <w:rFonts w:hint="eastAsia" w:ascii="Times New Roman" w:hAnsi="Times New Roman" w:eastAsia="仿宋_GB2312"/>
                <w:sz w:val="21"/>
                <w:szCs w:val="21"/>
                <w:highlight w:val="none"/>
              </w:rPr>
            </w:pPr>
            <w:r>
              <w:rPr>
                <w:rFonts w:hint="eastAsia" w:ascii="Times New Roman" w:hAnsi="Times New Roman" w:eastAsia="仿宋_GB2312"/>
                <w:sz w:val="21"/>
                <w:szCs w:val="21"/>
                <w:highlight w:val="none"/>
                <w:lang w:val="en-US" w:eastAsia="zh-CN"/>
              </w:rPr>
              <w:t>100</w:t>
            </w:r>
            <w:r>
              <w:rPr>
                <w:rFonts w:ascii="Times New Roman" w:hAnsi="Times New Roman" w:eastAsia="仿宋_GB2312"/>
                <w:sz w:val="21"/>
                <w:szCs w:val="21"/>
                <w:highlight w:val="none"/>
              </w:rPr>
              <w:t>%</w:t>
            </w:r>
          </w:p>
        </w:tc>
      </w:tr>
    </w:tbl>
    <w:p>
      <w:pPr>
        <w:pStyle w:val="2"/>
        <w:rPr>
          <w:rFonts w:hint="default"/>
          <w:lang w:val="en-US" w:eastAsia="zh-CN"/>
        </w:rPr>
      </w:pPr>
    </w:p>
    <w:p>
      <w:pPr>
        <w:widowControl/>
        <w:numPr>
          <w:ilvl w:val="0"/>
          <w:numId w:val="1"/>
        </w:numPr>
        <w:ind w:firstLine="643" w:firstLineChars="200"/>
        <w:jc w:val="both"/>
        <w:outlineLvl w:val="0"/>
        <w:rPr>
          <w:rFonts w:hint="eastAsia" w:ascii="Times New Roman" w:hAnsi="Times New Roman" w:eastAsia="黑体" w:cs="黑体"/>
          <w:b/>
          <w:snapToGrid w:val="0"/>
          <w:kern w:val="0"/>
          <w:sz w:val="32"/>
          <w:szCs w:val="32"/>
          <w:highlight w:val="none"/>
          <w:lang w:val="en-US" w:eastAsia="zh-CN"/>
        </w:rPr>
      </w:pPr>
      <w:r>
        <w:rPr>
          <w:rFonts w:hint="eastAsia" w:ascii="Times New Roman" w:hAnsi="Times New Roman" w:eastAsia="黑体" w:cs="黑体"/>
          <w:b/>
          <w:snapToGrid w:val="0"/>
          <w:kern w:val="0"/>
          <w:sz w:val="32"/>
          <w:szCs w:val="32"/>
          <w:highlight w:val="none"/>
          <w:lang w:val="en-US" w:eastAsia="zh-CN"/>
        </w:rPr>
        <w:t>评价结论</w:t>
      </w:r>
    </w:p>
    <w:p>
      <w:pPr>
        <w:spacing w:line="360" w:lineRule="auto"/>
        <w:ind w:firstLine="640" w:firstLineChars="200"/>
        <w:jc w:val="both"/>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总体而言，太平镇政府2022年部门整体预算执行率高事项管理、采购管理资金管理基本规范。但仍存在部分问题，如效能指标未完成，预算绩效管理工作不到位，部门整体绩效目标完成度有待提升等。</w:t>
      </w:r>
      <w:r>
        <w:rPr>
          <w:rFonts w:hint="eastAsia" w:ascii="Times New Roman" w:hAnsi="Times New Roman" w:eastAsia="仿宋_GB2312" w:cs="仿宋_GB2312"/>
          <w:sz w:val="32"/>
          <w:szCs w:val="32"/>
          <w:highlight w:val="none"/>
          <w:lang w:val="en-US" w:eastAsia="zh-CN"/>
        </w:rPr>
        <w:t>部门整体绩效评价得分86.80分，绩效等级为“良”。一级指标得分情况见下表。</w:t>
      </w:r>
    </w:p>
    <w:p>
      <w:pPr>
        <w:spacing w:before="156" w:beforeLines="50" w:line="360" w:lineRule="auto"/>
        <w:jc w:val="center"/>
        <w:rPr>
          <w:rFonts w:ascii="Times New Roman" w:hAnsi="Times New Roman" w:eastAsia="黑体"/>
          <w:snapToGrid w:val="0"/>
          <w:sz w:val="32"/>
          <w:szCs w:val="32"/>
          <w:highlight w:val="none"/>
        </w:rPr>
      </w:pPr>
      <w:r>
        <w:rPr>
          <w:rFonts w:hint="eastAsia" w:ascii="黑体" w:hAnsi="黑体" w:eastAsia="黑体" w:cs="黑体"/>
          <w:snapToGrid w:val="0"/>
          <w:sz w:val="28"/>
          <w:szCs w:val="28"/>
          <w:highlight w:val="none"/>
        </w:rPr>
        <w:t>表</w:t>
      </w:r>
      <w:r>
        <w:rPr>
          <w:rFonts w:hint="eastAsia" w:ascii="Times New Roman" w:hAnsi="Times New Roman" w:eastAsia="黑体" w:cs="Times New Roman"/>
          <w:snapToGrid w:val="0"/>
          <w:sz w:val="28"/>
          <w:szCs w:val="28"/>
          <w:highlight w:val="none"/>
          <w:lang w:val="en-US" w:eastAsia="zh-CN"/>
        </w:rPr>
        <w:t>2</w:t>
      </w:r>
      <w:r>
        <w:rPr>
          <w:rFonts w:hint="eastAsia" w:ascii="黑体" w:hAnsi="黑体" w:eastAsia="黑体" w:cs="黑体"/>
          <w:snapToGrid w:val="0"/>
          <w:sz w:val="28"/>
          <w:szCs w:val="28"/>
          <w:highlight w:val="none"/>
        </w:rPr>
        <w:t xml:space="preserve"> </w:t>
      </w:r>
      <w:r>
        <w:rPr>
          <w:rFonts w:hint="eastAsia" w:ascii="黑体" w:hAnsi="黑体" w:eastAsia="黑体" w:cs="黑体"/>
          <w:snapToGrid w:val="0"/>
          <w:sz w:val="28"/>
          <w:szCs w:val="28"/>
          <w:highlight w:val="none"/>
          <w:lang w:val="en-US" w:eastAsia="zh-CN"/>
        </w:rPr>
        <w:t xml:space="preserve"> </w:t>
      </w:r>
      <w:r>
        <w:rPr>
          <w:rFonts w:hint="eastAsia" w:ascii="黑体" w:hAnsi="黑体" w:eastAsia="黑体" w:cs="黑体"/>
          <w:snapToGrid w:val="0"/>
          <w:sz w:val="28"/>
          <w:szCs w:val="28"/>
          <w:highlight w:val="none"/>
        </w:rPr>
        <w:t>一级指标得分情况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trPr>
        <w:tc>
          <w:tcPr>
            <w:tcW w:w="2130" w:type="dxa"/>
            <w:noWrap/>
            <w:vAlign w:val="center"/>
          </w:tcPr>
          <w:p>
            <w:pPr>
              <w:spacing w:line="280" w:lineRule="exact"/>
              <w:jc w:val="center"/>
              <w:rPr>
                <w:rFonts w:hint="eastAsia" w:ascii="Times New Roman" w:hAnsi="Times New Roman" w:eastAsia="仿宋_GB2312"/>
                <w:b/>
                <w:bCs/>
                <w:color w:val="000000"/>
                <w:sz w:val="21"/>
                <w:szCs w:val="21"/>
                <w:highlight w:val="none"/>
              </w:rPr>
            </w:pPr>
            <w:r>
              <w:rPr>
                <w:rFonts w:hint="eastAsia" w:ascii="Times New Roman" w:hAnsi="Times New Roman" w:eastAsia="仿宋_GB2312"/>
                <w:b/>
                <w:bCs/>
                <w:color w:val="000000"/>
                <w:sz w:val="21"/>
                <w:szCs w:val="21"/>
                <w:highlight w:val="none"/>
              </w:rPr>
              <w:t>一级指标</w:t>
            </w:r>
          </w:p>
        </w:tc>
        <w:tc>
          <w:tcPr>
            <w:tcW w:w="2130" w:type="dxa"/>
            <w:noWrap/>
            <w:vAlign w:val="center"/>
          </w:tcPr>
          <w:p>
            <w:pPr>
              <w:spacing w:line="280" w:lineRule="exact"/>
              <w:jc w:val="center"/>
              <w:rPr>
                <w:rFonts w:hint="eastAsia" w:ascii="Times New Roman" w:hAnsi="Times New Roman" w:eastAsia="仿宋_GB2312"/>
                <w:b/>
                <w:bCs/>
                <w:color w:val="000000"/>
                <w:sz w:val="21"/>
                <w:szCs w:val="21"/>
                <w:highlight w:val="none"/>
              </w:rPr>
            </w:pPr>
            <w:r>
              <w:rPr>
                <w:rFonts w:hint="eastAsia" w:ascii="Times New Roman" w:hAnsi="Times New Roman" w:eastAsia="仿宋_GB2312"/>
                <w:b/>
                <w:bCs/>
                <w:color w:val="000000"/>
                <w:sz w:val="21"/>
                <w:szCs w:val="21"/>
                <w:highlight w:val="none"/>
              </w:rPr>
              <w:t>满分</w:t>
            </w:r>
          </w:p>
        </w:tc>
        <w:tc>
          <w:tcPr>
            <w:tcW w:w="2131" w:type="dxa"/>
            <w:noWrap/>
            <w:vAlign w:val="center"/>
          </w:tcPr>
          <w:p>
            <w:pPr>
              <w:spacing w:line="280" w:lineRule="exact"/>
              <w:jc w:val="center"/>
              <w:rPr>
                <w:rFonts w:hint="eastAsia" w:ascii="Times New Roman" w:hAnsi="Times New Roman" w:eastAsia="仿宋_GB2312"/>
                <w:b/>
                <w:bCs/>
                <w:color w:val="000000"/>
                <w:sz w:val="21"/>
                <w:szCs w:val="21"/>
                <w:highlight w:val="none"/>
              </w:rPr>
            </w:pPr>
            <w:r>
              <w:rPr>
                <w:rFonts w:hint="eastAsia" w:ascii="Times New Roman" w:hAnsi="Times New Roman" w:eastAsia="仿宋_GB2312"/>
                <w:b/>
                <w:bCs/>
                <w:color w:val="000000"/>
                <w:sz w:val="21"/>
                <w:szCs w:val="21"/>
                <w:highlight w:val="none"/>
              </w:rPr>
              <w:t>得分</w:t>
            </w:r>
          </w:p>
        </w:tc>
        <w:tc>
          <w:tcPr>
            <w:tcW w:w="2131" w:type="dxa"/>
            <w:noWrap/>
            <w:vAlign w:val="center"/>
          </w:tcPr>
          <w:p>
            <w:pPr>
              <w:spacing w:line="280" w:lineRule="exact"/>
              <w:jc w:val="center"/>
              <w:rPr>
                <w:rFonts w:hint="eastAsia" w:ascii="Times New Roman" w:hAnsi="Times New Roman" w:eastAsia="仿宋_GB2312"/>
                <w:b/>
                <w:bCs/>
                <w:color w:val="000000"/>
                <w:sz w:val="21"/>
                <w:szCs w:val="21"/>
                <w:highlight w:val="none"/>
              </w:rPr>
            </w:pPr>
            <w:r>
              <w:rPr>
                <w:rFonts w:hint="eastAsia" w:ascii="Times New Roman" w:hAnsi="Times New Roman" w:eastAsia="仿宋_GB2312"/>
                <w:b/>
                <w:bCs/>
                <w:color w:val="000000"/>
                <w:sz w:val="21"/>
                <w:szCs w:val="21"/>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30" w:type="dxa"/>
            <w:noWrap/>
            <w:vAlign w:val="center"/>
          </w:tcPr>
          <w:p>
            <w:pPr>
              <w:spacing w:line="280" w:lineRule="exact"/>
              <w:jc w:val="center"/>
              <w:rPr>
                <w:rFonts w:hint="eastAsia" w:ascii="Times New Roman" w:hAnsi="Times New Roman" w:eastAsia="仿宋_GB2312"/>
                <w:color w:val="000000"/>
                <w:sz w:val="21"/>
                <w:szCs w:val="21"/>
                <w:highlight w:val="none"/>
              </w:rPr>
            </w:pPr>
            <w:r>
              <w:rPr>
                <w:rFonts w:hint="eastAsia" w:ascii="Times New Roman" w:hAnsi="Times New Roman" w:eastAsia="仿宋_GB2312"/>
                <w:color w:val="000000"/>
                <w:sz w:val="21"/>
                <w:szCs w:val="21"/>
                <w:highlight w:val="none"/>
              </w:rPr>
              <w:t>履职效能</w:t>
            </w:r>
          </w:p>
        </w:tc>
        <w:tc>
          <w:tcPr>
            <w:tcW w:w="2130" w:type="dxa"/>
            <w:noWrap/>
            <w:vAlign w:val="center"/>
          </w:tcPr>
          <w:p>
            <w:pPr>
              <w:spacing w:line="280" w:lineRule="exact"/>
              <w:jc w:val="center"/>
              <w:rPr>
                <w:rFonts w:hint="eastAsia" w:ascii="Times New Roman" w:hAnsi="Times New Roman" w:eastAsia="仿宋_GB2312"/>
                <w:color w:val="000000"/>
                <w:sz w:val="21"/>
                <w:szCs w:val="21"/>
                <w:highlight w:val="none"/>
              </w:rPr>
            </w:pPr>
            <w:r>
              <w:rPr>
                <w:rFonts w:hint="eastAsia" w:ascii="Times New Roman" w:hAnsi="Times New Roman" w:eastAsia="仿宋_GB2312"/>
                <w:color w:val="000000"/>
                <w:sz w:val="21"/>
                <w:szCs w:val="21"/>
                <w:highlight w:val="none"/>
              </w:rPr>
              <w:t>5</w:t>
            </w:r>
            <w:r>
              <w:rPr>
                <w:rFonts w:ascii="Times New Roman" w:hAnsi="Times New Roman" w:eastAsia="仿宋_GB2312"/>
                <w:color w:val="000000"/>
                <w:sz w:val="21"/>
                <w:szCs w:val="21"/>
                <w:highlight w:val="none"/>
              </w:rPr>
              <w:t>0</w:t>
            </w:r>
          </w:p>
        </w:tc>
        <w:tc>
          <w:tcPr>
            <w:tcW w:w="2131" w:type="dxa"/>
            <w:noWrap/>
            <w:vAlign w:val="center"/>
          </w:tcPr>
          <w:p>
            <w:pPr>
              <w:spacing w:line="280" w:lineRule="exact"/>
              <w:jc w:val="center"/>
              <w:rPr>
                <w:rFonts w:hint="default" w:ascii="Times New Roman" w:hAnsi="Times New Roman" w:eastAsia="仿宋_GB2312"/>
                <w:color w:val="000000"/>
                <w:sz w:val="21"/>
                <w:szCs w:val="21"/>
                <w:highlight w:val="none"/>
                <w:lang w:val="en-US"/>
              </w:rPr>
            </w:pPr>
            <w:r>
              <w:rPr>
                <w:rFonts w:hint="eastAsia" w:ascii="Times New Roman" w:hAnsi="Times New Roman" w:eastAsia="仿宋_GB2312"/>
                <w:color w:val="000000"/>
                <w:sz w:val="21"/>
                <w:szCs w:val="21"/>
                <w:highlight w:val="none"/>
                <w:lang w:val="en-US" w:eastAsia="zh-CN"/>
              </w:rPr>
              <w:t>4</w:t>
            </w:r>
            <w:r>
              <w:rPr>
                <w:rFonts w:hint="eastAsia" w:ascii="Times New Roman" w:hAnsi="Times New Roman"/>
                <w:color w:val="000000"/>
                <w:sz w:val="21"/>
                <w:szCs w:val="21"/>
                <w:highlight w:val="none"/>
                <w:lang w:val="en-US" w:eastAsia="zh-CN"/>
              </w:rPr>
              <w:t>2.80</w:t>
            </w:r>
          </w:p>
        </w:tc>
        <w:tc>
          <w:tcPr>
            <w:tcW w:w="2131" w:type="dxa"/>
            <w:noWrap/>
            <w:vAlign w:val="center"/>
          </w:tcPr>
          <w:p>
            <w:pPr>
              <w:spacing w:line="280" w:lineRule="exact"/>
              <w:jc w:val="center"/>
              <w:rPr>
                <w:rFonts w:hint="eastAsia" w:ascii="Times New Roman" w:hAnsi="Times New Roman" w:eastAsia="仿宋_GB2312"/>
                <w:color w:val="000000"/>
                <w:sz w:val="21"/>
                <w:szCs w:val="21"/>
                <w:highlight w:val="none"/>
              </w:rPr>
            </w:pPr>
            <w:r>
              <w:rPr>
                <w:rFonts w:hint="eastAsia" w:ascii="Times New Roman" w:hAnsi="Times New Roman"/>
                <w:color w:val="000000"/>
                <w:sz w:val="21"/>
                <w:szCs w:val="21"/>
                <w:highlight w:val="none"/>
                <w:lang w:val="en-US" w:eastAsia="zh-CN"/>
              </w:rPr>
              <w:t>85.6</w:t>
            </w:r>
            <w:r>
              <w:rPr>
                <w:rFonts w:hint="eastAsia" w:ascii="Times New Roman" w:hAnsi="Times New Roman" w:eastAsia="仿宋_GB2312"/>
                <w:color w:val="000000"/>
                <w:sz w:val="21"/>
                <w:szCs w:val="21"/>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30" w:type="dxa"/>
            <w:noWrap/>
            <w:vAlign w:val="center"/>
          </w:tcPr>
          <w:p>
            <w:pPr>
              <w:spacing w:line="280" w:lineRule="exact"/>
              <w:jc w:val="center"/>
              <w:rPr>
                <w:rFonts w:hint="eastAsia" w:ascii="Times New Roman" w:hAnsi="Times New Roman" w:eastAsia="仿宋_GB2312"/>
                <w:color w:val="000000"/>
                <w:sz w:val="21"/>
                <w:szCs w:val="21"/>
                <w:highlight w:val="none"/>
              </w:rPr>
            </w:pPr>
            <w:r>
              <w:rPr>
                <w:rFonts w:hint="eastAsia" w:ascii="Times New Roman" w:hAnsi="Times New Roman" w:eastAsia="仿宋_GB2312"/>
                <w:color w:val="000000"/>
                <w:sz w:val="21"/>
                <w:szCs w:val="21"/>
                <w:highlight w:val="none"/>
              </w:rPr>
              <w:t>管理效率</w:t>
            </w:r>
          </w:p>
        </w:tc>
        <w:tc>
          <w:tcPr>
            <w:tcW w:w="2130" w:type="dxa"/>
            <w:noWrap/>
            <w:vAlign w:val="center"/>
          </w:tcPr>
          <w:p>
            <w:pPr>
              <w:spacing w:line="280" w:lineRule="exact"/>
              <w:jc w:val="center"/>
              <w:rPr>
                <w:rFonts w:hint="eastAsia" w:ascii="Times New Roman" w:hAnsi="Times New Roman" w:eastAsia="仿宋_GB2312"/>
                <w:color w:val="000000"/>
                <w:sz w:val="21"/>
                <w:szCs w:val="21"/>
                <w:highlight w:val="none"/>
              </w:rPr>
            </w:pPr>
            <w:r>
              <w:rPr>
                <w:rFonts w:hint="eastAsia" w:ascii="Times New Roman" w:hAnsi="Times New Roman" w:eastAsia="仿宋_GB2312"/>
                <w:color w:val="000000"/>
                <w:sz w:val="21"/>
                <w:szCs w:val="21"/>
                <w:highlight w:val="none"/>
              </w:rPr>
              <w:t>5</w:t>
            </w:r>
            <w:r>
              <w:rPr>
                <w:rFonts w:ascii="Times New Roman" w:hAnsi="Times New Roman" w:eastAsia="仿宋_GB2312"/>
                <w:color w:val="000000"/>
                <w:sz w:val="21"/>
                <w:szCs w:val="21"/>
                <w:highlight w:val="none"/>
              </w:rPr>
              <w:t>0</w:t>
            </w:r>
          </w:p>
        </w:tc>
        <w:tc>
          <w:tcPr>
            <w:tcW w:w="2131" w:type="dxa"/>
            <w:noWrap/>
            <w:vAlign w:val="center"/>
          </w:tcPr>
          <w:p>
            <w:pPr>
              <w:spacing w:line="280" w:lineRule="exact"/>
              <w:jc w:val="center"/>
              <w:rPr>
                <w:rFonts w:hint="eastAsia" w:ascii="Times New Roman" w:hAnsi="Times New Roman" w:eastAsia="仿宋_GB2312"/>
                <w:color w:val="000000"/>
                <w:sz w:val="21"/>
                <w:szCs w:val="21"/>
                <w:highlight w:val="none"/>
              </w:rPr>
            </w:pPr>
            <w:r>
              <w:rPr>
                <w:rFonts w:hint="eastAsia" w:ascii="Times New Roman" w:hAnsi="Times New Roman"/>
                <w:color w:val="000000"/>
                <w:sz w:val="21"/>
                <w:szCs w:val="21"/>
                <w:highlight w:val="none"/>
                <w:lang w:val="en-US" w:eastAsia="zh-CN"/>
              </w:rPr>
              <w:t>44.00</w:t>
            </w:r>
          </w:p>
        </w:tc>
        <w:tc>
          <w:tcPr>
            <w:tcW w:w="2131" w:type="dxa"/>
            <w:noWrap/>
            <w:vAlign w:val="center"/>
          </w:tcPr>
          <w:p>
            <w:pPr>
              <w:spacing w:line="280" w:lineRule="exact"/>
              <w:jc w:val="center"/>
              <w:rPr>
                <w:rFonts w:hint="eastAsia" w:ascii="Times New Roman" w:hAnsi="Times New Roman" w:eastAsia="仿宋_GB2312"/>
                <w:color w:val="000000"/>
                <w:sz w:val="21"/>
                <w:szCs w:val="21"/>
                <w:highlight w:val="none"/>
              </w:rPr>
            </w:pPr>
            <w:r>
              <w:rPr>
                <w:rFonts w:hint="eastAsia" w:ascii="Times New Roman" w:hAnsi="Times New Roman"/>
                <w:color w:val="000000"/>
                <w:sz w:val="21"/>
                <w:szCs w:val="21"/>
                <w:highlight w:val="none"/>
                <w:lang w:val="en-US" w:eastAsia="zh-CN"/>
              </w:rPr>
              <w:t>88</w:t>
            </w:r>
            <w:r>
              <w:rPr>
                <w:rFonts w:hint="eastAsia" w:ascii="Times New Roman" w:hAnsi="Times New Roman" w:eastAsia="仿宋_GB2312"/>
                <w:color w:val="000000"/>
                <w:sz w:val="21"/>
                <w:szCs w:val="21"/>
                <w:highlight w:val="none"/>
                <w:lang w:val="en-US" w:eastAsia="zh-CN"/>
              </w:rPr>
              <w:t>.</w:t>
            </w:r>
            <w:r>
              <w:rPr>
                <w:rFonts w:hint="eastAsia" w:ascii="Times New Roman" w:hAnsi="Times New Roman"/>
                <w:color w:val="000000"/>
                <w:sz w:val="21"/>
                <w:szCs w:val="21"/>
                <w:highlight w:val="none"/>
                <w:lang w:val="en-US" w:eastAsia="zh-CN"/>
              </w:rPr>
              <w:t>00</w:t>
            </w:r>
            <w:r>
              <w:rPr>
                <w:rFonts w:hint="eastAsia" w:ascii="Times New Roman" w:hAnsi="Times New Roman" w:eastAsia="仿宋_GB2312"/>
                <w:color w:val="000000"/>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30" w:type="dxa"/>
            <w:noWrap/>
            <w:vAlign w:val="center"/>
          </w:tcPr>
          <w:p>
            <w:pPr>
              <w:spacing w:line="280" w:lineRule="exact"/>
              <w:jc w:val="center"/>
              <w:rPr>
                <w:rFonts w:hint="eastAsia" w:ascii="Times New Roman" w:hAnsi="Times New Roman" w:eastAsia="仿宋_GB2312"/>
                <w:b/>
                <w:bCs/>
                <w:color w:val="000000"/>
                <w:sz w:val="21"/>
                <w:szCs w:val="21"/>
                <w:highlight w:val="none"/>
              </w:rPr>
            </w:pPr>
            <w:r>
              <w:rPr>
                <w:rFonts w:hint="eastAsia" w:ascii="Times New Roman" w:hAnsi="Times New Roman" w:eastAsia="仿宋_GB2312"/>
                <w:b/>
                <w:bCs/>
                <w:color w:val="000000"/>
                <w:sz w:val="21"/>
                <w:szCs w:val="21"/>
                <w:highlight w:val="none"/>
              </w:rPr>
              <w:t>合计</w:t>
            </w:r>
          </w:p>
        </w:tc>
        <w:tc>
          <w:tcPr>
            <w:tcW w:w="2130" w:type="dxa"/>
            <w:noWrap/>
            <w:vAlign w:val="center"/>
          </w:tcPr>
          <w:p>
            <w:pPr>
              <w:spacing w:line="280" w:lineRule="exact"/>
              <w:jc w:val="center"/>
              <w:rPr>
                <w:rFonts w:hint="eastAsia" w:ascii="Times New Roman" w:hAnsi="Times New Roman" w:eastAsia="仿宋_GB2312"/>
                <w:b/>
                <w:bCs/>
                <w:color w:val="000000"/>
                <w:sz w:val="21"/>
                <w:szCs w:val="21"/>
                <w:highlight w:val="none"/>
              </w:rPr>
            </w:pPr>
            <w:r>
              <w:rPr>
                <w:rFonts w:hint="eastAsia" w:ascii="Times New Roman" w:hAnsi="Times New Roman" w:eastAsia="仿宋_GB2312"/>
                <w:b/>
                <w:bCs/>
                <w:color w:val="000000"/>
                <w:sz w:val="21"/>
                <w:szCs w:val="21"/>
                <w:highlight w:val="none"/>
              </w:rPr>
              <w:t>100</w:t>
            </w:r>
          </w:p>
        </w:tc>
        <w:tc>
          <w:tcPr>
            <w:tcW w:w="2131" w:type="dxa"/>
            <w:noWrap/>
            <w:vAlign w:val="center"/>
          </w:tcPr>
          <w:p>
            <w:pPr>
              <w:spacing w:line="280" w:lineRule="exact"/>
              <w:jc w:val="center"/>
              <w:rPr>
                <w:rFonts w:hint="default" w:ascii="Times New Roman" w:hAnsi="Times New Roman" w:eastAsia="仿宋_GB2312"/>
                <w:b/>
                <w:bCs/>
                <w:color w:val="000000"/>
                <w:sz w:val="21"/>
                <w:szCs w:val="21"/>
                <w:highlight w:val="none"/>
                <w:lang w:val="en-US" w:eastAsia="zh-CN"/>
              </w:rPr>
            </w:pPr>
            <w:r>
              <w:rPr>
                <w:rFonts w:hint="eastAsia" w:ascii="Times New Roman" w:hAnsi="Times New Roman" w:eastAsia="仿宋_GB2312"/>
                <w:b/>
                <w:bCs/>
                <w:color w:val="000000"/>
                <w:sz w:val="21"/>
                <w:szCs w:val="21"/>
                <w:highlight w:val="none"/>
                <w:lang w:val="en-US" w:eastAsia="zh-CN"/>
              </w:rPr>
              <w:t>86.80</w:t>
            </w:r>
          </w:p>
        </w:tc>
        <w:tc>
          <w:tcPr>
            <w:tcW w:w="2131" w:type="dxa"/>
            <w:noWrap/>
            <w:vAlign w:val="center"/>
          </w:tcPr>
          <w:p>
            <w:pPr>
              <w:spacing w:line="280" w:lineRule="exact"/>
              <w:jc w:val="center"/>
              <w:rPr>
                <w:rFonts w:hint="eastAsia" w:ascii="Times New Roman" w:hAnsi="Times New Roman" w:eastAsia="仿宋_GB2312"/>
                <w:b/>
                <w:bCs/>
                <w:color w:val="000000"/>
                <w:sz w:val="21"/>
                <w:szCs w:val="21"/>
                <w:highlight w:val="none"/>
              </w:rPr>
            </w:pPr>
            <w:r>
              <w:rPr>
                <w:rFonts w:hint="eastAsia" w:ascii="Times New Roman" w:hAnsi="Times New Roman" w:eastAsia="仿宋_GB2312"/>
                <w:b/>
                <w:bCs/>
                <w:color w:val="000000"/>
                <w:sz w:val="21"/>
                <w:szCs w:val="21"/>
                <w:highlight w:val="none"/>
                <w:lang w:val="en-US" w:eastAsia="zh-CN"/>
              </w:rPr>
              <w:t>86.80</w:t>
            </w:r>
            <w:r>
              <w:rPr>
                <w:rFonts w:hint="eastAsia" w:ascii="Times New Roman" w:hAnsi="Times New Roman" w:eastAsia="仿宋_GB2312"/>
                <w:b/>
                <w:bCs/>
                <w:color w:val="000000"/>
                <w:sz w:val="21"/>
                <w:szCs w:val="21"/>
                <w:highlight w:val="none"/>
              </w:rPr>
              <w:t>%</w:t>
            </w:r>
          </w:p>
        </w:tc>
      </w:tr>
    </w:tbl>
    <w:p>
      <w:pPr>
        <w:pStyle w:val="2"/>
        <w:numPr>
          <w:ilvl w:val="0"/>
          <w:numId w:val="0"/>
        </w:numPr>
        <w:rPr>
          <w:rFonts w:hint="eastAsia"/>
          <w:lang w:val="en-US" w:eastAsia="zh-CN"/>
        </w:rPr>
      </w:pPr>
    </w:p>
    <w:p>
      <w:pPr>
        <w:widowControl/>
        <w:numPr>
          <w:ilvl w:val="0"/>
          <w:numId w:val="1"/>
        </w:numPr>
        <w:ind w:firstLine="643" w:firstLineChars="200"/>
        <w:jc w:val="both"/>
        <w:outlineLvl w:val="0"/>
        <w:rPr>
          <w:rFonts w:hint="eastAsia" w:ascii="Times New Roman" w:hAnsi="Times New Roman" w:eastAsia="黑体" w:cs="黑体"/>
          <w:b/>
          <w:snapToGrid w:val="0"/>
          <w:kern w:val="0"/>
          <w:sz w:val="32"/>
          <w:szCs w:val="32"/>
          <w:highlight w:val="none"/>
          <w:lang w:val="en-US" w:eastAsia="zh-CN"/>
        </w:rPr>
      </w:pPr>
      <w:bookmarkStart w:id="0" w:name="_Toc13131"/>
      <w:r>
        <w:rPr>
          <w:rFonts w:hint="eastAsia" w:ascii="Times New Roman" w:hAnsi="Times New Roman" w:eastAsia="黑体" w:cs="黑体"/>
          <w:b/>
          <w:snapToGrid w:val="0"/>
          <w:kern w:val="0"/>
          <w:sz w:val="32"/>
          <w:szCs w:val="32"/>
          <w:highlight w:val="none"/>
          <w:lang w:val="en-US" w:eastAsia="zh-CN"/>
        </w:rPr>
        <w:t>部门主要绩效或经验做法</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r>
        <w:rPr>
          <w:rFonts w:hint="eastAsia" w:ascii="Times New Roman" w:hAnsi="Times New Roman" w:eastAsia="楷体_GB2312" w:cs="楷体_GB2312"/>
          <w:b/>
          <w:bCs/>
          <w:snapToGrid w:val="0"/>
          <w:sz w:val="32"/>
          <w:szCs w:val="32"/>
          <w:highlight w:val="none"/>
        </w:rPr>
        <w:t>（一）</w:t>
      </w:r>
      <w:bookmarkEnd w:id="0"/>
      <w:r>
        <w:rPr>
          <w:rFonts w:hint="eastAsia" w:ascii="Times New Roman" w:hAnsi="Times New Roman" w:eastAsia="楷体_GB2312" w:cs="楷体_GB2312"/>
          <w:b/>
          <w:bCs/>
          <w:snapToGrid w:val="0"/>
          <w:sz w:val="32"/>
          <w:szCs w:val="32"/>
          <w:highlight w:val="none"/>
          <w:lang w:val="en-US" w:eastAsia="zh-CN"/>
        </w:rPr>
        <w:t>积极构建现代产业体系，注入经济发展新活力</w:t>
      </w:r>
    </w:p>
    <w:p>
      <w:pPr>
        <w:spacing w:line="360" w:lineRule="auto"/>
        <w:ind w:firstLine="640" w:firstLineChars="200"/>
        <w:jc w:val="both"/>
        <w:rPr>
          <w:rFonts w:hint="eastAsia" w:ascii="Times New Roman" w:hAnsi="Times New Roman" w:eastAsia="仿宋_GB2312"/>
          <w:snapToGrid w:val="0"/>
          <w:sz w:val="32"/>
          <w:szCs w:val="32"/>
          <w:highlight w:val="none"/>
        </w:rPr>
      </w:pPr>
      <w:r>
        <w:rPr>
          <w:rFonts w:hint="eastAsia" w:ascii="Times New Roman" w:hAnsi="Times New Roman" w:eastAsia="仿宋_GB2312"/>
          <w:b w:val="0"/>
          <w:bCs w:val="0"/>
          <w:snapToGrid w:val="0"/>
          <w:sz w:val="32"/>
          <w:szCs w:val="32"/>
          <w:highlight w:val="none"/>
        </w:rPr>
        <w:t>2022年度，太平镇共有“四上”企业52家，其中规模以上工业企业25家，限额以上批发零售业9家，限额以上住宿餐饮业3家，规模以上服务业3家，资质等级建筑业4家、房地产开发经营业8家。2022年主要经济指标完成情况如下：规模以上工业总产值24.36亿元，同比减少3.3%（规模以上工业增加值5.76亿元，同比减少1.6%）；固定资产投资20.01亿元，同比增长19.4%；商品房销售面积6.50万平方米，同比减少37.4%；批发业商品销售额5.39亿元，同比减少18.2%；零售业销售额5.10亿元，同比增长11.6%；住宿业营业额0.2亿元，同比增长124.1%；餐饮业营业额0.64亿元，同比增长2.4%。</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1" w:name="_Toc4474"/>
      <w:r>
        <w:rPr>
          <w:rFonts w:hint="eastAsia" w:ascii="Times New Roman" w:hAnsi="Times New Roman" w:eastAsia="楷体_GB2312" w:cs="楷体_GB2312"/>
          <w:b/>
          <w:bCs/>
          <w:snapToGrid w:val="0"/>
          <w:sz w:val="32"/>
          <w:szCs w:val="32"/>
          <w:highlight w:val="none"/>
        </w:rPr>
        <w:t>（二）</w:t>
      </w:r>
      <w:bookmarkEnd w:id="1"/>
      <w:r>
        <w:rPr>
          <w:rFonts w:hint="eastAsia" w:ascii="Times New Roman" w:hAnsi="Times New Roman" w:eastAsia="楷体_GB2312" w:cs="楷体_GB2312"/>
          <w:b/>
          <w:bCs/>
          <w:snapToGrid w:val="0"/>
          <w:sz w:val="32"/>
          <w:szCs w:val="32"/>
          <w:highlight w:val="none"/>
        </w:rPr>
        <w:t>形成监督检查常态化机制，人居环境整治成效显著</w:t>
      </w:r>
    </w:p>
    <w:p>
      <w:pPr>
        <w:spacing w:line="360" w:lineRule="auto"/>
        <w:ind w:firstLine="640" w:firstLineChars="200"/>
        <w:jc w:val="both"/>
        <w:rPr>
          <w:rFonts w:hint="eastAsia" w:ascii="Times New Roman" w:hAnsi="Times New Roman" w:eastAsia="仿宋_GB2312"/>
          <w:snapToGrid w:val="0"/>
          <w:sz w:val="32"/>
          <w:szCs w:val="32"/>
          <w:highlight w:val="none"/>
        </w:rPr>
      </w:pPr>
      <w:r>
        <w:rPr>
          <w:rFonts w:hint="eastAsia" w:ascii="Times New Roman" w:hAnsi="Times New Roman" w:eastAsia="仿宋_GB2312"/>
          <w:b w:val="0"/>
          <w:bCs w:val="0"/>
          <w:snapToGrid w:val="0"/>
          <w:sz w:val="32"/>
          <w:szCs w:val="32"/>
          <w:highlight w:val="none"/>
        </w:rPr>
        <w:t>2022年度，太平镇持续开展“三清三拆三整治”工作，已打造美丽宜居村33个，特色精品村5个，常态化开展村庄环境卫生大扫除，形成长效机制并持之以恒抓好落实;开展拆违攻坚专项行动，截至12月共拆除罚没各类违章建筑505宗，面积约22.55万平方米；与辖区商铺全面签订责任告知书1209份，开展执法检查216余次，劝导教育违反责任区制度312次；逐步完善镇级垃圾分类收运体系，对重点场所进行垃圾分类检查指导，共发现并整改问题1543宗；“牛皮癣”清理工作共清理513宗，完成招牌备案登记137宗;开展辖区建筑废弃物运输专项整治行动，共检查工地217个次，暂扣车辆27台次，立案11宗，处罚25.08万元，太平镇人居环境明显改善。</w:t>
      </w:r>
      <w:r>
        <w:rPr>
          <w:rFonts w:hint="eastAsia" w:ascii="Times New Roman" w:hAnsi="Times New Roman" w:eastAsia="仿宋_GB2312"/>
          <w:snapToGrid w:val="0"/>
          <w:sz w:val="32"/>
          <w:szCs w:val="32"/>
          <w:highlight w:val="none"/>
        </w:rPr>
        <w:t>。</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2" w:name="_Toc19223"/>
      <w:r>
        <w:rPr>
          <w:rFonts w:hint="eastAsia" w:ascii="Times New Roman" w:hAnsi="Times New Roman" w:eastAsia="楷体_GB2312" w:cs="楷体_GB2312"/>
          <w:b/>
          <w:bCs/>
          <w:snapToGrid w:val="0"/>
          <w:sz w:val="32"/>
          <w:szCs w:val="32"/>
          <w:highlight w:val="none"/>
        </w:rPr>
        <w:t>（三）</w:t>
      </w:r>
      <w:bookmarkEnd w:id="2"/>
      <w:r>
        <w:rPr>
          <w:rFonts w:hint="eastAsia" w:ascii="Times New Roman" w:hAnsi="Times New Roman" w:eastAsia="楷体_GB2312" w:cs="楷体_GB2312"/>
          <w:b/>
          <w:bCs/>
          <w:snapToGrid w:val="0"/>
          <w:sz w:val="32"/>
          <w:szCs w:val="32"/>
          <w:highlight w:val="none"/>
        </w:rPr>
        <w:t>加强特殊群体帮扶力度，社会保障水平不断提升</w:t>
      </w:r>
    </w:p>
    <w:p>
      <w:pPr>
        <w:spacing w:line="360" w:lineRule="auto"/>
        <w:ind w:firstLine="640" w:firstLineChars="200"/>
        <w:jc w:val="both"/>
        <w:rPr>
          <w:rFonts w:ascii="Times New Roman" w:hAnsi="Times New Roman" w:eastAsia="仿宋_GB2312"/>
          <w:snapToGrid w:val="0"/>
          <w:sz w:val="32"/>
          <w:szCs w:val="32"/>
          <w:highlight w:val="none"/>
        </w:rPr>
      </w:pPr>
      <w:r>
        <w:rPr>
          <w:rFonts w:hint="eastAsia" w:ascii="Times New Roman" w:hAnsi="Times New Roman" w:eastAsia="仿宋_GB2312"/>
          <w:b w:val="0"/>
          <w:bCs w:val="0"/>
          <w:snapToGrid w:val="0"/>
          <w:sz w:val="32"/>
          <w:szCs w:val="32"/>
          <w:highlight w:val="none"/>
        </w:rPr>
        <w:t>2022年，太平镇政府面向特困人群、孤儿、残疾人、70岁以上长者等发放各类慰问、补贴、救济资金共计2449.33万元；对全镇834户八类特殊民政对象100%建档，入户服务3804人次，帮困总人次7005人次；举办现场招聘会2场，吸引60家企业入场参加，累计提供就业岗位1919个，实现农村富余劳动力转移就业2092人；积极贯彻落实“扶残助学”工作，为3名残疾人申请学前儿童教育补助；为63名贫困残疾学生申请生活补助；为97名贫困残疾人子女申请生活补助，为4名残疾大学生申请教育奖励，切实为有需要的贫困残疾家庭解决上学难的实际问题。</w:t>
      </w:r>
    </w:p>
    <w:p>
      <w:pPr>
        <w:ind w:firstLine="643" w:firstLineChars="200"/>
        <w:jc w:val="both"/>
        <w:outlineLvl w:val="0"/>
        <w:rPr>
          <w:rFonts w:hint="eastAsia" w:ascii="Times New Roman" w:hAnsi="Times New Roman" w:eastAsia="黑体" w:cs="黑体"/>
          <w:b/>
          <w:snapToGrid w:val="0"/>
          <w:sz w:val="32"/>
          <w:szCs w:val="32"/>
          <w:highlight w:val="none"/>
        </w:rPr>
      </w:pPr>
      <w:bookmarkStart w:id="3" w:name="_Toc16826"/>
      <w:bookmarkStart w:id="4" w:name="_Toc16149"/>
      <w:r>
        <w:rPr>
          <w:rFonts w:hint="eastAsia" w:ascii="Times New Roman" w:hAnsi="Times New Roman" w:eastAsia="黑体" w:cs="黑体"/>
          <w:b/>
          <w:snapToGrid w:val="0"/>
          <w:sz w:val="32"/>
          <w:szCs w:val="32"/>
          <w:highlight w:val="none"/>
          <w:lang w:val="en-US" w:eastAsia="zh-CN"/>
        </w:rPr>
        <w:t>四</w:t>
      </w:r>
      <w:r>
        <w:rPr>
          <w:rFonts w:hint="eastAsia" w:ascii="Times New Roman" w:hAnsi="Times New Roman" w:eastAsia="黑体" w:cs="黑体"/>
          <w:b/>
          <w:snapToGrid w:val="0"/>
          <w:sz w:val="32"/>
          <w:szCs w:val="32"/>
          <w:highlight w:val="none"/>
        </w:rPr>
        <w:t>、存在问题或不足</w:t>
      </w:r>
      <w:bookmarkEnd w:id="3"/>
      <w:bookmarkEnd w:id="4"/>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5" w:name="_Toc21394"/>
      <w:r>
        <w:rPr>
          <w:rFonts w:hint="eastAsia" w:ascii="Times New Roman" w:hAnsi="Times New Roman" w:eastAsia="楷体_GB2312" w:cs="楷体_GB2312"/>
          <w:b/>
          <w:bCs/>
          <w:snapToGrid w:val="0"/>
          <w:sz w:val="32"/>
          <w:szCs w:val="32"/>
          <w:highlight w:val="none"/>
        </w:rPr>
        <w:t>（一）</w:t>
      </w:r>
      <w:bookmarkEnd w:id="5"/>
      <w:r>
        <w:rPr>
          <w:rFonts w:hint="eastAsia" w:ascii="Times New Roman" w:hAnsi="Times New Roman" w:eastAsia="楷体_GB2312" w:cs="楷体_GB2312"/>
          <w:b/>
          <w:bCs/>
          <w:snapToGrid w:val="0"/>
          <w:sz w:val="32"/>
          <w:szCs w:val="32"/>
          <w:highlight w:val="none"/>
        </w:rPr>
        <w:t>部门部分效能指标未完成</w:t>
      </w:r>
    </w:p>
    <w:p>
      <w:pPr>
        <w:spacing w:line="360" w:lineRule="auto"/>
        <w:ind w:firstLine="640" w:firstLineChars="200"/>
        <w:jc w:val="both"/>
        <w:rPr>
          <w:rFonts w:hint="default" w:ascii="Times New Roman" w:hAnsi="Times New Roman" w:eastAsia="仿宋_GB2312"/>
          <w:snapToGrid w:val="0"/>
          <w:sz w:val="32"/>
          <w:szCs w:val="32"/>
          <w:highlight w:val="none"/>
          <w:lang w:val="en-US" w:eastAsia="zh-CN"/>
        </w:rPr>
      </w:pPr>
      <w:r>
        <w:rPr>
          <w:rFonts w:hint="eastAsia" w:ascii="Times New Roman" w:hAnsi="Times New Roman" w:eastAsia="仿宋_GB2312"/>
          <w:snapToGrid w:val="0"/>
          <w:sz w:val="32"/>
          <w:szCs w:val="32"/>
          <w:highlight w:val="none"/>
        </w:rPr>
        <w:t>2022年部门部分重点工作任务指标未按计划完成，部门履职效能有待提升。如2022年太平镇政府未能采取有效措施振工救市，市场主体效益不佳。当年</w:t>
      </w:r>
      <w:r>
        <w:rPr>
          <w:rFonts w:hint="eastAsia" w:ascii="Times New Roman" w:hAnsi="Times New Roman" w:eastAsia="仿宋_GB2312"/>
          <w:snapToGrid w:val="0"/>
          <w:sz w:val="32"/>
          <w:szCs w:val="32"/>
          <w:highlight w:val="none"/>
          <w:lang w:val="en-US" w:eastAsia="zh-CN"/>
        </w:rPr>
        <w:t>1~9月</w:t>
      </w:r>
      <w:r>
        <w:rPr>
          <w:rFonts w:hint="eastAsia" w:ascii="Times New Roman" w:hAnsi="Times New Roman" w:eastAsia="仿宋_GB2312"/>
          <w:snapToGrid w:val="0"/>
          <w:sz w:val="32"/>
          <w:szCs w:val="32"/>
          <w:highlight w:val="none"/>
        </w:rPr>
        <w:t>税收收入37057万元（不含开发区），同比下降46.6%，税收收入大幅下滑，经济指标完成情况不够理想；主干道（S118线，G105）2022年度仍有环境卫生黑点问题出现；2022年珠江生命健康城项目、“高埔创智谷”项目、黄埔—从化产业共建合作区等重大优质项目因用地指标、用地缺口，征地推进慢等问题，项目进度滞后</w:t>
      </w:r>
      <w:r>
        <w:rPr>
          <w:rFonts w:hint="eastAsia" w:ascii="Times New Roman" w:hAnsi="Times New Roman" w:eastAsia="仿宋_GB2312"/>
          <w:snapToGrid w:val="0"/>
          <w:sz w:val="32"/>
          <w:szCs w:val="32"/>
          <w:highlight w:val="none"/>
          <w:lang w:val="en-US" w:eastAsia="zh-CN"/>
        </w:rPr>
        <w:t>。</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6" w:name="_Toc23605"/>
      <w:r>
        <w:rPr>
          <w:rFonts w:hint="eastAsia" w:ascii="Times New Roman" w:hAnsi="Times New Roman" w:eastAsia="楷体_GB2312" w:cs="楷体_GB2312"/>
          <w:b/>
          <w:bCs/>
          <w:snapToGrid w:val="0"/>
          <w:sz w:val="32"/>
          <w:szCs w:val="32"/>
          <w:highlight w:val="none"/>
        </w:rPr>
        <w:t>（二）</w:t>
      </w:r>
      <w:bookmarkEnd w:id="6"/>
      <w:r>
        <w:rPr>
          <w:rFonts w:hint="eastAsia" w:ascii="Times New Roman" w:hAnsi="Times New Roman" w:eastAsia="楷体_GB2312" w:cs="楷体_GB2312"/>
          <w:b/>
          <w:bCs/>
          <w:snapToGrid w:val="0"/>
          <w:sz w:val="32"/>
          <w:szCs w:val="32"/>
          <w:highlight w:val="none"/>
        </w:rPr>
        <w:t>部门绩效管理制度不完善</w:t>
      </w:r>
    </w:p>
    <w:p>
      <w:pPr>
        <w:spacing w:line="360" w:lineRule="auto"/>
        <w:ind w:firstLine="640" w:firstLineChars="200"/>
        <w:jc w:val="both"/>
        <w:rPr>
          <w:rFonts w:ascii="Times New Roman" w:hAnsi="Times New Roman" w:eastAsia="仿宋_GB2312"/>
          <w:snapToGrid w:val="0"/>
          <w:sz w:val="32"/>
          <w:szCs w:val="32"/>
          <w:highlight w:val="none"/>
        </w:rPr>
      </w:pPr>
      <w:r>
        <w:rPr>
          <w:rFonts w:hint="eastAsia" w:ascii="Times New Roman" w:hAnsi="Times New Roman" w:eastAsia="仿宋_GB2312"/>
          <w:snapToGrid w:val="0"/>
          <w:sz w:val="32"/>
          <w:szCs w:val="32"/>
          <w:highlight w:val="none"/>
        </w:rPr>
        <w:t>根据《中共广东省委 广东省人民政府关于全面实施预算绩效管理的若干意见》要求，“到2022年省、市、县建成较为完善的全面预算绩效管理体系”。调研发现，《广州市从化区太平镇预算绩效管理办法（征求意见稿）》暂未通过党委会审议，处于未实施阶段。</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7" w:name="_Toc26997"/>
      <w:r>
        <w:rPr>
          <w:rFonts w:hint="eastAsia" w:ascii="Times New Roman" w:hAnsi="Times New Roman" w:eastAsia="楷体_GB2312" w:cs="楷体_GB2312"/>
          <w:b/>
          <w:bCs/>
          <w:snapToGrid w:val="0"/>
          <w:sz w:val="32"/>
          <w:szCs w:val="32"/>
          <w:highlight w:val="none"/>
        </w:rPr>
        <w:t>（三）</w:t>
      </w:r>
      <w:bookmarkEnd w:id="7"/>
      <w:r>
        <w:rPr>
          <w:rFonts w:hint="eastAsia" w:ascii="Times New Roman" w:hAnsi="Times New Roman" w:eastAsia="楷体_GB2312" w:cs="楷体_GB2312"/>
          <w:b/>
          <w:bCs/>
          <w:snapToGrid w:val="0"/>
          <w:sz w:val="32"/>
          <w:szCs w:val="32"/>
          <w:highlight w:val="none"/>
        </w:rPr>
        <w:t>部门预算绩效管理执行不到位</w:t>
      </w:r>
    </w:p>
    <w:p>
      <w:pPr>
        <w:spacing w:line="360" w:lineRule="auto"/>
        <w:ind w:firstLine="643" w:firstLineChars="200"/>
        <w:jc w:val="both"/>
        <w:rPr>
          <w:rFonts w:hint="eastAsia" w:ascii="Times New Roman" w:hAnsi="Times New Roman" w:eastAsia="仿宋_GB2312"/>
          <w:snapToGrid w:val="0"/>
          <w:sz w:val="32"/>
          <w:szCs w:val="32"/>
          <w:highlight w:val="none"/>
        </w:rPr>
      </w:pPr>
      <w:r>
        <w:rPr>
          <w:rFonts w:hint="eastAsia" w:ascii="Times New Roman" w:hAnsi="Times New Roman" w:eastAsia="仿宋_GB2312"/>
          <w:b/>
          <w:bCs/>
          <w:snapToGrid w:val="0"/>
          <w:sz w:val="32"/>
          <w:szCs w:val="32"/>
          <w:highlight w:val="none"/>
        </w:rPr>
        <w:t>一是</w:t>
      </w:r>
      <w:r>
        <w:rPr>
          <w:rFonts w:hint="eastAsia" w:ascii="Times New Roman" w:hAnsi="Times New Roman" w:eastAsia="仿宋_GB2312"/>
          <w:snapToGrid w:val="0"/>
          <w:sz w:val="32"/>
          <w:szCs w:val="32"/>
          <w:highlight w:val="none"/>
        </w:rPr>
        <w:t>绩效目标设置不科学。整体绩效目标未能体现年度工作计划。太平镇政府2022年部门整体绩效目标、指标未能体现“聚焦招商引资、产业培育、载体建设”等重点工作。部门整体绩效指标结构不合理，多为部门实际工作产出，没有体现部门履职效果的经济社会效益指标；</w:t>
      </w:r>
    </w:p>
    <w:p>
      <w:pPr>
        <w:spacing w:line="360" w:lineRule="auto"/>
        <w:ind w:firstLine="643" w:firstLineChars="200"/>
        <w:jc w:val="both"/>
        <w:rPr>
          <w:rFonts w:hint="eastAsia" w:ascii="Times New Roman" w:hAnsi="Times New Roman" w:eastAsia="仿宋_GB2312"/>
          <w:snapToGrid w:val="0"/>
          <w:sz w:val="32"/>
          <w:szCs w:val="32"/>
          <w:highlight w:val="none"/>
        </w:rPr>
      </w:pPr>
      <w:r>
        <w:rPr>
          <w:rFonts w:hint="eastAsia" w:ascii="Times New Roman" w:hAnsi="Times New Roman" w:eastAsia="仿宋_GB2312"/>
          <w:b/>
          <w:bCs/>
          <w:snapToGrid w:val="0"/>
          <w:sz w:val="32"/>
          <w:szCs w:val="32"/>
          <w:highlight w:val="none"/>
        </w:rPr>
        <w:t>二是</w:t>
      </w:r>
      <w:r>
        <w:rPr>
          <w:rFonts w:hint="eastAsia" w:ascii="Times New Roman" w:hAnsi="Times New Roman" w:eastAsia="仿宋_GB2312"/>
          <w:snapToGrid w:val="0"/>
          <w:sz w:val="32"/>
          <w:szCs w:val="32"/>
          <w:highlight w:val="none"/>
        </w:rPr>
        <w:t>部分绩效指标编制不准确，如“基建工程完成率”指标的预期指标值为100%。但2022年度未批复基建工程项目预算，</w:t>
      </w:r>
      <w:r>
        <w:rPr>
          <w:rFonts w:hint="eastAsia" w:ascii="Times New Roman" w:hAnsi="Times New Roman" w:eastAsia="仿宋_GB2312"/>
          <w:snapToGrid w:val="0"/>
          <w:sz w:val="32"/>
          <w:szCs w:val="32"/>
          <w:highlight w:val="none"/>
          <w:lang w:val="en-US" w:eastAsia="zh-CN"/>
        </w:rPr>
        <w:t>太</w:t>
      </w:r>
      <w:r>
        <w:rPr>
          <w:rFonts w:hint="eastAsia" w:ascii="Times New Roman" w:hAnsi="Times New Roman" w:eastAsia="仿宋_GB2312"/>
          <w:snapToGrid w:val="0"/>
          <w:sz w:val="32"/>
          <w:szCs w:val="32"/>
          <w:highlight w:val="none"/>
        </w:rPr>
        <w:t>平镇政府仍编制“基建工程完成率”指标。</w:t>
      </w:r>
    </w:p>
    <w:p>
      <w:pPr>
        <w:spacing w:line="360" w:lineRule="auto"/>
        <w:ind w:firstLine="643" w:firstLineChars="200"/>
        <w:jc w:val="both"/>
        <w:rPr>
          <w:rFonts w:hint="eastAsia" w:ascii="Times New Roman" w:hAnsi="Times New Roman" w:eastAsia="仿宋_GB2312"/>
          <w:snapToGrid w:val="0"/>
          <w:sz w:val="32"/>
          <w:szCs w:val="32"/>
          <w:highlight w:val="none"/>
        </w:rPr>
      </w:pPr>
      <w:r>
        <w:rPr>
          <w:rFonts w:hint="eastAsia" w:ascii="Times New Roman" w:hAnsi="Times New Roman" w:eastAsia="仿宋_GB2312"/>
          <w:b/>
          <w:bCs/>
          <w:snapToGrid w:val="0"/>
          <w:sz w:val="32"/>
          <w:szCs w:val="32"/>
          <w:highlight w:val="none"/>
        </w:rPr>
        <w:t>三是</w:t>
      </w:r>
      <w:r>
        <w:rPr>
          <w:rFonts w:hint="eastAsia" w:ascii="Times New Roman" w:hAnsi="Times New Roman" w:eastAsia="仿宋_GB2312"/>
          <w:snapToGrid w:val="0"/>
          <w:sz w:val="32"/>
          <w:szCs w:val="32"/>
          <w:highlight w:val="none"/>
        </w:rPr>
        <w:t>自评材料填报不规范。部分部门整体绩效指标自评佐证材料与部门整体绩效目标和核心产出无关。如，时效指标“各类津贴补贴发放及时率”，自评佐证材料采用《部门工作人员津贴补贴发放表》，与部门整体绩效目标和核心产出均无关。</w:t>
      </w:r>
    </w:p>
    <w:p>
      <w:pPr>
        <w:ind w:firstLine="643" w:firstLineChars="200"/>
        <w:jc w:val="both"/>
        <w:outlineLvl w:val="0"/>
        <w:rPr>
          <w:rFonts w:hint="eastAsia" w:ascii="Times New Roman" w:hAnsi="Times New Roman" w:eastAsia="黑体" w:cs="黑体"/>
          <w:b/>
          <w:snapToGrid w:val="0"/>
          <w:sz w:val="32"/>
          <w:szCs w:val="32"/>
          <w:highlight w:val="none"/>
        </w:rPr>
      </w:pPr>
      <w:bookmarkStart w:id="8" w:name="_Toc27881"/>
      <w:bookmarkStart w:id="9" w:name="_Toc27241"/>
      <w:r>
        <w:rPr>
          <w:rFonts w:hint="eastAsia" w:ascii="Times New Roman" w:hAnsi="Times New Roman" w:eastAsia="黑体" w:cs="黑体"/>
          <w:b/>
          <w:snapToGrid w:val="0"/>
          <w:sz w:val="32"/>
          <w:szCs w:val="32"/>
          <w:highlight w:val="none"/>
          <w:lang w:val="en-US" w:eastAsia="zh-CN"/>
        </w:rPr>
        <w:t>五</w:t>
      </w:r>
      <w:r>
        <w:rPr>
          <w:rFonts w:hint="eastAsia" w:ascii="Times New Roman" w:hAnsi="Times New Roman" w:eastAsia="黑体" w:cs="黑体"/>
          <w:b/>
          <w:snapToGrid w:val="0"/>
          <w:sz w:val="32"/>
          <w:szCs w:val="32"/>
          <w:highlight w:val="none"/>
        </w:rPr>
        <w:t>、相关建议</w:t>
      </w:r>
      <w:bookmarkEnd w:id="8"/>
      <w:bookmarkEnd w:id="9"/>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10" w:name="_Toc20872"/>
      <w:r>
        <w:rPr>
          <w:rFonts w:hint="eastAsia" w:ascii="Times New Roman" w:hAnsi="Times New Roman" w:eastAsia="楷体_GB2312" w:cs="楷体_GB2312"/>
          <w:b/>
          <w:bCs/>
          <w:snapToGrid w:val="0"/>
          <w:sz w:val="32"/>
          <w:szCs w:val="32"/>
          <w:highlight w:val="none"/>
        </w:rPr>
        <w:t>（一）</w:t>
      </w:r>
      <w:bookmarkEnd w:id="10"/>
      <w:r>
        <w:rPr>
          <w:rFonts w:hint="eastAsia" w:ascii="Times New Roman" w:hAnsi="Times New Roman" w:eastAsia="楷体_GB2312" w:cs="楷体_GB2312"/>
          <w:b/>
          <w:bCs/>
          <w:snapToGrid w:val="0"/>
          <w:sz w:val="32"/>
          <w:szCs w:val="32"/>
          <w:highlight w:val="none"/>
        </w:rPr>
        <w:t>注重目标导向，强化部门履职效能</w:t>
      </w:r>
    </w:p>
    <w:p>
      <w:pPr>
        <w:spacing w:line="360" w:lineRule="auto"/>
        <w:ind w:firstLine="643" w:firstLineChars="200"/>
        <w:jc w:val="both"/>
        <w:rPr>
          <w:rFonts w:ascii="Times New Roman" w:hAnsi="Times New Roman" w:eastAsia="仿宋_GB2312"/>
          <w:snapToGrid w:val="0"/>
          <w:sz w:val="32"/>
          <w:szCs w:val="32"/>
          <w:highlight w:val="none"/>
        </w:rPr>
      </w:pPr>
      <w:r>
        <w:rPr>
          <w:rFonts w:hint="eastAsia" w:ascii="Times New Roman" w:hAnsi="Times New Roman" w:eastAsia="仿宋_GB2312"/>
          <w:b/>
          <w:bCs/>
          <w:snapToGrid w:val="0"/>
          <w:sz w:val="32"/>
          <w:szCs w:val="32"/>
          <w:highlight w:val="none"/>
        </w:rPr>
        <w:t>一是</w:t>
      </w:r>
      <w:r>
        <w:rPr>
          <w:rFonts w:hint="eastAsia" w:ascii="Times New Roman" w:hAnsi="Times New Roman" w:eastAsia="仿宋_GB2312"/>
          <w:snapToGrid w:val="0"/>
          <w:sz w:val="32"/>
          <w:szCs w:val="32"/>
          <w:highlight w:val="none"/>
        </w:rPr>
        <w:t>合理设置全年目标。对全年目标任务进一步细化分解，明确各办公室职责，重点突破难点薄弱点。对现有企业，分为大中小分类有针对性采取措施，大企业继续实施千百十工程，中等企业搞达标建设，对小微企业加大服务力度，特别是解决资金用工问题，确保运转。</w:t>
      </w:r>
      <w:r>
        <w:rPr>
          <w:rFonts w:hint="eastAsia" w:ascii="Times New Roman" w:hAnsi="Times New Roman" w:eastAsia="仿宋_GB2312"/>
          <w:b/>
          <w:bCs/>
          <w:snapToGrid w:val="0"/>
          <w:sz w:val="32"/>
          <w:szCs w:val="32"/>
          <w:highlight w:val="none"/>
        </w:rPr>
        <w:t>二是</w:t>
      </w:r>
      <w:r>
        <w:rPr>
          <w:rFonts w:hint="eastAsia" w:ascii="Times New Roman" w:hAnsi="Times New Roman" w:eastAsia="仿宋_GB2312"/>
          <w:snapToGrid w:val="0"/>
          <w:sz w:val="32"/>
          <w:szCs w:val="32"/>
          <w:highlight w:val="none"/>
        </w:rPr>
        <w:t>严格落实节约集约。项目初步设计阶段，因地制宜优先采用本行业先进的节地技术和节地模式，在满足安全生产等前提下，优化设计方案，提升项目节地水平。</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11" w:name="_Toc10933"/>
      <w:r>
        <w:rPr>
          <w:rFonts w:hint="eastAsia" w:ascii="Times New Roman" w:hAnsi="Times New Roman" w:eastAsia="楷体_GB2312" w:cs="楷体_GB2312"/>
          <w:b/>
          <w:bCs/>
          <w:snapToGrid w:val="0"/>
          <w:sz w:val="32"/>
          <w:szCs w:val="32"/>
          <w:highlight w:val="none"/>
        </w:rPr>
        <w:t>（二）</w:t>
      </w:r>
      <w:bookmarkEnd w:id="11"/>
      <w:r>
        <w:rPr>
          <w:rFonts w:hint="eastAsia" w:ascii="Times New Roman" w:hAnsi="Times New Roman" w:eastAsia="楷体_GB2312" w:cs="楷体_GB2312"/>
          <w:b/>
          <w:bCs/>
          <w:snapToGrid w:val="0"/>
          <w:sz w:val="32"/>
          <w:szCs w:val="32"/>
          <w:highlight w:val="none"/>
        </w:rPr>
        <w:t>强化部门协同，加快预算绩效管理制度建设</w:t>
      </w:r>
    </w:p>
    <w:p>
      <w:pPr>
        <w:widowControl w:val="0"/>
        <w:spacing w:line="360" w:lineRule="auto"/>
        <w:ind w:firstLine="643" w:firstLineChars="200"/>
        <w:jc w:val="both"/>
        <w:rPr>
          <w:rFonts w:ascii="Times New Roman" w:hAnsi="Times New Roman" w:eastAsia="仿宋_GB2312"/>
          <w:snapToGrid w:val="0"/>
          <w:sz w:val="32"/>
          <w:szCs w:val="32"/>
          <w:highlight w:val="none"/>
        </w:rPr>
      </w:pPr>
      <w:r>
        <w:rPr>
          <w:rFonts w:hint="eastAsia" w:ascii="Times New Roman" w:hAnsi="Times New Roman" w:eastAsia="仿宋_GB2312"/>
          <w:b/>
          <w:bCs/>
          <w:snapToGrid w:val="0"/>
          <w:sz w:val="32"/>
          <w:szCs w:val="32"/>
          <w:highlight w:val="none"/>
        </w:rPr>
        <w:t>一是</w:t>
      </w:r>
      <w:r>
        <w:rPr>
          <w:rFonts w:hint="eastAsia" w:ascii="Times New Roman" w:hAnsi="Times New Roman" w:eastAsia="仿宋_GB2312"/>
          <w:snapToGrid w:val="0"/>
          <w:sz w:val="32"/>
          <w:szCs w:val="32"/>
          <w:highlight w:val="none"/>
        </w:rPr>
        <w:t>尽快推动预算绩效管理制度落地。提升镇政府预算绩效管理一体化水平，切实提高预算资金的使用效益。</w:t>
      </w:r>
      <w:r>
        <w:rPr>
          <w:rFonts w:hint="eastAsia" w:ascii="Times New Roman" w:hAnsi="Times New Roman" w:eastAsia="仿宋_GB2312"/>
          <w:b/>
          <w:bCs/>
          <w:snapToGrid w:val="0"/>
          <w:sz w:val="32"/>
          <w:szCs w:val="32"/>
          <w:highlight w:val="none"/>
        </w:rPr>
        <w:t>二是</w:t>
      </w:r>
      <w:r>
        <w:rPr>
          <w:rFonts w:hint="eastAsia" w:ascii="Times New Roman" w:hAnsi="Times New Roman" w:eastAsia="仿宋_GB2312"/>
          <w:snapToGrid w:val="0"/>
          <w:sz w:val="32"/>
          <w:szCs w:val="32"/>
          <w:highlight w:val="none"/>
        </w:rPr>
        <w:t>建立财政办公室和各业务科室联动工作机制，实现预算绩效管理业财融合，权责清晰的目标。强化本级预算和经管资金全过程管理的绩效导向，对资金分配、使用、监督各个环节提出具体的绩效管理规范要求。</w:t>
      </w:r>
    </w:p>
    <w:p>
      <w:pPr>
        <w:spacing w:line="360" w:lineRule="auto"/>
        <w:ind w:firstLine="643" w:firstLineChars="200"/>
        <w:jc w:val="both"/>
        <w:outlineLvl w:val="1"/>
        <w:rPr>
          <w:rFonts w:hint="eastAsia" w:ascii="Times New Roman" w:hAnsi="Times New Roman" w:eastAsia="楷体_GB2312" w:cs="楷体_GB2312"/>
          <w:b/>
          <w:bCs/>
          <w:snapToGrid w:val="0"/>
          <w:sz w:val="32"/>
          <w:szCs w:val="32"/>
          <w:highlight w:val="none"/>
        </w:rPr>
      </w:pPr>
      <w:bookmarkStart w:id="12" w:name="_Toc4098"/>
      <w:r>
        <w:rPr>
          <w:rFonts w:hint="eastAsia" w:ascii="Times New Roman" w:hAnsi="Times New Roman" w:eastAsia="楷体_GB2312" w:cs="楷体_GB2312"/>
          <w:b/>
          <w:bCs/>
          <w:snapToGrid w:val="0"/>
          <w:sz w:val="32"/>
          <w:szCs w:val="32"/>
          <w:highlight w:val="none"/>
        </w:rPr>
        <w:t>（三）</w:t>
      </w:r>
      <w:bookmarkEnd w:id="12"/>
      <w:r>
        <w:rPr>
          <w:rFonts w:hint="eastAsia" w:ascii="Times New Roman" w:hAnsi="Times New Roman" w:eastAsia="楷体_GB2312" w:cs="楷体_GB2312"/>
          <w:b/>
          <w:bCs/>
          <w:snapToGrid w:val="0"/>
          <w:sz w:val="32"/>
          <w:szCs w:val="32"/>
          <w:highlight w:val="none"/>
        </w:rPr>
        <w:t>落实工作要求，提升预算绩效管理水平</w:t>
      </w:r>
    </w:p>
    <w:p>
      <w:pPr>
        <w:widowControl w:val="0"/>
        <w:spacing w:line="360" w:lineRule="auto"/>
        <w:ind w:firstLine="643" w:firstLineChars="200"/>
        <w:jc w:val="both"/>
        <w:rPr>
          <w:rFonts w:ascii="Times New Roman" w:hAnsi="Times New Roman" w:eastAsia="仿宋_GB2312"/>
          <w:snapToGrid w:val="0"/>
          <w:sz w:val="32"/>
          <w:szCs w:val="32"/>
          <w:highlight w:val="none"/>
        </w:rPr>
      </w:pPr>
      <w:r>
        <w:rPr>
          <w:rFonts w:hint="eastAsia" w:ascii="Times New Roman" w:hAnsi="Times New Roman" w:eastAsia="仿宋_GB2312"/>
          <w:b/>
          <w:bCs/>
          <w:snapToGrid w:val="0"/>
          <w:sz w:val="32"/>
          <w:szCs w:val="32"/>
          <w:highlight w:val="none"/>
        </w:rPr>
        <w:t>一是</w:t>
      </w:r>
      <w:r>
        <w:rPr>
          <w:rFonts w:hint="eastAsia" w:ascii="Times New Roman" w:hAnsi="Times New Roman" w:eastAsia="仿宋_GB2312"/>
          <w:snapToGrid w:val="0"/>
          <w:sz w:val="32"/>
          <w:szCs w:val="32"/>
          <w:highlight w:val="none"/>
        </w:rPr>
        <w:t>科学准确设置绩效目标。根据年度实施计划，梳理年度重点工作预期目标，对应设置细化量化、个性化的绩效目标。部分难以量化的指标的可采取定性方式分级、分档表述，保证绩效指标可考核性。</w:t>
      </w:r>
      <w:r>
        <w:rPr>
          <w:rFonts w:hint="eastAsia" w:ascii="Times New Roman" w:hAnsi="Times New Roman" w:eastAsia="仿宋_GB2312"/>
          <w:b/>
          <w:bCs/>
          <w:snapToGrid w:val="0"/>
          <w:sz w:val="32"/>
          <w:szCs w:val="32"/>
          <w:highlight w:val="none"/>
        </w:rPr>
        <w:t>二是</w:t>
      </w:r>
      <w:r>
        <w:rPr>
          <w:rFonts w:hint="eastAsia" w:ascii="Times New Roman" w:hAnsi="Times New Roman" w:eastAsia="仿宋_GB2312"/>
          <w:snapToGrid w:val="0"/>
          <w:sz w:val="32"/>
          <w:szCs w:val="32"/>
          <w:highlight w:val="none"/>
        </w:rPr>
        <w:t>日常注重绩效材料收集准确性。在部门整体自评工作过程中，部门负责人应围绕设置</w:t>
      </w:r>
      <w:bookmarkStart w:id="13" w:name="_GoBack"/>
      <w:bookmarkEnd w:id="13"/>
      <w:r>
        <w:rPr>
          <w:rFonts w:hint="eastAsia" w:ascii="Times New Roman" w:hAnsi="Times New Roman" w:eastAsia="仿宋_GB2312"/>
          <w:snapToGrid w:val="0"/>
          <w:sz w:val="32"/>
          <w:szCs w:val="32"/>
          <w:highlight w:val="none"/>
        </w:rPr>
        <w:t>的绩效指标定期收集整理佐证完成情况的材料，提前做好汇总分析，以便及时发现问题及时纠偏，确保项目年度绩效目标保质保量完成。</w:t>
      </w:r>
    </w:p>
    <w:p>
      <w:pPr>
        <w:rPr>
          <w:rFonts w:ascii="仿宋_GB2312" w:hAnsi="仿宋_GB2312" w:eastAsia="仿宋_GB2312" w:cs="仿宋_GB2312"/>
          <w:b w:val="0"/>
          <w:bCs w:val="0"/>
          <w:color w:val="000000"/>
          <w:sz w:val="31"/>
          <w:szCs w:val="31"/>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DA984"/>
    <w:multiLevelType w:val="singleLevel"/>
    <w:tmpl w:val="357DA98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4MzRhN2YzOGQyOTZkNzdhZjk4YmZjZWJkYTc4NWQifQ=="/>
  </w:docVars>
  <w:rsids>
    <w:rsidRoot w:val="00172A27"/>
    <w:rsid w:val="1DD97567"/>
    <w:rsid w:val="20E95D13"/>
    <w:rsid w:val="25022CAD"/>
    <w:rsid w:val="2B911481"/>
    <w:rsid w:val="37B95FBD"/>
    <w:rsid w:val="48376263"/>
    <w:rsid w:val="4D2D2C2B"/>
    <w:rsid w:val="531D2B78"/>
    <w:rsid w:val="57580035"/>
    <w:rsid w:val="59D86B0C"/>
    <w:rsid w:val="5B6532D1"/>
    <w:rsid w:val="6C45464C"/>
    <w:rsid w:val="706F551D"/>
    <w:rsid w:val="731B0CDC"/>
    <w:rsid w:val="77363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qFormat/>
    <w:uiPriority w:val="0"/>
    <w:pPr>
      <w:ind w:left="1260" w:leftChars="6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qFormat/>
    <w:uiPriority w:val="99"/>
    <w:pPr>
      <w:snapToGrid w:val="0"/>
      <w:jc w:val="left"/>
    </w:pPr>
    <w:rPr>
      <w:sz w:val="18"/>
      <w:szCs w:val="18"/>
    </w:rPr>
  </w:style>
  <w:style w:type="character" w:styleId="9">
    <w:name w:val="footnote reference"/>
    <w:qFormat/>
    <w:uiPriority w:val="99"/>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2023-09-21T06:56:00Z</dcterms:created>
  <dc:creator>陈鲜鲜</dc:creator>
  <cp:lastModifiedBy>文</cp:lastModifiedBy>
  <dcterms:modified xsi:type="dcterms:W3CDTF">2024-05-21T03:50:33Z</dcterms:modified>
  <dc:title>2022年广州市从化区太平镇人民政府部门整体支出 </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7715C1D9D5D0423ABD71AB1D4E91AF6C_13</vt:lpwstr>
  </property>
</Properties>
</file>