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overflowPunct/>
        <w:adjustRightInd w:val="0"/>
        <w:snapToGrid w:val="0"/>
        <w:spacing w:line="560" w:lineRule="atLeast"/>
        <w:ind w:firstLine="0" w:firstLineChars="0"/>
        <w:jc w:val="center"/>
        <w:rPr>
          <w:rFonts w:hint="eastAsia" w:ascii="方正小标宋_GBK" w:hAnsi="方正小标宋_GBK" w:eastAsia="方正小标宋_GBK" w:cs="方正小标宋_GBK"/>
          <w:b w:val="0"/>
          <w:bCs w:val="0"/>
          <w:kern w:val="36"/>
          <w:sz w:val="44"/>
          <w:szCs w:val="44"/>
          <w:shd w:val="clear" w:color="auto" w:fill="FFFFFF"/>
          <w:lang w:val="en-US" w:eastAsia="zh-CN" w:bidi="ar-SA"/>
        </w:rPr>
      </w:pPr>
      <w:r>
        <w:rPr>
          <w:rFonts w:hint="eastAsia" w:ascii="方正小标宋_GBK" w:hAnsi="方正小标宋_GBK" w:eastAsia="方正小标宋_GBK" w:cs="方正小标宋_GBK"/>
          <w:b w:val="0"/>
          <w:bCs w:val="0"/>
          <w:kern w:val="36"/>
          <w:sz w:val="44"/>
          <w:szCs w:val="44"/>
          <w:shd w:val="clear" w:color="auto" w:fill="FFFFFF"/>
          <w:lang w:val="en-US" w:eastAsia="zh-CN" w:bidi="ar-SA"/>
        </w:rPr>
        <w:t>2022年度从化区市场监督管理局部门整体支出绩效评价报告</w:t>
      </w:r>
    </w:p>
    <w:p>
      <w:pPr>
        <w:pStyle w:val="9"/>
        <w:ind w:firstLine="0" w:firstLineChars="0"/>
        <w:jc w:val="center"/>
        <w:rPr>
          <w:rFonts w:ascii="仿宋" w:hAnsi="仿宋" w:eastAsia="仿宋" w:cs="仿宋"/>
        </w:rPr>
      </w:pPr>
      <w:r>
        <w:rPr>
          <w:rFonts w:hint="eastAsia" w:ascii="仿宋" w:hAnsi="仿宋" w:eastAsia="仿宋" w:cs="仿宋"/>
        </w:rPr>
        <w:t>广州零点有数数据科技有限公司</w:t>
      </w:r>
    </w:p>
    <w:p>
      <w:pPr>
        <w:pStyle w:val="9"/>
        <w:ind w:firstLine="640"/>
        <w:jc w:val="center"/>
        <w:rPr>
          <w:rFonts w:ascii="宋体" w:hAnsi="宋体" w:eastAsia="宋体" w:cs="宋体"/>
        </w:rPr>
      </w:pPr>
    </w:p>
    <w:p>
      <w:pPr>
        <w:pStyle w:val="9"/>
        <w:ind w:firstLine="640"/>
        <w:rPr>
          <w:b/>
          <w:bCs/>
        </w:rPr>
      </w:pPr>
      <w:r>
        <w:rPr>
          <w:rFonts w:hint="eastAsia"/>
        </w:rPr>
        <w:t>根据《广州市从化区财政局关于开展2023年财政支出第三方绩效评价工作的通知》有关要求，受从化区财政局委托，本机构对从化区市场监督管理局部门整体支出开展绩效评价。经评价，从化区市场监督管理局部门整体支出情况良好，年度预算完成率为9</w:t>
      </w:r>
      <w:r>
        <w:t>9.91%</w:t>
      </w:r>
      <w:r>
        <w:rPr>
          <w:rFonts w:hint="eastAsia"/>
        </w:rPr>
        <w:t>。绩效目标完成情况良好，完成保障从化区市民健康安全、推动知识产权实现高质量发展等工作任务。</w:t>
      </w:r>
      <w:r>
        <w:rPr>
          <w:rFonts w:hint="eastAsia"/>
          <w:b/>
          <w:bCs/>
        </w:rPr>
        <w:t>经综合评定，2</w:t>
      </w:r>
      <w:r>
        <w:rPr>
          <w:b/>
          <w:bCs/>
        </w:rPr>
        <w:t>022</w:t>
      </w:r>
      <w:r>
        <w:rPr>
          <w:rFonts w:hint="eastAsia"/>
          <w:b/>
          <w:bCs/>
        </w:rPr>
        <w:t>年从化区市场监督管理局部门整体支出绩效评价等级为“良”。</w:t>
      </w:r>
    </w:p>
    <w:p>
      <w:pPr>
        <w:pStyle w:val="8"/>
        <w:numPr>
          <w:ilvl w:val="0"/>
          <w:numId w:val="1"/>
        </w:numPr>
        <w:ind w:firstLine="643"/>
      </w:pPr>
      <w:r>
        <w:rPr>
          <w:rFonts w:hint="eastAsia"/>
        </w:rPr>
        <w:t>评价部门概况</w:t>
      </w:r>
    </w:p>
    <w:p>
      <w:pPr>
        <w:pStyle w:val="9"/>
        <w:ind w:firstLine="640"/>
      </w:pPr>
      <w:r>
        <w:rPr>
          <w:rFonts w:hint="eastAsia"/>
        </w:rPr>
        <w:t>整体来看，2022年，区市场监管局基本能够履行部门职能，有效保障从化区市民健康安全，推动知识产权实现高质量发展，但在资金管理、部门资产管理、实施过程管理以及绩效目标管理等方面存在一定问题。经综合分析，评定从化区市场监督管理局2022年部门整体支出绩效评价得分为85.35分，绩效等级为“良”</w:t>
      </w:r>
      <w:r>
        <w:t>。</w:t>
      </w:r>
    </w:p>
    <w:p>
      <w:pPr>
        <w:pStyle w:val="8"/>
        <w:ind w:firstLine="643"/>
      </w:pPr>
      <w:r>
        <w:rPr>
          <w:rFonts w:hint="eastAsia"/>
        </w:rPr>
        <w:t>二、绩效目标分析</w:t>
      </w:r>
    </w:p>
    <w:p>
      <w:pPr>
        <w:pStyle w:val="10"/>
        <w:ind w:firstLine="643"/>
      </w:pPr>
      <w:r>
        <w:rPr>
          <w:rFonts w:hint="eastAsia"/>
        </w:rPr>
        <w:t>（一）目标设置</w:t>
      </w:r>
    </w:p>
    <w:p>
      <w:pPr>
        <w:pStyle w:val="9"/>
        <w:ind w:firstLine="640"/>
      </w:pPr>
      <w:r>
        <w:rPr>
          <w:rFonts w:hint="eastAsia"/>
        </w:rPr>
        <w:t>区市场监管局2</w:t>
      </w:r>
      <w:r>
        <w:t>022年总体工作任务为：</w:t>
      </w:r>
      <w:r>
        <w:rPr>
          <w:rFonts w:hint="eastAsia"/>
        </w:rPr>
        <w:t>围绕区委区政府和上级市场监管部门中心工作，以助力发展为目标，深入推进商事制度改革，推动全面质量提升和知识产权保护；以保障安全为底线，全力抓好食品药品监管、特种设备安全监察工作，不断提升监管效能。</w:t>
      </w:r>
    </w:p>
    <w:p>
      <w:pPr>
        <w:pStyle w:val="9"/>
        <w:ind w:firstLine="640"/>
      </w:pPr>
      <w:r>
        <w:rPr>
          <w:rFonts w:hint="eastAsia"/>
        </w:rPr>
        <w:t>重点工作任务：根据广州市食安办《关于做好2022年食品安全抽检工作预算的通知》要求，开展2022年食品安全（含食用农产品）抽检工作。及时发现食品安全隐患并进行处置，分析评估从化区食品安全形势，防范食品安全系统性风险，督促指导食品生产经营者加强管理，增强监管工作的针对性和有效性，从而更好地保障从化区居民“舌尖上的安全”。</w:t>
      </w:r>
    </w:p>
    <w:p>
      <w:pPr>
        <w:pStyle w:val="10"/>
        <w:numPr>
          <w:ilvl w:val="0"/>
          <w:numId w:val="2"/>
        </w:numPr>
        <w:ind w:firstLine="643"/>
      </w:pPr>
      <w:r>
        <w:rPr>
          <w:rFonts w:hint="eastAsia"/>
        </w:rPr>
        <w:t>目标完成</w:t>
      </w:r>
    </w:p>
    <w:p>
      <w:pPr>
        <w:pStyle w:val="9"/>
        <w:ind w:firstLine="640"/>
        <w:rPr>
          <w:rFonts w:cs="Times New Roman"/>
        </w:rPr>
      </w:pPr>
      <w:r>
        <w:rPr>
          <w:rFonts w:hint="eastAsia"/>
        </w:rPr>
        <w:t>2</w:t>
      </w:r>
      <w:r>
        <w:t>022</w:t>
      </w:r>
      <w:r>
        <w:rPr>
          <w:rFonts w:hint="eastAsia"/>
        </w:rPr>
        <w:t>年，区市场监管局</w:t>
      </w:r>
      <w:r>
        <w:t>年度设置绩效指标</w:t>
      </w:r>
      <w:r>
        <w:rPr>
          <w:rFonts w:hint="eastAsia"/>
        </w:rPr>
        <w:t>1</w:t>
      </w:r>
      <w:r>
        <w:t>4个，</w:t>
      </w:r>
      <w:r>
        <w:rPr>
          <w:rFonts w:hint="eastAsia"/>
        </w:rPr>
        <w:t>除“国内发明专利授权申请资助比率”未达预期外，其他指标均达到了预期目标，</w:t>
      </w:r>
      <w:r>
        <w:t>目标完成率</w:t>
      </w:r>
      <w:r>
        <w:rPr>
          <w:rFonts w:hint="eastAsia"/>
        </w:rPr>
        <w:t>9</w:t>
      </w:r>
      <w:r>
        <w:t>2.86%。</w:t>
      </w:r>
      <w:r>
        <w:rPr>
          <w:rFonts w:cs="Times New Roman"/>
        </w:rPr>
        <w:t>详见附表。</w:t>
      </w:r>
    </w:p>
    <w:p>
      <w:pPr>
        <w:pStyle w:val="12"/>
        <w:ind w:firstLine="420"/>
        <w:rPr>
          <w:rFonts w:cs="Times New Roman"/>
        </w:rPr>
      </w:pPr>
      <w:r>
        <w:rPr>
          <w:rFonts w:cs="Times New Roman"/>
        </w:rPr>
        <w:t>附表 部门整体支出绩效目标及完成情况表</w:t>
      </w:r>
    </w:p>
    <w:tbl>
      <w:tblPr>
        <w:tblStyle w:val="6"/>
        <w:tblW w:w="8276"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1842"/>
        <w:gridCol w:w="993"/>
        <w:gridCol w:w="1134"/>
        <w:gridCol w:w="304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15" w:hRule="atLeast"/>
          <w:tblHeader/>
          <w:jc w:val="center"/>
        </w:trPr>
        <w:tc>
          <w:tcPr>
            <w:tcW w:w="1261" w:type="dxa"/>
            <w:shd w:val="clear" w:color="auto" w:fill="auto"/>
            <w:vAlign w:val="center"/>
          </w:tcPr>
          <w:p>
            <w:pPr>
              <w:overflowPunct/>
              <w:spacing w:line="240" w:lineRule="auto"/>
              <w:ind w:firstLine="0" w:firstLineChars="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color w:val="000000"/>
                <w:sz w:val="24"/>
              </w:rPr>
              <w:t>部门整体支出目标</w:t>
            </w:r>
          </w:p>
        </w:tc>
        <w:tc>
          <w:tcPr>
            <w:tcW w:w="1842" w:type="dxa"/>
            <w:shd w:val="clear" w:color="auto" w:fill="auto"/>
            <w:vAlign w:val="center"/>
          </w:tcPr>
          <w:p>
            <w:pPr>
              <w:overflowPunct/>
              <w:spacing w:line="240" w:lineRule="auto"/>
              <w:ind w:firstLine="0" w:firstLineChars="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color w:val="000000"/>
                <w:sz w:val="24"/>
              </w:rPr>
              <w:t>关键指标</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color w:val="000000"/>
                <w:sz w:val="24"/>
              </w:rPr>
              <w:t>预期实现值</w:t>
            </w:r>
          </w:p>
        </w:tc>
        <w:tc>
          <w:tcPr>
            <w:tcW w:w="1134" w:type="dxa"/>
            <w:shd w:val="clear" w:color="auto" w:fill="auto"/>
            <w:vAlign w:val="center"/>
          </w:tcPr>
          <w:p>
            <w:pPr>
              <w:overflowPunct/>
              <w:spacing w:line="240" w:lineRule="auto"/>
              <w:ind w:firstLine="0" w:firstLineChars="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color w:val="000000"/>
                <w:sz w:val="24"/>
              </w:rPr>
              <w:t>年度完成值</w:t>
            </w:r>
          </w:p>
        </w:tc>
        <w:tc>
          <w:tcPr>
            <w:tcW w:w="3046" w:type="dxa"/>
            <w:shd w:val="clear" w:color="auto" w:fill="auto"/>
            <w:vAlign w:val="center"/>
          </w:tcPr>
          <w:p>
            <w:pPr>
              <w:overflowPunct/>
              <w:spacing w:line="240" w:lineRule="auto"/>
              <w:ind w:firstLine="0" w:firstLineChars="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color w:val="000000"/>
                <w:sz w:val="24"/>
              </w:rPr>
              <w:t>具体完成情况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2205" w:hRule="atLeast"/>
          <w:jc w:val="center"/>
        </w:trPr>
        <w:tc>
          <w:tcPr>
            <w:tcW w:w="1261" w:type="dxa"/>
            <w:vMerge w:val="restart"/>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一是通过深化商事制度改革，营造更加便利化的营商环境；强化监管执法，市场竞争环境持续改善；二是特种设备安全态势平稳可控；三是加强食品质量安全监管，防控生产、销售、餐饮环节食品风险，保障公众身体健康和生命安全；四是加强质量宏观管理、产品质量安全监督和认证管理,提高知识产权创造能力，加快推动知识产权运用和转化,落实补助资金分配；五是创新消费维权工作机制，市场消费环境持续向好。</w:t>
            </w:r>
            <w:r>
              <w:rPr>
                <w:rFonts w:ascii="Times New Roman" w:hAnsi="Times New Roman" w:eastAsia="仿宋_GB2312" w:cs="Times New Roman"/>
                <w:kern w:val="0"/>
                <w:sz w:val="24"/>
                <w:szCs w:val="24"/>
              </w:rPr>
              <w:t xml:space="preserve"> </w:t>
            </w:r>
          </w:p>
        </w:tc>
        <w:tc>
          <w:tcPr>
            <w:tcW w:w="1842"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食品监督抽检完成率</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100%</w:t>
            </w:r>
          </w:p>
        </w:tc>
        <w:tc>
          <w:tcPr>
            <w:tcW w:w="1134"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101%</w:t>
            </w:r>
          </w:p>
        </w:tc>
        <w:tc>
          <w:tcPr>
            <w:tcW w:w="3046" w:type="dxa"/>
            <w:shd w:val="clear" w:color="auto" w:fill="auto"/>
            <w:vAlign w:val="center"/>
          </w:tcPr>
          <w:p>
            <w:pPr>
              <w:overflowPunct/>
              <w:spacing w:line="240" w:lineRule="auto"/>
              <w:ind w:firstLine="0" w:firstLineChars="0"/>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根据上级文件要求，2022年从化区承担按辖区常住人口数“每年每千人不少于1批次”的食品检验量，即720批次食品抽检的任务量。2022年从化区实际食品安全监督抽检批次726批，完成率达101%。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945" w:hRule="atLeast"/>
          <w:jc w:val="center"/>
        </w:trPr>
        <w:tc>
          <w:tcPr>
            <w:tcW w:w="1261" w:type="dxa"/>
            <w:vMerge w:val="continue"/>
            <w:shd w:val="clear" w:color="auto" w:fill="auto"/>
            <w:vAlign w:val="center"/>
          </w:tcPr>
          <w:p>
            <w:pPr>
              <w:overflowPunct/>
              <w:spacing w:line="240" w:lineRule="auto"/>
              <w:ind w:firstLine="0" w:firstLineChars="0"/>
              <w:jc w:val="left"/>
              <w:rPr>
                <w:rFonts w:ascii="Times New Roman" w:hAnsi="Times New Roman" w:eastAsia="仿宋_GB2312" w:cs="Times New Roman"/>
                <w:kern w:val="0"/>
                <w:sz w:val="24"/>
                <w:szCs w:val="24"/>
              </w:rPr>
            </w:pPr>
          </w:p>
        </w:tc>
        <w:tc>
          <w:tcPr>
            <w:tcW w:w="1842"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抽查电梯完成率</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100%</w:t>
            </w:r>
          </w:p>
        </w:tc>
        <w:tc>
          <w:tcPr>
            <w:tcW w:w="1134"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100%</w:t>
            </w:r>
          </w:p>
        </w:tc>
        <w:tc>
          <w:tcPr>
            <w:tcW w:w="3046" w:type="dxa"/>
            <w:shd w:val="clear" w:color="auto" w:fill="auto"/>
            <w:vAlign w:val="center"/>
          </w:tcPr>
          <w:p>
            <w:pPr>
              <w:overflowPunct/>
              <w:spacing w:line="240" w:lineRule="auto"/>
              <w:ind w:firstLine="0" w:firstLineChars="0"/>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2022年计划对辖区内572台在用电梯进行监督检验抽查，实际完成572台，完成率为100%。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945" w:hRule="atLeast"/>
          <w:jc w:val="center"/>
        </w:trPr>
        <w:tc>
          <w:tcPr>
            <w:tcW w:w="1261" w:type="dxa"/>
            <w:vMerge w:val="continue"/>
            <w:shd w:val="clear" w:color="auto" w:fill="auto"/>
            <w:vAlign w:val="center"/>
          </w:tcPr>
          <w:p>
            <w:pPr>
              <w:overflowPunct/>
              <w:spacing w:line="240" w:lineRule="auto"/>
              <w:ind w:firstLine="0" w:firstLineChars="0"/>
              <w:jc w:val="left"/>
              <w:rPr>
                <w:rFonts w:ascii="Times New Roman" w:hAnsi="Times New Roman" w:eastAsia="仿宋_GB2312" w:cs="Times New Roman"/>
                <w:kern w:val="0"/>
                <w:sz w:val="24"/>
                <w:szCs w:val="24"/>
              </w:rPr>
            </w:pPr>
          </w:p>
        </w:tc>
        <w:tc>
          <w:tcPr>
            <w:tcW w:w="1842"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制式服装派发率</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100%</w:t>
            </w:r>
          </w:p>
        </w:tc>
        <w:tc>
          <w:tcPr>
            <w:tcW w:w="1134"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100%</w:t>
            </w:r>
          </w:p>
        </w:tc>
        <w:tc>
          <w:tcPr>
            <w:tcW w:w="3046" w:type="dxa"/>
            <w:shd w:val="clear" w:color="auto" w:fill="auto"/>
            <w:vAlign w:val="center"/>
          </w:tcPr>
          <w:p>
            <w:pPr>
              <w:overflowPunct/>
              <w:spacing w:line="240" w:lineRule="auto"/>
              <w:ind w:firstLine="0" w:firstLineChars="0"/>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2022年区市场监管局已为254名执法人员派发制服，派发率为100%。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945" w:hRule="atLeast"/>
          <w:jc w:val="center"/>
        </w:trPr>
        <w:tc>
          <w:tcPr>
            <w:tcW w:w="1261" w:type="dxa"/>
            <w:vMerge w:val="continue"/>
            <w:shd w:val="clear" w:color="auto" w:fill="auto"/>
            <w:vAlign w:val="center"/>
          </w:tcPr>
          <w:p>
            <w:pPr>
              <w:overflowPunct/>
              <w:spacing w:line="240" w:lineRule="auto"/>
              <w:ind w:firstLine="0" w:firstLineChars="0"/>
              <w:jc w:val="left"/>
              <w:rPr>
                <w:rFonts w:ascii="Times New Roman" w:hAnsi="Times New Roman" w:eastAsia="仿宋_GB2312" w:cs="Times New Roman"/>
                <w:kern w:val="0"/>
                <w:sz w:val="24"/>
                <w:szCs w:val="24"/>
              </w:rPr>
            </w:pPr>
          </w:p>
        </w:tc>
        <w:tc>
          <w:tcPr>
            <w:tcW w:w="1842" w:type="dxa"/>
            <w:shd w:val="clear" w:color="auto" w:fill="auto"/>
            <w:vAlign w:val="center"/>
          </w:tcPr>
          <w:p>
            <w:pPr>
              <w:overflowPunct/>
              <w:spacing w:line="240" w:lineRule="auto"/>
              <w:ind w:firstLine="0" w:firstLineChars="0"/>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国内发明专利授权申请资助比率</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70%</w:t>
            </w:r>
          </w:p>
        </w:tc>
        <w:tc>
          <w:tcPr>
            <w:tcW w:w="1134" w:type="dxa"/>
            <w:shd w:val="clear" w:color="auto" w:fill="auto"/>
            <w:vAlign w:val="center"/>
          </w:tcPr>
          <w:p>
            <w:pPr>
              <w:overflowPunct/>
              <w:spacing w:line="240" w:lineRule="auto"/>
              <w:ind w:firstLine="0" w:firstLineChars="0"/>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41.9%</w:t>
            </w:r>
          </w:p>
        </w:tc>
        <w:tc>
          <w:tcPr>
            <w:tcW w:w="3046" w:type="dxa"/>
            <w:shd w:val="clear" w:color="auto" w:fill="auto"/>
            <w:vAlign w:val="center"/>
          </w:tcPr>
          <w:p>
            <w:pPr>
              <w:overflowPunct/>
              <w:spacing w:line="240" w:lineRule="auto"/>
              <w:ind w:firstLine="0" w:firstLineChars="0"/>
              <w:rPr>
                <w:rFonts w:ascii="Times New Roman" w:hAnsi="Times New Roman" w:eastAsia="仿宋_GB2312" w:cs="Times New Roman"/>
                <w:color w:val="000000"/>
                <w:sz w:val="24"/>
              </w:rPr>
            </w:pPr>
            <w:r>
              <w:rPr>
                <w:rFonts w:ascii="Times New Roman" w:hAnsi="Times New Roman" w:eastAsia="仿宋_GB2312" w:cs="Times New Roman"/>
                <w:color w:val="000000"/>
                <w:sz w:val="24"/>
              </w:rPr>
              <w:t>国内发明专利授权申请资助比率为41.9%。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945" w:hRule="atLeast"/>
          <w:jc w:val="center"/>
        </w:trPr>
        <w:tc>
          <w:tcPr>
            <w:tcW w:w="1261" w:type="dxa"/>
            <w:vMerge w:val="continue"/>
            <w:shd w:val="clear" w:color="auto" w:fill="auto"/>
            <w:vAlign w:val="center"/>
          </w:tcPr>
          <w:p>
            <w:pPr>
              <w:overflowPunct/>
              <w:spacing w:line="240" w:lineRule="auto"/>
              <w:ind w:firstLine="0" w:firstLineChars="0"/>
              <w:jc w:val="left"/>
              <w:rPr>
                <w:rFonts w:ascii="Times New Roman" w:hAnsi="Times New Roman" w:eastAsia="仿宋_GB2312" w:cs="Times New Roman"/>
                <w:kern w:val="0"/>
                <w:sz w:val="24"/>
                <w:szCs w:val="24"/>
              </w:rPr>
            </w:pPr>
          </w:p>
        </w:tc>
        <w:tc>
          <w:tcPr>
            <w:tcW w:w="1842" w:type="dxa"/>
            <w:shd w:val="clear" w:color="auto" w:fill="auto"/>
            <w:vAlign w:val="center"/>
          </w:tcPr>
          <w:p>
            <w:pPr>
              <w:overflowPunct/>
              <w:spacing w:line="240" w:lineRule="auto"/>
              <w:ind w:firstLine="0" w:firstLineChars="0"/>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考察通过《企业知识产权管理规范》等认证的单位数量</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25家</w:t>
            </w:r>
          </w:p>
        </w:tc>
        <w:tc>
          <w:tcPr>
            <w:tcW w:w="1134" w:type="dxa"/>
            <w:shd w:val="clear" w:color="auto" w:fill="auto"/>
            <w:vAlign w:val="center"/>
          </w:tcPr>
          <w:p>
            <w:pPr>
              <w:overflowPunct/>
              <w:spacing w:line="240" w:lineRule="auto"/>
              <w:ind w:firstLine="0" w:firstLineChars="0"/>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38家</w:t>
            </w:r>
          </w:p>
        </w:tc>
        <w:tc>
          <w:tcPr>
            <w:tcW w:w="3046" w:type="dxa"/>
            <w:shd w:val="clear" w:color="auto" w:fill="auto"/>
            <w:vAlign w:val="center"/>
          </w:tcPr>
          <w:p>
            <w:pPr>
              <w:overflowPunct/>
              <w:spacing w:line="240" w:lineRule="auto"/>
              <w:ind w:firstLine="0" w:firstLineChars="0"/>
              <w:rPr>
                <w:rFonts w:ascii="Times New Roman" w:hAnsi="Times New Roman" w:eastAsia="仿宋_GB2312" w:cs="Times New Roman"/>
                <w:color w:val="000000"/>
                <w:sz w:val="24"/>
              </w:rPr>
            </w:pPr>
            <w:r>
              <w:rPr>
                <w:rFonts w:ascii="Times New Roman" w:hAnsi="Times New Roman" w:eastAsia="仿宋_GB2312" w:cs="Times New Roman"/>
                <w:color w:val="000000"/>
                <w:sz w:val="24"/>
              </w:rPr>
              <w:t>截至2022年，从化区累计通过“贯标”认证单位总数为38家，目标值完成率为152%。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15" w:hRule="atLeast"/>
          <w:jc w:val="center"/>
        </w:trPr>
        <w:tc>
          <w:tcPr>
            <w:tcW w:w="1261" w:type="dxa"/>
            <w:vMerge w:val="continue"/>
            <w:shd w:val="clear" w:color="auto" w:fill="auto"/>
            <w:vAlign w:val="center"/>
          </w:tcPr>
          <w:p>
            <w:pPr>
              <w:overflowPunct/>
              <w:spacing w:line="240" w:lineRule="auto"/>
              <w:ind w:firstLine="0" w:firstLineChars="0"/>
              <w:jc w:val="left"/>
              <w:rPr>
                <w:rFonts w:ascii="Times New Roman" w:hAnsi="Times New Roman" w:eastAsia="仿宋_GB2312" w:cs="Times New Roman"/>
                <w:kern w:val="0"/>
                <w:sz w:val="24"/>
                <w:szCs w:val="24"/>
              </w:rPr>
            </w:pPr>
          </w:p>
        </w:tc>
        <w:tc>
          <w:tcPr>
            <w:tcW w:w="1842"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食品监督抽检合格率</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98%</w:t>
            </w:r>
          </w:p>
        </w:tc>
        <w:tc>
          <w:tcPr>
            <w:tcW w:w="1134"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98.76%</w:t>
            </w:r>
          </w:p>
        </w:tc>
        <w:tc>
          <w:tcPr>
            <w:tcW w:w="3046" w:type="dxa"/>
            <w:shd w:val="clear" w:color="auto" w:fill="auto"/>
            <w:vAlign w:val="center"/>
          </w:tcPr>
          <w:p>
            <w:pPr>
              <w:overflowPunct/>
              <w:spacing w:line="240" w:lineRule="auto"/>
              <w:ind w:firstLine="0" w:firstLineChars="0"/>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2022年区局已完成食品抽检726批次，合格717批次，不合格9批次，抽检合格率为98.76%。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260" w:hRule="atLeast"/>
          <w:jc w:val="center"/>
        </w:trPr>
        <w:tc>
          <w:tcPr>
            <w:tcW w:w="1261" w:type="dxa"/>
            <w:vMerge w:val="continue"/>
            <w:shd w:val="clear" w:color="auto" w:fill="auto"/>
            <w:vAlign w:val="center"/>
          </w:tcPr>
          <w:p>
            <w:pPr>
              <w:overflowPunct/>
              <w:spacing w:line="240" w:lineRule="auto"/>
              <w:ind w:firstLine="0" w:firstLineChars="0"/>
              <w:jc w:val="left"/>
              <w:rPr>
                <w:rFonts w:ascii="Times New Roman" w:hAnsi="Times New Roman" w:eastAsia="仿宋_GB2312" w:cs="Times New Roman"/>
                <w:kern w:val="0"/>
                <w:sz w:val="24"/>
                <w:szCs w:val="24"/>
              </w:rPr>
            </w:pPr>
          </w:p>
        </w:tc>
        <w:tc>
          <w:tcPr>
            <w:tcW w:w="1842"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抽查电梯发现问题整改率</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100%</w:t>
            </w:r>
          </w:p>
        </w:tc>
        <w:tc>
          <w:tcPr>
            <w:tcW w:w="1134"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100%</w:t>
            </w:r>
          </w:p>
        </w:tc>
        <w:tc>
          <w:tcPr>
            <w:tcW w:w="3046" w:type="dxa"/>
            <w:shd w:val="clear" w:color="auto" w:fill="auto"/>
            <w:vAlign w:val="center"/>
          </w:tcPr>
          <w:p>
            <w:pPr>
              <w:overflowPunct/>
              <w:spacing w:line="240" w:lineRule="auto"/>
              <w:ind w:firstLine="0" w:firstLineChars="0"/>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2022年区市场监管局已对所有不符合项目的电梯均进行复检，且完成整改确认，整改率达100%。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15" w:hRule="atLeast"/>
          <w:jc w:val="center"/>
        </w:trPr>
        <w:tc>
          <w:tcPr>
            <w:tcW w:w="1261" w:type="dxa"/>
            <w:vMerge w:val="continue"/>
            <w:shd w:val="clear" w:color="auto" w:fill="auto"/>
            <w:vAlign w:val="center"/>
          </w:tcPr>
          <w:p>
            <w:pPr>
              <w:overflowPunct/>
              <w:spacing w:line="240" w:lineRule="auto"/>
              <w:ind w:firstLine="0" w:firstLineChars="0"/>
              <w:jc w:val="left"/>
              <w:rPr>
                <w:rFonts w:ascii="Times New Roman" w:hAnsi="Times New Roman" w:eastAsia="仿宋_GB2312" w:cs="Times New Roman"/>
                <w:kern w:val="0"/>
                <w:sz w:val="24"/>
                <w:szCs w:val="24"/>
              </w:rPr>
            </w:pPr>
          </w:p>
        </w:tc>
        <w:tc>
          <w:tcPr>
            <w:tcW w:w="1842"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监督抽检不合格产品后置处理率</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100%</w:t>
            </w:r>
          </w:p>
        </w:tc>
        <w:tc>
          <w:tcPr>
            <w:tcW w:w="1134"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rPr>
              <w:t>100%</w:t>
            </w:r>
          </w:p>
        </w:tc>
        <w:tc>
          <w:tcPr>
            <w:tcW w:w="3046" w:type="dxa"/>
            <w:shd w:val="clear" w:color="auto" w:fill="auto"/>
            <w:vAlign w:val="center"/>
          </w:tcPr>
          <w:p>
            <w:pPr>
              <w:overflowPunct/>
              <w:spacing w:line="240" w:lineRule="auto"/>
              <w:ind w:firstLine="0" w:firstLineChars="0"/>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2022年区市场监管局均对9批次的不合格产品开展了不合格食品核查处置，不合格食品处置率达100%。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75" w:hRule="atLeast"/>
          <w:jc w:val="center"/>
        </w:trPr>
        <w:tc>
          <w:tcPr>
            <w:tcW w:w="1261" w:type="dxa"/>
            <w:vMerge w:val="continue"/>
            <w:shd w:val="clear" w:color="auto" w:fill="auto"/>
            <w:vAlign w:val="center"/>
          </w:tcPr>
          <w:p>
            <w:pPr>
              <w:overflowPunct/>
              <w:spacing w:line="240" w:lineRule="auto"/>
              <w:ind w:firstLine="0" w:firstLineChars="0"/>
              <w:jc w:val="left"/>
              <w:rPr>
                <w:rFonts w:ascii="Times New Roman" w:hAnsi="Times New Roman" w:eastAsia="仿宋_GB2312" w:cs="Times New Roman"/>
                <w:kern w:val="0"/>
                <w:sz w:val="24"/>
                <w:szCs w:val="24"/>
              </w:rPr>
            </w:pPr>
          </w:p>
        </w:tc>
        <w:tc>
          <w:tcPr>
            <w:tcW w:w="1842"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无证经营药品企业发现次数</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不大于2次</w:t>
            </w:r>
          </w:p>
        </w:tc>
        <w:tc>
          <w:tcPr>
            <w:tcW w:w="1134"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0次</w:t>
            </w:r>
          </w:p>
        </w:tc>
        <w:tc>
          <w:tcPr>
            <w:tcW w:w="3046" w:type="dxa"/>
            <w:shd w:val="clear" w:color="auto" w:fill="auto"/>
            <w:vAlign w:val="center"/>
          </w:tcPr>
          <w:p>
            <w:pPr>
              <w:overflowPunct/>
              <w:spacing w:line="240" w:lineRule="auto"/>
              <w:ind w:firstLine="0" w:firstLineChars="0"/>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暂未发现无证经营药品企业。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jc w:val="center"/>
        </w:trPr>
        <w:tc>
          <w:tcPr>
            <w:tcW w:w="1261" w:type="dxa"/>
            <w:vMerge w:val="continue"/>
            <w:shd w:val="clear" w:color="auto" w:fill="auto"/>
            <w:vAlign w:val="center"/>
          </w:tcPr>
          <w:p>
            <w:pPr>
              <w:overflowPunct/>
              <w:spacing w:line="240" w:lineRule="auto"/>
              <w:ind w:firstLine="0" w:firstLineChars="0"/>
              <w:jc w:val="left"/>
              <w:rPr>
                <w:rFonts w:ascii="Times New Roman" w:hAnsi="Times New Roman" w:eastAsia="仿宋_GB2312" w:cs="Times New Roman"/>
                <w:kern w:val="0"/>
                <w:sz w:val="24"/>
                <w:szCs w:val="24"/>
              </w:rPr>
            </w:pPr>
          </w:p>
        </w:tc>
        <w:tc>
          <w:tcPr>
            <w:tcW w:w="1842"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档案利用增长率</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1%及以上</w:t>
            </w:r>
          </w:p>
        </w:tc>
        <w:tc>
          <w:tcPr>
            <w:tcW w:w="1134"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rPr>
              <w:t>17.45%</w:t>
            </w:r>
          </w:p>
        </w:tc>
        <w:tc>
          <w:tcPr>
            <w:tcW w:w="3046" w:type="dxa"/>
            <w:shd w:val="clear" w:color="auto" w:fill="auto"/>
            <w:vAlign w:val="center"/>
          </w:tcPr>
          <w:p>
            <w:pPr>
              <w:overflowPunct/>
              <w:spacing w:line="240" w:lineRule="auto"/>
              <w:ind w:firstLine="0" w:firstLineChars="0"/>
              <w:rPr>
                <w:rFonts w:ascii="Times New Roman" w:hAnsi="Times New Roman" w:eastAsia="仿宋_GB2312" w:cs="Times New Roman"/>
                <w:kern w:val="0"/>
                <w:sz w:val="24"/>
                <w:szCs w:val="24"/>
              </w:rPr>
            </w:pPr>
            <w:r>
              <w:rPr>
                <w:rFonts w:ascii="Times New Roman" w:hAnsi="Times New Roman" w:eastAsia="仿宋_GB2312" w:cs="Times New Roman"/>
                <w:color w:val="000000"/>
                <w:sz w:val="24"/>
              </w:rPr>
              <w:t>2021年的档案利用数为“7537-2785（咨询数）=4752户次；2022年的档案利用数为”6210-629（咨询数）=5581户次</w:t>
            </w:r>
            <w:r>
              <w:rPr>
                <w:rFonts w:hint="eastAsia" w:ascii="Times New Roman" w:hAnsi="Times New Roman" w:eastAsia="仿宋_GB2312" w:cs="Times New Roman"/>
                <w:color w:val="000000"/>
                <w:sz w:val="24"/>
              </w:rPr>
              <w:t>，</w:t>
            </w:r>
            <w:r>
              <w:rPr>
                <w:rFonts w:ascii="Times New Roman" w:hAnsi="Times New Roman" w:eastAsia="仿宋_GB2312" w:cs="Times New Roman"/>
                <w:color w:val="000000"/>
                <w:sz w:val="24"/>
              </w:rPr>
              <w:t>2022年的档案利用率增长</w:t>
            </w:r>
            <w:r>
              <w:rPr>
                <w:rFonts w:hint="eastAsia" w:ascii="Times New Roman" w:hAnsi="Times New Roman" w:eastAsia="仿宋_GB2312" w:cs="Times New Roman"/>
                <w:color w:val="000000"/>
                <w:sz w:val="24"/>
              </w:rPr>
              <w:t>率为1</w:t>
            </w:r>
            <w:r>
              <w:rPr>
                <w:rFonts w:ascii="Times New Roman" w:hAnsi="Times New Roman" w:eastAsia="仿宋_GB2312" w:cs="Times New Roman"/>
                <w:color w:val="000000"/>
                <w:sz w:val="24"/>
              </w:rPr>
              <w:t>7.45%</w:t>
            </w:r>
            <w:r>
              <w:rPr>
                <w:rFonts w:hint="eastAsia" w:ascii="Times New Roman" w:hAnsi="Times New Roman" w:eastAsia="仿宋_GB2312" w:cs="Times New Roman"/>
                <w:color w:val="000000"/>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jc w:val="center"/>
        </w:trPr>
        <w:tc>
          <w:tcPr>
            <w:tcW w:w="1261" w:type="dxa"/>
            <w:vMerge w:val="continue"/>
            <w:shd w:val="clear" w:color="auto" w:fill="auto"/>
            <w:vAlign w:val="center"/>
          </w:tcPr>
          <w:p>
            <w:pPr>
              <w:overflowPunct/>
              <w:spacing w:line="240" w:lineRule="auto"/>
              <w:ind w:firstLine="0" w:firstLineChars="0"/>
              <w:jc w:val="left"/>
              <w:rPr>
                <w:rFonts w:ascii="Times New Roman" w:hAnsi="Times New Roman" w:eastAsia="仿宋_GB2312" w:cs="Times New Roman"/>
                <w:kern w:val="0"/>
                <w:sz w:val="24"/>
                <w:szCs w:val="24"/>
              </w:rPr>
            </w:pPr>
          </w:p>
        </w:tc>
        <w:tc>
          <w:tcPr>
            <w:tcW w:w="1842" w:type="dxa"/>
            <w:shd w:val="clear" w:color="auto" w:fill="auto"/>
            <w:vAlign w:val="center"/>
          </w:tcPr>
          <w:p>
            <w:pPr>
              <w:overflowPunct/>
              <w:spacing w:line="240" w:lineRule="auto"/>
              <w:ind w:firstLine="0" w:firstLineChars="0"/>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商标有效注册量年增长率</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5%</w:t>
            </w:r>
          </w:p>
        </w:tc>
        <w:tc>
          <w:tcPr>
            <w:tcW w:w="1134"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17.1%</w:t>
            </w:r>
          </w:p>
        </w:tc>
        <w:tc>
          <w:tcPr>
            <w:tcW w:w="3046" w:type="dxa"/>
            <w:shd w:val="clear" w:color="auto" w:fill="auto"/>
            <w:vAlign w:val="center"/>
          </w:tcPr>
          <w:p>
            <w:pPr>
              <w:overflowPunct/>
              <w:spacing w:line="240" w:lineRule="auto"/>
              <w:ind w:firstLine="0" w:firstLineChars="0"/>
              <w:rPr>
                <w:rFonts w:ascii="Times New Roman" w:hAnsi="Times New Roman" w:eastAsia="仿宋_GB2312" w:cs="Times New Roman"/>
                <w:color w:val="000000"/>
                <w:sz w:val="24"/>
              </w:rPr>
            </w:pPr>
            <w:r>
              <w:rPr>
                <w:rFonts w:ascii="Times New Roman" w:hAnsi="Times New Roman" w:eastAsia="仿宋_GB2312" w:cs="Times New Roman"/>
                <w:color w:val="000000"/>
                <w:sz w:val="24"/>
              </w:rPr>
              <w:t>根据《广州市知识产权局知识产权统计专报》，2022年从化区全年有效注册商标数21303件较去年同期18195件增加了3108件，增长率为17.1%。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jc w:val="center"/>
        </w:trPr>
        <w:tc>
          <w:tcPr>
            <w:tcW w:w="1261" w:type="dxa"/>
            <w:vMerge w:val="continue"/>
            <w:shd w:val="clear" w:color="auto" w:fill="auto"/>
            <w:vAlign w:val="center"/>
          </w:tcPr>
          <w:p>
            <w:pPr>
              <w:overflowPunct/>
              <w:spacing w:line="240" w:lineRule="auto"/>
              <w:ind w:firstLine="0" w:firstLineChars="0"/>
              <w:jc w:val="left"/>
              <w:rPr>
                <w:rFonts w:ascii="Times New Roman" w:hAnsi="Times New Roman" w:eastAsia="仿宋_GB2312" w:cs="Times New Roman"/>
                <w:kern w:val="0"/>
                <w:sz w:val="24"/>
                <w:szCs w:val="24"/>
              </w:rPr>
            </w:pPr>
          </w:p>
        </w:tc>
        <w:tc>
          <w:tcPr>
            <w:tcW w:w="1842" w:type="dxa"/>
            <w:shd w:val="clear" w:color="auto" w:fill="auto"/>
            <w:vAlign w:val="center"/>
          </w:tcPr>
          <w:p>
            <w:pPr>
              <w:overflowPunct/>
              <w:spacing w:line="240" w:lineRule="auto"/>
              <w:ind w:firstLine="0" w:firstLineChars="0"/>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知识产权质押融资金额年增长率</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5%</w:t>
            </w:r>
          </w:p>
        </w:tc>
        <w:tc>
          <w:tcPr>
            <w:tcW w:w="1134"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14.7%</w:t>
            </w:r>
          </w:p>
        </w:tc>
        <w:tc>
          <w:tcPr>
            <w:tcW w:w="3046" w:type="dxa"/>
            <w:shd w:val="clear" w:color="auto" w:fill="auto"/>
            <w:vAlign w:val="center"/>
          </w:tcPr>
          <w:p>
            <w:pPr>
              <w:overflowPunct/>
              <w:spacing w:line="240" w:lineRule="auto"/>
              <w:ind w:firstLine="0" w:firstLineChars="0"/>
              <w:rPr>
                <w:rFonts w:ascii="Times New Roman" w:hAnsi="Times New Roman" w:eastAsia="仿宋_GB2312" w:cs="Times New Roman"/>
                <w:color w:val="000000"/>
                <w:sz w:val="24"/>
              </w:rPr>
            </w:pPr>
            <w:r>
              <w:rPr>
                <w:rFonts w:ascii="Times New Roman" w:hAnsi="Times New Roman" w:eastAsia="仿宋_GB2312" w:cs="Times New Roman"/>
                <w:color w:val="000000"/>
                <w:sz w:val="24"/>
              </w:rPr>
              <w:t>2022年从化区知识产权质押融资金额为5.43亿元，增长率为14.7%，目标值完成率高于150%。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jc w:val="center"/>
        </w:trPr>
        <w:tc>
          <w:tcPr>
            <w:tcW w:w="1261" w:type="dxa"/>
            <w:vMerge w:val="continue"/>
            <w:shd w:val="clear" w:color="auto" w:fill="auto"/>
            <w:vAlign w:val="center"/>
          </w:tcPr>
          <w:p>
            <w:pPr>
              <w:overflowPunct/>
              <w:spacing w:line="240" w:lineRule="auto"/>
              <w:ind w:firstLine="0" w:firstLineChars="0"/>
              <w:jc w:val="left"/>
              <w:rPr>
                <w:rFonts w:ascii="Times New Roman" w:hAnsi="Times New Roman" w:eastAsia="仿宋_GB2312" w:cs="Times New Roman"/>
                <w:kern w:val="0"/>
                <w:sz w:val="24"/>
                <w:szCs w:val="24"/>
              </w:rPr>
            </w:pPr>
          </w:p>
        </w:tc>
        <w:tc>
          <w:tcPr>
            <w:tcW w:w="1842" w:type="dxa"/>
            <w:shd w:val="clear" w:color="auto" w:fill="auto"/>
            <w:vAlign w:val="center"/>
          </w:tcPr>
          <w:p>
            <w:pPr>
              <w:overflowPunct/>
              <w:spacing w:line="240" w:lineRule="auto"/>
              <w:ind w:firstLine="0" w:firstLineChars="0"/>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（资助资金）获资助单位对资助资金工作的满意度</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95%</w:t>
            </w:r>
          </w:p>
        </w:tc>
        <w:tc>
          <w:tcPr>
            <w:tcW w:w="1134"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100%</w:t>
            </w:r>
          </w:p>
        </w:tc>
        <w:tc>
          <w:tcPr>
            <w:tcW w:w="3046" w:type="dxa"/>
            <w:shd w:val="clear" w:color="auto" w:fill="auto"/>
            <w:vAlign w:val="center"/>
          </w:tcPr>
          <w:p>
            <w:pPr>
              <w:overflowPunct/>
              <w:spacing w:line="240" w:lineRule="auto"/>
              <w:ind w:firstLine="0" w:firstLineChars="0"/>
              <w:rPr>
                <w:rFonts w:ascii="Times New Roman" w:hAnsi="Times New Roman" w:eastAsia="仿宋_GB2312" w:cs="Times New Roman"/>
                <w:color w:val="000000"/>
                <w:sz w:val="24"/>
              </w:rPr>
            </w:pPr>
            <w:r>
              <w:rPr>
                <w:rFonts w:ascii="Times New Roman" w:hAnsi="Times New Roman" w:eastAsia="仿宋_GB2312" w:cs="Times New Roman"/>
                <w:color w:val="000000"/>
                <w:sz w:val="24"/>
              </w:rPr>
              <w:t>（资助资金）获资助单位对资助资金工作的满意度为100%。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jc w:val="center"/>
        </w:trPr>
        <w:tc>
          <w:tcPr>
            <w:tcW w:w="1261" w:type="dxa"/>
            <w:vMerge w:val="continue"/>
            <w:shd w:val="clear" w:color="auto" w:fill="auto"/>
            <w:vAlign w:val="center"/>
          </w:tcPr>
          <w:p>
            <w:pPr>
              <w:overflowPunct/>
              <w:spacing w:line="240" w:lineRule="auto"/>
              <w:ind w:firstLine="0" w:firstLineChars="0"/>
              <w:jc w:val="left"/>
              <w:rPr>
                <w:rFonts w:ascii="Times New Roman" w:hAnsi="Times New Roman" w:eastAsia="仿宋_GB2312" w:cs="Times New Roman"/>
                <w:kern w:val="0"/>
                <w:sz w:val="24"/>
                <w:szCs w:val="24"/>
              </w:rPr>
            </w:pPr>
          </w:p>
        </w:tc>
        <w:tc>
          <w:tcPr>
            <w:tcW w:w="1842" w:type="dxa"/>
            <w:shd w:val="clear" w:color="auto" w:fill="auto"/>
            <w:vAlign w:val="center"/>
          </w:tcPr>
          <w:p>
            <w:pPr>
              <w:overflowPunct/>
              <w:spacing w:line="240" w:lineRule="auto"/>
              <w:ind w:firstLine="0" w:firstLineChars="0"/>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（发展资金）获资助单位对资助资金工作的满意度</w:t>
            </w:r>
          </w:p>
        </w:tc>
        <w:tc>
          <w:tcPr>
            <w:tcW w:w="993" w:type="dxa"/>
            <w:shd w:val="clear" w:color="auto" w:fill="auto"/>
            <w:vAlign w:val="center"/>
          </w:tcPr>
          <w:p>
            <w:pPr>
              <w:overflowPunct/>
              <w:spacing w:line="240" w:lineRule="auto"/>
              <w:ind w:firstLine="0" w:firstLineChars="0"/>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95%</w:t>
            </w:r>
          </w:p>
        </w:tc>
        <w:tc>
          <w:tcPr>
            <w:tcW w:w="1134" w:type="dxa"/>
            <w:shd w:val="clear" w:color="auto" w:fill="auto"/>
            <w:vAlign w:val="center"/>
          </w:tcPr>
          <w:p>
            <w:pPr>
              <w:overflowPunct/>
              <w:spacing w:line="240" w:lineRule="auto"/>
              <w:ind w:firstLine="0" w:firstLineChars="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100%</w:t>
            </w:r>
          </w:p>
        </w:tc>
        <w:tc>
          <w:tcPr>
            <w:tcW w:w="3046" w:type="dxa"/>
            <w:shd w:val="clear" w:color="auto" w:fill="auto"/>
            <w:vAlign w:val="center"/>
          </w:tcPr>
          <w:p>
            <w:pPr>
              <w:overflowPunct/>
              <w:spacing w:line="240" w:lineRule="auto"/>
              <w:ind w:firstLine="0" w:firstLineChars="0"/>
              <w:rPr>
                <w:rFonts w:ascii="Times New Roman" w:hAnsi="Times New Roman" w:eastAsia="仿宋_GB2312" w:cs="Times New Roman"/>
                <w:color w:val="000000"/>
                <w:sz w:val="24"/>
              </w:rPr>
            </w:pPr>
            <w:r>
              <w:rPr>
                <w:rFonts w:ascii="Times New Roman" w:hAnsi="Times New Roman" w:eastAsia="仿宋_GB2312" w:cs="Times New Roman"/>
                <w:color w:val="000000"/>
                <w:sz w:val="24"/>
              </w:rPr>
              <w:t>（发展资金）获资助单位对资助资金工作的满意度为100%。</w:t>
            </w:r>
          </w:p>
        </w:tc>
      </w:tr>
    </w:tbl>
    <w:p>
      <w:pPr>
        <w:pStyle w:val="8"/>
        <w:ind w:firstLine="643"/>
      </w:pPr>
      <w:r>
        <w:rPr>
          <w:rFonts w:hint="eastAsia"/>
        </w:rPr>
        <w:t>三、部门主要绩效</w:t>
      </w:r>
    </w:p>
    <w:p>
      <w:pPr>
        <w:pStyle w:val="10"/>
        <w:ind w:firstLine="643"/>
        <w:rPr>
          <w:rFonts w:cs="Times New Roman"/>
          <w:snapToGrid w:val="0"/>
        </w:rPr>
      </w:pPr>
      <w:bookmarkStart w:id="0" w:name="_Toc144474734"/>
      <w:r>
        <w:rPr>
          <w:rFonts w:cs="Times New Roman"/>
          <w:snapToGrid w:val="0"/>
        </w:rPr>
        <w:t>（一）强化产品安全</w:t>
      </w:r>
      <w:bookmarkEnd w:id="0"/>
      <w:r>
        <w:rPr>
          <w:rFonts w:cs="Times New Roman"/>
          <w:snapToGrid w:val="0"/>
        </w:rPr>
        <w:t>监管</w:t>
      </w:r>
    </w:p>
    <w:p>
      <w:pPr>
        <w:pStyle w:val="9"/>
        <w:ind w:firstLine="640"/>
        <w:rPr>
          <w:rFonts w:cs="Times New Roman"/>
          <w:color w:val="000000"/>
          <w:szCs w:val="24"/>
        </w:rPr>
      </w:pPr>
      <w:r>
        <w:rPr>
          <w:rFonts w:cs="Times New Roman"/>
          <w:color w:val="000000"/>
          <w:szCs w:val="24"/>
        </w:rPr>
        <w:t>区市场监管局通过产品质量抽检等工作有效守护全区市场食品、药品以及特种设备质量安全底线。</w:t>
      </w:r>
      <w:r>
        <w:rPr>
          <w:rFonts w:cs="Times New Roman"/>
          <w:b/>
          <w:bCs/>
          <w:color w:val="000000"/>
          <w:szCs w:val="24"/>
        </w:rPr>
        <w:t>一是</w:t>
      </w:r>
      <w:r>
        <w:rPr>
          <w:rFonts w:cs="Times New Roman"/>
          <w:color w:val="000000"/>
          <w:szCs w:val="24"/>
        </w:rPr>
        <w:t>强化食品监督抽检工作。2022年全区共完成食品抽检726批次，完成市食安办下达的年度检验检测任务“每年每千人不少于1批次”的食品检验量。此外，区市场监管局对热门商圈、“外卖厨房”以及销量较大等网络餐饮开展了抽检行动，进一步加强了网络餐饮服务食品安全监督管理工作；</w:t>
      </w:r>
      <w:r>
        <w:rPr>
          <w:rFonts w:cs="Times New Roman"/>
          <w:b/>
          <w:bCs/>
          <w:color w:val="000000"/>
          <w:szCs w:val="24"/>
        </w:rPr>
        <w:t>二是</w:t>
      </w:r>
      <w:r>
        <w:rPr>
          <w:rFonts w:cs="Times New Roman"/>
          <w:color w:val="000000"/>
          <w:szCs w:val="24"/>
        </w:rPr>
        <w:t>加强药品安全监管。2022年区市场监管局开展的药品抽检专项涉及批发、零售连锁总部专项、针对性品种专项、指定品种专项、区日常监督专项以及执法专项，各专项抽检任务均已100%完成，有效保障从化区人民群众用药安全；</w:t>
      </w:r>
      <w:r>
        <w:rPr>
          <w:rFonts w:cs="Times New Roman"/>
          <w:b/>
          <w:bCs/>
          <w:color w:val="000000"/>
          <w:szCs w:val="24"/>
        </w:rPr>
        <w:t>三是</w:t>
      </w:r>
      <w:r>
        <w:rPr>
          <w:rFonts w:cs="Times New Roman"/>
          <w:color w:val="000000"/>
          <w:szCs w:val="24"/>
        </w:rPr>
        <w:t>加强特种设备安全监管。2022年区市场监管局共完成电梯抽查572 台，涉及使用单位 194 家，维保单位 46家。发现存在不符合项目的电梯 154 台，发现安全隐患 211 项，对所有的不符合项目均已进行复检、完成整改确认。总的来说，全区全年未发生源发性、群体性的食品、药品和特种设备安全事故，有效保障从化区市民健康安全。</w:t>
      </w:r>
    </w:p>
    <w:p>
      <w:pPr>
        <w:pStyle w:val="10"/>
        <w:ind w:firstLine="643"/>
        <w:rPr>
          <w:rFonts w:cs="Times New Roman"/>
          <w:snapToGrid w:val="0"/>
        </w:rPr>
      </w:pPr>
      <w:bookmarkStart w:id="1" w:name="_Toc144474735"/>
      <w:r>
        <w:rPr>
          <w:rFonts w:cs="Times New Roman"/>
          <w:snapToGrid w:val="0"/>
        </w:rPr>
        <w:t>（二）推进知识产权工作</w:t>
      </w:r>
      <w:bookmarkEnd w:id="1"/>
      <w:r>
        <w:rPr>
          <w:rFonts w:cs="Times New Roman"/>
          <w:snapToGrid w:val="0"/>
        </w:rPr>
        <w:t xml:space="preserve"> </w:t>
      </w:r>
    </w:p>
    <w:p>
      <w:pPr>
        <w:pStyle w:val="9"/>
        <w:ind w:firstLine="643"/>
        <w:rPr>
          <w:rFonts w:cs="Times New Roman"/>
          <w:color w:val="000000"/>
          <w:szCs w:val="24"/>
        </w:rPr>
      </w:pPr>
      <w:r>
        <w:rPr>
          <w:rFonts w:cs="Times New Roman"/>
          <w:b/>
          <w:bCs/>
          <w:color w:val="000000"/>
          <w:szCs w:val="24"/>
        </w:rPr>
        <w:t>一是</w:t>
      </w:r>
      <w:r>
        <w:rPr>
          <w:rFonts w:cs="Times New Roman"/>
          <w:color w:val="000000"/>
          <w:szCs w:val="24"/>
        </w:rPr>
        <w:t>鼓励知识产权创造。2022年区市场监管局共发放2021年广州市知识产权工作专项资金资助资金项目资金6.975万元，发放2022年广州市知识产权工作专项资金资助资金项目资金4.4万元、2022年度广州市第一批知识产权项目（促进类）项目资金26.625万元，共计38万元，有效激发全区创新潜能和创业活力。2022年从化区有效注册商标数及有效发明数增长显著，全年有效注册商标数21303件、有效发明专利数量为899件，增长率分别为17.1%、26.1%；</w:t>
      </w:r>
      <w:r>
        <w:rPr>
          <w:rFonts w:cs="Times New Roman"/>
          <w:b/>
          <w:bCs/>
          <w:color w:val="000000"/>
          <w:szCs w:val="24"/>
        </w:rPr>
        <w:t>二是</w:t>
      </w:r>
      <w:r>
        <w:rPr>
          <w:rFonts w:cs="Times New Roman"/>
          <w:color w:val="000000"/>
          <w:szCs w:val="24"/>
        </w:rPr>
        <w:t>知识产权运用水平稳步提升，2022年从化区知识产权质押融资金额为5.43亿元，增长率为14.7%，增长率高于全市平均水平；</w:t>
      </w:r>
      <w:r>
        <w:rPr>
          <w:rFonts w:cs="Times New Roman"/>
          <w:b/>
          <w:bCs/>
          <w:color w:val="000000"/>
          <w:szCs w:val="24"/>
        </w:rPr>
        <w:t>三是</w:t>
      </w:r>
      <w:r>
        <w:rPr>
          <w:rFonts w:cs="Times New Roman"/>
          <w:color w:val="000000"/>
          <w:szCs w:val="24"/>
        </w:rPr>
        <w:t xml:space="preserve">知识产权保护环境进一步优化。2022年受理纠纷调解件数11318件较去年同期7399件多3919件，增加率为52.97%。 </w:t>
      </w:r>
    </w:p>
    <w:p>
      <w:pPr>
        <w:pStyle w:val="8"/>
        <w:ind w:firstLine="643"/>
      </w:pPr>
      <w:r>
        <w:rPr>
          <w:rFonts w:hint="eastAsia"/>
        </w:rPr>
        <w:t>四、存在问题</w:t>
      </w:r>
    </w:p>
    <w:p>
      <w:pPr>
        <w:pStyle w:val="9"/>
        <w:ind w:firstLine="640"/>
        <w:rPr>
          <w:rFonts w:cs="Times New Roman"/>
        </w:rPr>
      </w:pPr>
      <w:r>
        <w:rPr>
          <w:rFonts w:cs="Times New Roman"/>
        </w:rPr>
        <w:t>2022年，从化区市场监督管理局基本能够履行部门职能，有效保障从化区市民健康安全，推动知识产权实现高质量发展，但在资金管理、部门资产管理、实施过程管理以及绩效目标管理等方面存在一定问题。</w:t>
      </w:r>
    </w:p>
    <w:p>
      <w:pPr>
        <w:pStyle w:val="10"/>
        <w:ind w:firstLine="643"/>
        <w:rPr>
          <w:rFonts w:eastAsia="楷体_GB2312" w:cs="Times New Roman"/>
          <w:b/>
          <w:bCs/>
          <w:snapToGrid w:val="0"/>
          <w:color w:val="000000" w:themeColor="text1"/>
          <w:szCs w:val="32"/>
          <w14:textFill>
            <w14:solidFill>
              <w14:schemeClr w14:val="tx1"/>
            </w14:solidFill>
          </w14:textFill>
        </w:rPr>
      </w:pPr>
      <w:bookmarkStart w:id="2" w:name="_Toc144474738"/>
      <w:r>
        <w:rPr>
          <w:rFonts w:hint="eastAsia" w:eastAsia="楷体_GB2312" w:cs="Times New Roman"/>
          <w:b/>
          <w:bCs/>
          <w:snapToGrid w:val="0"/>
          <w:color w:val="000000" w:themeColor="text1"/>
          <w:szCs w:val="32"/>
          <w14:textFill>
            <w14:solidFill>
              <w14:schemeClr w14:val="tx1"/>
            </w14:solidFill>
          </w14:textFill>
        </w:rPr>
        <w:t>（一）部门</w:t>
      </w:r>
      <w:r>
        <w:rPr>
          <w:rFonts w:hint="eastAsia" w:cs="Times New Roman"/>
        </w:rPr>
        <w:t>会计</w:t>
      </w:r>
      <w:r>
        <w:rPr>
          <w:rFonts w:hint="eastAsia" w:eastAsia="楷体_GB2312" w:cs="Times New Roman"/>
          <w:b/>
          <w:bCs/>
          <w:snapToGrid w:val="0"/>
          <w:color w:val="000000" w:themeColor="text1"/>
          <w:szCs w:val="32"/>
          <w14:textFill>
            <w14:solidFill>
              <w14:schemeClr w14:val="tx1"/>
            </w14:solidFill>
          </w14:textFill>
        </w:rPr>
        <w:t>核算规范化有待提升</w:t>
      </w:r>
    </w:p>
    <w:p>
      <w:pPr>
        <w:pStyle w:val="9"/>
        <w:ind w:firstLine="640"/>
        <w:rPr>
          <w:rFonts w:cs="Times New Roman"/>
        </w:rPr>
      </w:pPr>
      <w:r>
        <w:rPr>
          <w:rFonts w:hint="eastAsia" w:cs="Times New Roman"/>
        </w:rPr>
        <w:t>会计核算工作不够规范。账表金额不统一，如决算报表专用材料费194217.31元，财务账该科目余额为16466.27元，存在账表不符问题。此外，个别账务处理有误，比如2022年3月47#凭证，摘要、财务会计科目与经济事项、预算会计科目未能正确对应。最后，未按规定要求填制记账凭证必须具备的基本内容，比如记账凭证所附原始凭证张数均未按实际单据填写，全部直接为0，会计基础工作不规范。</w:t>
      </w:r>
    </w:p>
    <w:bookmarkEnd w:id="2"/>
    <w:p>
      <w:pPr>
        <w:pStyle w:val="10"/>
        <w:ind w:firstLine="643"/>
        <w:rPr>
          <w:rFonts w:cs="Times New Roman"/>
        </w:rPr>
      </w:pPr>
      <w:bookmarkStart w:id="3" w:name="_Toc144474739"/>
      <w:r>
        <w:rPr>
          <w:rFonts w:cs="Times New Roman"/>
        </w:rPr>
        <w:t>（</w:t>
      </w:r>
      <w:r>
        <w:rPr>
          <w:rFonts w:hint="eastAsia" w:cs="Times New Roman"/>
        </w:rPr>
        <w:t>二</w:t>
      </w:r>
      <w:r>
        <w:rPr>
          <w:rFonts w:cs="Times New Roman"/>
        </w:rPr>
        <w:t>）项目实施过程管理有待完善</w:t>
      </w:r>
      <w:bookmarkEnd w:id="3"/>
    </w:p>
    <w:p>
      <w:pPr>
        <w:pStyle w:val="9"/>
        <w:ind w:firstLine="643"/>
        <w:rPr>
          <w:rFonts w:cs="Times New Roman"/>
          <w:color w:val="000000"/>
          <w:szCs w:val="24"/>
        </w:rPr>
      </w:pPr>
      <w:bookmarkStart w:id="4" w:name="_Toc144474740"/>
      <w:r>
        <w:rPr>
          <w:rFonts w:hint="eastAsia" w:cs="Times New Roman"/>
          <w:b/>
          <w:bCs/>
          <w:color w:val="000000"/>
          <w:szCs w:val="24"/>
        </w:rPr>
        <w:t>一是</w:t>
      </w:r>
      <w:r>
        <w:rPr>
          <w:rFonts w:hint="eastAsia" w:cs="Times New Roman"/>
          <w:color w:val="000000"/>
          <w:szCs w:val="24"/>
        </w:rPr>
        <w:t>对不合格食品单位跟踪监督机制存在缺陷。从化区</w:t>
      </w:r>
      <w:r>
        <w:rPr>
          <w:rFonts w:cs="Times New Roman"/>
          <w:color w:val="000000"/>
          <w:szCs w:val="24"/>
        </w:rPr>
        <w:t>2022年度食品安全监督全年抽检涉及的单位数有205家。2021年食品安全监督抽检中抽检不合格的单位数有8家，其中仅有1家被纳入到2022年抽检明细中进行二次抽检。经过询问和检查发现，从化区市场监督管理局对往年抽检中发现不合格产品种类，在新的抽检年度有更大广度范围的抽检，但未将抽检不合格产品所对应的所有单位都纳入抽检计划中，缺乏对部分单位后续整改后进行二次检查的意识。</w:t>
      </w:r>
    </w:p>
    <w:p>
      <w:pPr>
        <w:pStyle w:val="9"/>
        <w:ind w:firstLine="643"/>
        <w:rPr>
          <w:rFonts w:cs="Times New Roman"/>
          <w:color w:val="000000"/>
          <w:szCs w:val="24"/>
        </w:rPr>
      </w:pPr>
      <w:r>
        <w:rPr>
          <w:rFonts w:hint="eastAsia" w:cs="Times New Roman"/>
          <w:b/>
          <w:bCs/>
          <w:color w:val="000000"/>
          <w:szCs w:val="24"/>
        </w:rPr>
        <w:t>二</w:t>
      </w:r>
      <w:r>
        <w:rPr>
          <w:rFonts w:cs="Times New Roman"/>
          <w:b/>
          <w:bCs/>
          <w:color w:val="000000"/>
          <w:szCs w:val="24"/>
        </w:rPr>
        <w:t>是</w:t>
      </w:r>
      <w:r>
        <w:rPr>
          <w:rFonts w:cs="Times New Roman"/>
          <w:color w:val="000000"/>
          <w:szCs w:val="24"/>
        </w:rPr>
        <w:t>知识产权补助政策宣传渠道单一，宣传力度不足。根据单位所提供的材料，单位仅在政府网站</w:t>
      </w:r>
      <w:r>
        <w:rPr>
          <w:rFonts w:hint="eastAsia" w:cs="Times New Roman"/>
          <w:color w:val="000000"/>
          <w:szCs w:val="24"/>
        </w:rPr>
        <w:t>、微信群以及朋友圈</w:t>
      </w:r>
      <w:r>
        <w:rPr>
          <w:rFonts w:cs="Times New Roman"/>
          <w:color w:val="000000"/>
          <w:szCs w:val="24"/>
        </w:rPr>
        <w:t>公布知识产权专项资金申报政策，无法全面覆盖目标受众。</w:t>
      </w:r>
    </w:p>
    <w:p>
      <w:pPr>
        <w:pStyle w:val="10"/>
        <w:ind w:firstLine="643"/>
        <w:rPr>
          <w:rFonts w:cs="Times New Roman"/>
        </w:rPr>
      </w:pPr>
      <w:r>
        <w:rPr>
          <w:rFonts w:cs="Times New Roman"/>
        </w:rPr>
        <w:t>（</w:t>
      </w:r>
      <w:r>
        <w:rPr>
          <w:rFonts w:hint="eastAsia" w:cs="Times New Roman"/>
        </w:rPr>
        <w:t>三</w:t>
      </w:r>
      <w:r>
        <w:rPr>
          <w:rFonts w:cs="Times New Roman"/>
        </w:rPr>
        <w:t>）绩效目标管理有待优化</w:t>
      </w:r>
      <w:bookmarkEnd w:id="4"/>
    </w:p>
    <w:p>
      <w:pPr>
        <w:pStyle w:val="9"/>
        <w:ind w:firstLine="643"/>
        <w:rPr>
          <w:rFonts w:cs="Times New Roman"/>
          <w:color w:val="000000"/>
          <w:szCs w:val="24"/>
        </w:rPr>
      </w:pPr>
      <w:r>
        <w:rPr>
          <w:rFonts w:cs="Times New Roman"/>
          <w:b/>
          <w:bCs/>
          <w:color w:val="000000"/>
          <w:szCs w:val="24"/>
        </w:rPr>
        <w:t>一是</w:t>
      </w:r>
      <w:r>
        <w:rPr>
          <w:rFonts w:cs="Times New Roman"/>
          <w:color w:val="000000"/>
          <w:szCs w:val="24"/>
        </w:rPr>
        <w:t>绩效目标未能全面反映履职情况。根据《2022年部门整体预算绩效目标申报表》，区市场监管局在2022年度共有15个支出项目，然而，部门设置的11个年度绩效指标主要体现在食品安全监督抽检经费、特种设备监督抽检经费等项目的产出上，未能全面覆盖年度的重点工作任务及相关项目；指标设置仅有产出指标和社会效益指标，且产出指标设置存在“重产出，轻质量”问题。此外，未设置社会公众或服务对象满意度指标。总的来说，现有的绩效指标在体现重点任务及项目的完整成效上尚有欠缺，不能全面</w:t>
      </w:r>
      <w:r>
        <w:rPr>
          <w:rFonts w:hint="eastAsia" w:cs="Times New Roman"/>
          <w:color w:val="000000"/>
          <w:szCs w:val="24"/>
        </w:rPr>
        <w:t>反映</w:t>
      </w:r>
      <w:r>
        <w:rPr>
          <w:rFonts w:cs="Times New Roman"/>
          <w:color w:val="000000"/>
          <w:szCs w:val="24"/>
        </w:rPr>
        <w:t>从化区市场监督管理局2022年的部门重点工作。</w:t>
      </w:r>
    </w:p>
    <w:p>
      <w:pPr>
        <w:pStyle w:val="9"/>
        <w:ind w:firstLine="643"/>
        <w:rPr>
          <w:rFonts w:cs="Times New Roman"/>
          <w:color w:val="000000"/>
          <w:szCs w:val="24"/>
        </w:rPr>
      </w:pPr>
      <w:r>
        <w:rPr>
          <w:rFonts w:cs="Times New Roman"/>
          <w:b/>
          <w:bCs/>
          <w:color w:val="000000"/>
          <w:szCs w:val="24"/>
        </w:rPr>
        <w:t>二是</w:t>
      </w:r>
      <w:r>
        <w:rPr>
          <w:rFonts w:cs="Times New Roman"/>
          <w:color w:val="000000"/>
          <w:szCs w:val="24"/>
        </w:rPr>
        <w:t>部分核心指标实际完成值与年初目标值不匹配。如“</w:t>
      </w:r>
      <w:r>
        <w:rPr>
          <w:rFonts w:hint="eastAsia" w:cs="Times New Roman"/>
          <w:color w:val="000000"/>
          <w:szCs w:val="24"/>
        </w:rPr>
        <w:t>商标有效注册量年增长率</w:t>
      </w:r>
      <w:r>
        <w:rPr>
          <w:rFonts w:cs="Times New Roman"/>
          <w:color w:val="000000"/>
          <w:szCs w:val="24"/>
        </w:rPr>
        <w:t>”指标，预设目标值为5%及以上，档案利用实际增长率为17.10%，年初设置的目标值远</w:t>
      </w:r>
      <w:r>
        <w:rPr>
          <w:rFonts w:hint="eastAsia" w:cs="Times New Roman"/>
          <w:color w:val="000000"/>
          <w:szCs w:val="24"/>
        </w:rPr>
        <w:t>低</w:t>
      </w:r>
      <w:r>
        <w:rPr>
          <w:rFonts w:cs="Times New Roman"/>
          <w:color w:val="000000"/>
          <w:szCs w:val="24"/>
        </w:rPr>
        <w:t>于实际完成指标。又如“知识产权质押融资金额年增长率”指标，年初目标值为5%，实际完成值为14.7%，实际完成值是年初目标值的3倍。核心指标实际完成值与年初目标值的偏离程度较大，说明了区市场监管局对年初目标值的设定的科学性有待提升。</w:t>
      </w:r>
    </w:p>
    <w:p>
      <w:pPr>
        <w:pStyle w:val="9"/>
        <w:ind w:firstLine="643"/>
        <w:rPr>
          <w:rFonts w:cs="Times New Roman"/>
          <w:color w:val="000000"/>
          <w:szCs w:val="24"/>
        </w:rPr>
      </w:pPr>
      <w:r>
        <w:rPr>
          <w:rFonts w:cs="Times New Roman"/>
          <w:b/>
          <w:bCs/>
          <w:color w:val="000000"/>
          <w:szCs w:val="24"/>
        </w:rPr>
        <w:t>三是</w:t>
      </w:r>
      <w:r>
        <w:rPr>
          <w:rFonts w:cs="Times New Roman"/>
          <w:color w:val="000000"/>
          <w:szCs w:val="24"/>
        </w:rPr>
        <w:t>部分绩效指标设置有误。如成本指标“食品监督抽检合格率”“抽查电梯发现问题整改率”设置有误，上述指标属于质量指标范畴，将上述指标列入成本指标，不符合绩效指标设定要求。又如社会效益指标“监督抽检不合格产品后置处理率”，该指标实际考核的是项目成果质量，并不能反映项目实施所带来的社会效益，绩效指标设置的准确性不足。</w:t>
      </w:r>
    </w:p>
    <w:p>
      <w:pPr>
        <w:pStyle w:val="8"/>
        <w:ind w:firstLine="643"/>
      </w:pPr>
      <w:r>
        <w:rPr>
          <w:rFonts w:hint="eastAsia"/>
        </w:rPr>
        <w:t>五、相关建议</w:t>
      </w:r>
    </w:p>
    <w:p>
      <w:pPr>
        <w:pStyle w:val="10"/>
        <w:ind w:firstLine="643"/>
        <w:rPr>
          <w:rFonts w:cs="Times New Roman"/>
        </w:rPr>
      </w:pPr>
      <w:bookmarkStart w:id="5" w:name="_Toc14885"/>
      <w:bookmarkStart w:id="6" w:name="_Toc144474742"/>
      <w:r>
        <w:rPr>
          <w:rFonts w:cs="Times New Roman"/>
        </w:rPr>
        <w:t>（一）</w:t>
      </w:r>
      <w:bookmarkEnd w:id="5"/>
      <w:r>
        <w:rPr>
          <w:rFonts w:cs="Times New Roman"/>
        </w:rPr>
        <w:t>提高部门资金管理水平</w:t>
      </w:r>
      <w:bookmarkEnd w:id="6"/>
    </w:p>
    <w:p>
      <w:pPr>
        <w:spacing w:line="560" w:lineRule="exact"/>
        <w:ind w:firstLine="640"/>
        <w:rPr>
          <w:rFonts w:cs="Times New Roman"/>
        </w:rPr>
      </w:pPr>
      <w:r>
        <w:rPr>
          <w:rFonts w:hint="eastAsia" w:ascii="Times New Roman" w:hAnsi="Times New Roman" w:eastAsia="仿宋_GB2312" w:cs="Times New Roman"/>
          <w:color w:val="333333"/>
          <w:kern w:val="0"/>
          <w:sz w:val="32"/>
          <w:szCs w:val="32"/>
        </w:rPr>
        <w:t>建议区市场监管局严格执行政府会计制度中对账务处理的各项要求，同时强化财务管理人员业务能力的培训，提升部</w:t>
      </w:r>
    </w:p>
    <w:p>
      <w:pPr>
        <w:pStyle w:val="10"/>
        <w:ind w:firstLine="643"/>
        <w:rPr>
          <w:rFonts w:cs="Times New Roman"/>
        </w:rPr>
      </w:pPr>
      <w:bookmarkStart w:id="7" w:name="_Toc144474744"/>
      <w:r>
        <w:rPr>
          <w:rFonts w:cs="Times New Roman"/>
        </w:rPr>
        <w:t>（</w:t>
      </w:r>
      <w:r>
        <w:rPr>
          <w:rFonts w:hint="eastAsia" w:cs="Times New Roman"/>
          <w:lang w:eastAsia="zh-CN"/>
        </w:rPr>
        <w:t>二</w:t>
      </w:r>
      <w:r>
        <w:rPr>
          <w:rFonts w:cs="Times New Roman"/>
        </w:rPr>
        <w:t>）完善工作实施过程管理</w:t>
      </w:r>
      <w:bookmarkEnd w:id="7"/>
    </w:p>
    <w:p>
      <w:pPr>
        <w:pStyle w:val="9"/>
        <w:ind w:firstLine="643"/>
        <w:rPr>
          <w:rFonts w:cs="Times New Roman"/>
          <w:color w:val="000000"/>
          <w:szCs w:val="24"/>
        </w:rPr>
      </w:pPr>
      <w:r>
        <w:rPr>
          <w:rFonts w:hint="eastAsia" w:cs="Times New Roman"/>
          <w:b/>
          <w:bCs/>
          <w:color w:val="000000"/>
          <w:szCs w:val="24"/>
        </w:rPr>
        <w:t>一</w:t>
      </w:r>
      <w:r>
        <w:rPr>
          <w:rFonts w:cs="Times New Roman"/>
          <w:b/>
          <w:bCs/>
          <w:color w:val="000000"/>
          <w:szCs w:val="24"/>
        </w:rPr>
        <w:t>是</w:t>
      </w:r>
      <w:r>
        <w:rPr>
          <w:rFonts w:cs="Times New Roman"/>
          <w:color w:val="000000"/>
          <w:szCs w:val="24"/>
        </w:rPr>
        <w:t>建议对往年出现检测不合格产品对应单位实施“回头看”机制，加强后续检测和跟踪。从化区市场监督管理局应考虑对容易出现问题的企业和品种进行多批次抽检，严格检测相关品种的质量情况，在容易出现问题的环节加大监管力度。同时结合历年产品安全抽检监测数据，对不合格企业产品实施跟踪抽检，对往年抽检不合格产品在抽检范围的深度和广度等多方面纳入到次年的抽检计划中，定期或不定期的进行突击抽查，加大巡查力度，将监管工作做在日常，确保食品安全。</w:t>
      </w:r>
    </w:p>
    <w:p>
      <w:pPr>
        <w:pStyle w:val="9"/>
        <w:ind w:firstLine="643"/>
        <w:rPr>
          <w:rFonts w:cs="Times New Roman"/>
          <w:color w:val="000000"/>
          <w:szCs w:val="24"/>
        </w:rPr>
      </w:pPr>
      <w:r>
        <w:rPr>
          <w:rFonts w:hint="eastAsia" w:cs="Times New Roman"/>
          <w:b/>
          <w:bCs/>
          <w:color w:val="000000"/>
          <w:szCs w:val="24"/>
        </w:rPr>
        <w:t>二</w:t>
      </w:r>
      <w:r>
        <w:rPr>
          <w:rFonts w:cs="Times New Roman"/>
          <w:b/>
          <w:bCs/>
          <w:color w:val="000000"/>
          <w:szCs w:val="24"/>
        </w:rPr>
        <w:t>是</w:t>
      </w:r>
      <w:r>
        <w:rPr>
          <w:rFonts w:cs="Times New Roman"/>
          <w:color w:val="000000"/>
          <w:szCs w:val="24"/>
        </w:rPr>
        <w:t>创新宣传手段和方式，简化申报程序。建议区市场监管局探索设立“知识产权政策”官方微博、微信公众服务号或手机APP，持续发布知识产权补助政策解读和申请指南，做到报纸有报道、电视有影像、电台有声音、网络有信息。此外，结合当前企业年报工作、与负责联系本辖区的知识产权代理机构积极联系对接等方式向辖区企业、专利权人深入宣传学习知识产权相关文件精神，鼓励企业、专利权人结合各自实际，充分运用政策措施，积极开展知识产权项目奖补申报工作。</w:t>
      </w:r>
    </w:p>
    <w:p>
      <w:pPr>
        <w:pStyle w:val="10"/>
        <w:ind w:firstLine="643"/>
        <w:rPr>
          <w:rFonts w:cs="Times New Roman"/>
        </w:rPr>
      </w:pPr>
      <w:bookmarkStart w:id="8" w:name="_Toc144474745"/>
      <w:r>
        <w:rPr>
          <w:rFonts w:cs="Times New Roman"/>
        </w:rPr>
        <w:t>（</w:t>
      </w:r>
      <w:r>
        <w:rPr>
          <w:rFonts w:hint="eastAsia" w:cs="Times New Roman"/>
          <w:lang w:eastAsia="zh-CN"/>
        </w:rPr>
        <w:t>三</w:t>
      </w:r>
      <w:r>
        <w:rPr>
          <w:rFonts w:cs="Times New Roman"/>
        </w:rPr>
        <w:t>）</w:t>
      </w:r>
      <w:r>
        <w:rPr>
          <w:rStyle w:val="15"/>
          <w:rFonts w:hint="default" w:cs="Times New Roman"/>
        </w:rPr>
        <w:t>提升绩效目标导向性及全面性</w:t>
      </w:r>
      <w:bookmarkEnd w:id="8"/>
    </w:p>
    <w:p>
      <w:pPr>
        <w:pStyle w:val="9"/>
        <w:ind w:firstLine="643"/>
        <w:rPr>
          <w:rFonts w:cs="Times New Roman"/>
          <w:color w:val="000000"/>
          <w:szCs w:val="24"/>
        </w:rPr>
      </w:pPr>
      <w:r>
        <w:rPr>
          <w:rFonts w:cs="Times New Roman"/>
          <w:b/>
          <w:bCs/>
          <w:color w:val="000000"/>
          <w:szCs w:val="24"/>
        </w:rPr>
        <w:t>一是</w:t>
      </w:r>
      <w:r>
        <w:rPr>
          <w:rFonts w:cs="Times New Roman"/>
          <w:color w:val="000000"/>
          <w:szCs w:val="24"/>
        </w:rPr>
        <w:t>建议区市场监管局按照部门整体、核心工作任务、重点项目的思路，构建分类型、分层次的核心绩效指标体系。可依据部门“十四五”规划，梳理和分解工作任务，选择能够反映部门承担主要责任的指标，设定为部门整体中长期发展的绩效指标。如食品安全水平、知识产权发展水平等有关工作的约束性指标列为部门整体中长期发展的绩效指标。然后依据重点工作任务，细化设定工作任务绩效指标。之后，将重点工作任务匹配关联重点项目，再构建重点项目绩效指标。在确定绩效指标的参考值时，可采用历史值、标准值，并明确具体的来源依据，确保参考值的来源可追溯。</w:t>
      </w:r>
    </w:p>
    <w:p>
      <w:pPr>
        <w:pStyle w:val="9"/>
        <w:ind w:firstLine="643"/>
        <w:rPr>
          <w:rFonts w:cs="Times New Roman"/>
          <w:color w:val="000000"/>
          <w:szCs w:val="24"/>
        </w:rPr>
      </w:pPr>
      <w:r>
        <w:rPr>
          <w:rFonts w:cs="Times New Roman"/>
          <w:b/>
          <w:bCs/>
          <w:color w:val="000000"/>
          <w:szCs w:val="24"/>
        </w:rPr>
        <w:t>二是</w:t>
      </w:r>
      <w:r>
        <w:rPr>
          <w:rFonts w:cs="Times New Roman"/>
          <w:color w:val="000000"/>
          <w:szCs w:val="24"/>
        </w:rPr>
        <w:t>建议针对部分核心指标实际完成值与年初目标值不匹配的情况，区市场监管局应对业务工作往年的发展情况进行系统梳理，并合理预判完成情况的增长趋势，明确业务的发展阶段，避免设置过于保守的目标值。此外，在项目实施过程中，项目实施单位还应及时比对项目绩效目标及项目实施情况间的差异，发挥绩效目标的导向作用。</w:t>
      </w:r>
    </w:p>
    <w:p>
      <w:pPr>
        <w:pStyle w:val="9"/>
        <w:ind w:firstLine="643"/>
        <w:rPr>
          <w:rFonts w:cs="Times New Roman"/>
          <w:color w:val="000000"/>
          <w:szCs w:val="24"/>
        </w:rPr>
      </w:pPr>
      <w:r>
        <w:rPr>
          <w:rFonts w:cs="Times New Roman"/>
          <w:b/>
          <w:bCs/>
          <w:color w:val="000000"/>
          <w:szCs w:val="24"/>
        </w:rPr>
        <w:t>三是</w:t>
      </w:r>
      <w:r>
        <w:rPr>
          <w:rFonts w:cs="Times New Roman"/>
          <w:color w:val="000000"/>
          <w:szCs w:val="24"/>
        </w:rPr>
        <w:t>建议项目单位认真学习财政局关于项目绩效指标设置的规范要求，根据各自负责项目的具体情况合理设置绩效目标及指标，同时应全面考量项目产出及所带来的社会经济效益，避免只关注直接的产出数量。此外在项目实施过程中，项目实施单位还应及时比对项目绩效目标及项目实施情况间的差异，发挥绩效目标的导向作用，指导项目具体工作，避免项目实施出现偏差。</w:t>
      </w:r>
    </w:p>
    <w:sectPr>
      <w:headerReference r:id="rId5" w:type="first"/>
      <w:footerReference r:id="rId8" w:type="first"/>
      <w:headerReference r:id="rId3" w:type="default"/>
      <w:footerReference r:id="rId6" w:type="default"/>
      <w:headerReference r:id="rId4" w:type="even"/>
      <w:footerReference r:id="rId7" w:type="even"/>
      <w:pgSz w:w="11906" w:h="16838"/>
      <w:pgMar w:top="1418" w:right="1418" w:bottom="1418" w:left="1418" w:header="851" w:footer="851" w:gutter="0"/>
      <w:pgNumType w:fmt="decimal"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bookmarkStart w:id="9" w:name="_GoBack"/>
    <w:bookmarkEnd w:id="9"/>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9AD78D"/>
    <w:multiLevelType w:val="singleLevel"/>
    <w:tmpl w:val="829AD78D"/>
    <w:lvl w:ilvl="0" w:tentative="0">
      <w:start w:val="2"/>
      <w:numFmt w:val="chineseCounting"/>
      <w:suff w:val="nothing"/>
      <w:lvlText w:val="（%1）"/>
      <w:lvlJc w:val="left"/>
      <w:rPr>
        <w:rFonts w:hint="eastAsia"/>
      </w:rPr>
    </w:lvl>
  </w:abstractNum>
  <w:abstractNum w:abstractNumId="1">
    <w:nsid w:val="B1D37190"/>
    <w:multiLevelType w:val="singleLevel"/>
    <w:tmpl w:val="B1D37190"/>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AyMjU5NGFlMGVkYmFiNDhlOThmMDg3OTc4ZGIxYWIifQ=="/>
  </w:docVars>
  <w:rsids>
    <w:rsidRoot w:val="33E328CE"/>
    <w:rsid w:val="00084B88"/>
    <w:rsid w:val="001F7C27"/>
    <w:rsid w:val="0029259A"/>
    <w:rsid w:val="00296DDD"/>
    <w:rsid w:val="003C7854"/>
    <w:rsid w:val="0043018C"/>
    <w:rsid w:val="004E5142"/>
    <w:rsid w:val="004E78F2"/>
    <w:rsid w:val="00517C1B"/>
    <w:rsid w:val="00530F60"/>
    <w:rsid w:val="005F6E46"/>
    <w:rsid w:val="00606C87"/>
    <w:rsid w:val="00767A44"/>
    <w:rsid w:val="007A69D8"/>
    <w:rsid w:val="007E6FAD"/>
    <w:rsid w:val="00814BF5"/>
    <w:rsid w:val="008B5FE0"/>
    <w:rsid w:val="008E5B34"/>
    <w:rsid w:val="00992043"/>
    <w:rsid w:val="009D6FB7"/>
    <w:rsid w:val="00A7117E"/>
    <w:rsid w:val="00BD419E"/>
    <w:rsid w:val="00E54D83"/>
    <w:rsid w:val="19A0330D"/>
    <w:rsid w:val="33E328CE"/>
    <w:rsid w:val="52000822"/>
    <w:rsid w:val="56FC3A6F"/>
    <w:rsid w:val="58734D40"/>
    <w:rsid w:val="71F72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overflowPunct w:val="0"/>
      <w:spacing w:line="360" w:lineRule="auto"/>
      <w:ind w:firstLine="200" w:firstLineChars="20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零点-1级标题"/>
    <w:basedOn w:val="2"/>
    <w:next w:val="9"/>
    <w:qFormat/>
    <w:uiPriority w:val="0"/>
    <w:pPr>
      <w:spacing w:before="0" w:after="0" w:line="560" w:lineRule="exact"/>
      <w:ind w:firstLine="640"/>
      <w:jc w:val="left"/>
    </w:pPr>
    <w:rPr>
      <w:rFonts w:ascii="Times New Roman" w:hAnsi="Times New Roman" w:eastAsia="黑体"/>
      <w:color w:val="000000" w:themeColor="text1"/>
      <w:sz w:val="32"/>
      <w14:textFill>
        <w14:solidFill>
          <w14:schemeClr w14:val="tx1"/>
        </w14:solidFill>
      </w14:textFill>
    </w:rPr>
  </w:style>
  <w:style w:type="paragraph" w:customStyle="1" w:styleId="9">
    <w:name w:val="零点-正文"/>
    <w:basedOn w:val="1"/>
    <w:link w:val="11"/>
    <w:qFormat/>
    <w:uiPriority w:val="0"/>
    <w:pPr>
      <w:spacing w:line="560" w:lineRule="exact"/>
    </w:pPr>
    <w:rPr>
      <w:rFonts w:ascii="Times New Roman" w:hAnsi="Times New Roman" w:eastAsia="仿宋_GB2312"/>
      <w:sz w:val="32"/>
      <w:szCs w:val="22"/>
    </w:rPr>
  </w:style>
  <w:style w:type="paragraph" w:customStyle="1" w:styleId="10">
    <w:name w:val="零点-2级标题"/>
    <w:basedOn w:val="3"/>
    <w:next w:val="9"/>
    <w:link w:val="13"/>
    <w:qFormat/>
    <w:uiPriority w:val="0"/>
    <w:pPr>
      <w:spacing w:before="0" w:after="0" w:line="560" w:lineRule="exact"/>
    </w:pPr>
    <w:rPr>
      <w:rFonts w:ascii="Times New Roman" w:hAnsi="Times New Roman" w:eastAsia="楷体_GB2312"/>
      <w:color w:val="000000" w:themeColor="text1"/>
      <w14:textFill>
        <w14:solidFill>
          <w14:schemeClr w14:val="tx1"/>
        </w14:solidFill>
      </w14:textFill>
    </w:rPr>
  </w:style>
  <w:style w:type="character" w:customStyle="1" w:styleId="11">
    <w:name w:val="零点-正文 字符"/>
    <w:basedOn w:val="7"/>
    <w:link w:val="9"/>
    <w:qFormat/>
    <w:uiPriority w:val="0"/>
    <w:rPr>
      <w:rFonts w:ascii="Times New Roman" w:hAnsi="Times New Roman" w:eastAsia="仿宋_GB2312"/>
      <w:kern w:val="2"/>
      <w:sz w:val="32"/>
      <w:szCs w:val="22"/>
    </w:rPr>
  </w:style>
  <w:style w:type="paragraph" w:customStyle="1" w:styleId="12">
    <w:name w:val="零点-图表标题"/>
    <w:basedOn w:val="1"/>
    <w:next w:val="9"/>
    <w:qFormat/>
    <w:uiPriority w:val="0"/>
    <w:pPr>
      <w:keepNext/>
      <w:spacing w:line="560" w:lineRule="exact"/>
      <w:ind w:firstLine="0" w:firstLineChars="0"/>
      <w:jc w:val="center"/>
    </w:pPr>
    <w:rPr>
      <w:rFonts w:ascii="Times New Roman" w:hAnsi="Times New Roman" w:eastAsia="黑体"/>
      <w:color w:val="000000" w:themeColor="text1"/>
      <w:sz w:val="28"/>
      <w14:textFill>
        <w14:solidFill>
          <w14:schemeClr w14:val="tx1"/>
        </w14:solidFill>
      </w14:textFill>
    </w:rPr>
  </w:style>
  <w:style w:type="character" w:customStyle="1" w:styleId="13">
    <w:name w:val="零点-2级标题 字符"/>
    <w:link w:val="10"/>
    <w:qFormat/>
    <w:uiPriority w:val="0"/>
    <w:rPr>
      <w:rFonts w:ascii="Times New Roman" w:hAnsi="Times New Roman" w:eastAsia="楷体_GB2312" w:cstheme="majorBidi"/>
      <w:b/>
      <w:bCs/>
      <w:color w:val="000000" w:themeColor="text1"/>
      <w:kern w:val="2"/>
      <w:sz w:val="32"/>
      <w:szCs w:val="32"/>
      <w14:textFill>
        <w14:solidFill>
          <w14:schemeClr w14:val="tx1"/>
        </w14:solidFill>
      </w14:textFill>
    </w:rPr>
  </w:style>
  <w:style w:type="character" w:customStyle="1" w:styleId="14">
    <w:name w:val="页脚 字符"/>
    <w:basedOn w:val="7"/>
    <w:link w:val="4"/>
    <w:qFormat/>
    <w:uiPriority w:val="99"/>
    <w:rPr>
      <w:kern w:val="2"/>
      <w:sz w:val="18"/>
      <w:szCs w:val="18"/>
    </w:rPr>
  </w:style>
  <w:style w:type="character" w:customStyle="1" w:styleId="15">
    <w:name w:val="fontstyle01"/>
    <w:basedOn w:val="7"/>
    <w:qFormat/>
    <w:uiPriority w:val="0"/>
    <w:rPr>
      <w:rFonts w:hint="eastAsia" w:ascii="楷体_GB2312" w:eastAsia="楷体_GB2312"/>
      <w:color w:val="000000"/>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85D66C-FA13-4C20-B515-7BCB86D9EB7F}">
  <ds:schemaRefs/>
</ds:datastoreItem>
</file>

<file path=docProps/app.xml><?xml version="1.0" encoding="utf-8"?>
<Properties xmlns="http://schemas.openxmlformats.org/officeDocument/2006/extended-properties" xmlns:vt="http://schemas.openxmlformats.org/officeDocument/2006/docPropsVTypes">
  <Template>Normal</Template>
  <Pages>8</Pages>
  <Words>4690</Words>
  <Characters>5096</Characters>
  <Lines>37</Lines>
  <Paragraphs>10</Paragraphs>
  <TotalTime>8</TotalTime>
  <ScaleCrop>false</ScaleCrop>
  <LinksUpToDate>false</LinksUpToDate>
  <CharactersWithSpaces>5108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2023-09-21T13:28:00Z</dcterms:created>
  <dc:creator>11796</dc:creator>
  <cp:lastModifiedBy>周怡</cp:lastModifiedBy>
  <dcterms:modified xsi:type="dcterms:W3CDTF">2023-10-18T10:47:46Z</dcterms:modified>
  <dc:title>2022年度从化区市场监督管理局部门整体支出绩效评价报告</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17C6C385608848B08DB9C31C223C3C6B_11</vt:lpwstr>
  </property>
</Properties>
</file>