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atLeast"/>
        <w:jc w:val="center"/>
        <w:rPr>
          <w:rFonts w:hint="eastAsia" w:eastAsia="方正小标宋_GBK"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atLeast"/>
        <w:jc w:val="center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广州市从化区教育局</w:t>
      </w:r>
      <w:bookmarkStart w:id="0" w:name="_Hlk109893128"/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2021年度部门整体</w:t>
      </w:r>
    </w:p>
    <w:p>
      <w:pPr>
        <w:adjustRightInd w:val="0"/>
        <w:snapToGrid w:val="0"/>
        <w:spacing w:line="560" w:lineRule="atLeast"/>
        <w:jc w:val="center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支出绩效自评复核</w:t>
      </w:r>
      <w:bookmarkEnd w:id="0"/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val="en-US" w:eastAsia="zh-CN"/>
        </w:rPr>
        <w:t>简要</w:t>
      </w: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报告</w:t>
      </w:r>
    </w:p>
    <w:p>
      <w:pPr>
        <w:jc w:val="center"/>
      </w:pPr>
      <w:r>
        <w:rPr>
          <w:rFonts w:hint="eastAsia" w:eastAsia="仿宋_GB2312"/>
          <w:snapToGrid w:val="0"/>
          <w:kern w:val="0"/>
          <w:sz w:val="32"/>
          <w:szCs w:val="32"/>
        </w:rPr>
        <w:t>天津中审联有限责任会计师事务所</w:t>
      </w:r>
      <w:bookmarkStart w:id="1" w:name="_Toc2979"/>
      <w:bookmarkStart w:id="2" w:name="_Toc6530"/>
      <w:bookmarkStart w:id="3" w:name="_Toc45111711"/>
      <w:bookmarkStart w:id="4" w:name="_Toc29133"/>
      <w:bookmarkStart w:id="5" w:name="_Toc21945"/>
      <w:bookmarkStart w:id="6" w:name="_Toc26130"/>
      <w:bookmarkStart w:id="7" w:name="_Toc12794488"/>
      <w:bookmarkStart w:id="8" w:name="_Toc54364571"/>
    </w:p>
    <w:bookmarkEnd w:id="1"/>
    <w:bookmarkEnd w:id="2"/>
    <w:bookmarkEnd w:id="3"/>
    <w:bookmarkEnd w:id="4"/>
    <w:bookmarkEnd w:id="5"/>
    <w:bookmarkEnd w:id="6"/>
    <w:bookmarkEnd w:id="7"/>
    <w:bookmarkEnd w:id="8"/>
    <w:p>
      <w:pPr>
        <w:pStyle w:val="10"/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" w:cs="仿宋"/>
          <w:color w:val="000000"/>
          <w:sz w:val="32"/>
          <w:szCs w:val="32"/>
        </w:rPr>
      </w:pPr>
      <w:r>
        <w:rPr>
          <w:rFonts w:hint="eastAsia" w:eastAsia="仿宋_GB2312"/>
          <w:snapToGrid w:val="0"/>
          <w:kern w:val="0"/>
          <w:sz w:val="32"/>
          <w:szCs w:val="32"/>
          <w:lang w:val="en-US" w:eastAsia="zh-CN"/>
        </w:rPr>
        <w:t>根据《广州市从化区财政局关于开展2022年财政支出第三方绩效评价工作的通知》的要求，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广州市财政局委托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中审联（天津）会计师事务所对广州市从化区教育局部门整体支出绩效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自评报告及相关材料进行复核。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复核意见是在审阅广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州市从化区教育局自评材料以及现场考察的基础上形成的</w:t>
      </w:r>
      <w:r>
        <w:rPr>
          <w:rFonts w:hint="eastAsia" w:eastAsia="仿宋" w:cs="仿宋"/>
          <w:color w:val="00000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本次</w:t>
      </w:r>
      <w:r>
        <w:rPr>
          <w:rFonts w:hint="eastAsia" w:eastAsia="仿宋" w:cs="仿宋"/>
          <w:color w:val="000000"/>
          <w:sz w:val="32"/>
          <w:szCs w:val="32"/>
          <w:lang w:val="en-US" w:eastAsia="zh-CN"/>
        </w:rPr>
        <w:t>部门整体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支出绩效</w:t>
      </w:r>
      <w:r>
        <w:rPr>
          <w:rFonts w:hint="eastAsia" w:eastAsia="仿宋" w:cs="仿宋"/>
          <w:color w:val="000000"/>
          <w:sz w:val="32"/>
          <w:szCs w:val="32"/>
          <w:lang w:val="en-US" w:eastAsia="zh-CN"/>
        </w:rPr>
        <w:t>自评复核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时间为202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" w:cs="仿宋"/>
          <w:color w:val="000000"/>
          <w:sz w:val="32"/>
          <w:szCs w:val="32"/>
        </w:rPr>
        <w:t>年度。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Times New Roman" w:hAnsi="Times New Roman" w:eastAsia="仿宋" w:cs="仿宋"/>
          <w:b w:val="0"/>
          <w:bCs w:val="0"/>
          <w:color w:val="000000"/>
          <w:sz w:val="44"/>
          <w:szCs w:val="44"/>
        </w:rPr>
      </w:pPr>
      <w:r>
        <w:rPr>
          <w:rFonts w:hint="eastAsia" w:ascii="Times New Roman" w:hAnsi="Times New Roman" w:eastAsia="仿宋" w:cs="仿宋"/>
          <w:b w:val="0"/>
          <w:bCs w:val="0"/>
          <w:color w:val="000000"/>
          <w:sz w:val="32"/>
          <w:szCs w:val="32"/>
        </w:rPr>
        <w:t>经复核，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z w:val="32"/>
          <w:szCs w:val="32"/>
          <w:lang w:val="en-US" w:eastAsia="zh-CN"/>
        </w:rPr>
        <w:t>教育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z w:val="32"/>
          <w:szCs w:val="32"/>
        </w:rPr>
        <w:t>局部门整体支出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绩效综合得分为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85.47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分</w:t>
      </w:r>
      <w:r>
        <w:rPr>
          <w:rFonts w:hint="eastAsia" w:ascii="Times New Roman" w:hAnsi="Times New Roman" w:eastAsia="仿宋" w:cs="仿宋"/>
          <w:b w:val="0"/>
          <w:bCs w:val="0"/>
          <w:color w:val="000000"/>
          <w:sz w:val="32"/>
          <w:szCs w:val="32"/>
        </w:rPr>
        <w:t>。</w:t>
      </w:r>
    </w:p>
    <w:p>
      <w:pPr>
        <w:pStyle w:val="4"/>
        <w:widowControl/>
        <w:snapToGrid w:val="0"/>
        <w:spacing w:before="0" w:beforeLines="-2147483648" w:beforeAutospacing="0" w:after="0" w:afterLines="-2147483648" w:afterAutospacing="0" w:line="560" w:lineRule="exact"/>
        <w:ind w:firstLine="640" w:firstLineChars="200"/>
        <w:rPr>
          <w:rFonts w:hint="eastAsia" w:ascii="宋体" w:hAnsi="宋体" w:eastAsia="黑体" w:cs="宋体"/>
          <w:b w:val="0"/>
          <w:bCs/>
          <w:kern w:val="2"/>
          <w:sz w:val="32"/>
          <w:szCs w:val="22"/>
          <w:lang w:val="en-US" w:eastAsia="zh-CN"/>
        </w:rPr>
      </w:pPr>
      <w:r>
        <w:rPr>
          <w:rFonts w:hint="eastAsia" w:ascii="宋体" w:hAnsi="宋体" w:eastAsia="黑体" w:cs="宋体"/>
          <w:b w:val="0"/>
          <w:bCs/>
          <w:kern w:val="2"/>
          <w:sz w:val="32"/>
          <w:szCs w:val="22"/>
          <w:lang w:val="en-US" w:eastAsia="zh-CN"/>
        </w:rPr>
        <w:t>一、基本情况</w:t>
      </w:r>
    </w:p>
    <w:p>
      <w:pPr>
        <w:pStyle w:val="1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bCs/>
          <w:color w:val="000000"/>
          <w:sz w:val="32"/>
          <w:szCs w:val="32"/>
          <w:lang w:val="en-US" w:eastAsia="zh-CN"/>
        </w:rPr>
        <w:t xml:space="preserve">   （一）主要内容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1.推进中小学校基础教育设施建设，做好荔山雅筑小区配套幼儿园、富力泉天下小区配套幼儿园、御湖城小区配套幼儿园、四季花城幼儿园的开办工作，迎接发展学前教育第三期行动计划验收。做好民办学校分类登记管理工作，规范校外培训机构。 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2.深入推进学校思想政治建设，积极打造从化思政品牌。加大对从化区本化资源、“爱种子”教学改革实验的研究的</w:t>
      </w:r>
      <w:bookmarkStart w:id="11" w:name="_GoBack"/>
      <w:bookmarkEnd w:id="11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开发力度。加快建立从化区中小学劳动教育体系，创建一批劳动教育基地、试点学校。加强学生心理健康教育，加大家庭教育的研究和指导。广泛开展校园普及性体育运动和竞赛，培育“一校一品”“一校多品”体育特色品牌项目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大力发展和培养区级骨干教师，构建分级分类教师培养体系。完善教师聘用、考核以及退出机制，对不达标者采取培训再上岗的措施。制订教师交流实施方案，实施城区学校与乡村学校教师的支教置换，鼓励中学教师到小学轮岗交流。探索建立从化教师书院，搭建多元的教师研修平台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做好省政府对从化区教育职责履行情况评价迎检工作，积极推进义务教育优质均衡区创建工作。落实学生、教师减负工作机制，提高学校教育教学常规管理质量。规范中小学校特别是民办义务教育学校招生管理，严格执行义务教育免试就近入学，实施公民办学校同步招生，优化区域教育生态。加快教育信息化建设，深入推进智慧校园建设。</w:t>
      </w:r>
    </w:p>
    <w:p>
      <w:pPr>
        <w:pStyle w:val="5"/>
        <w:widowControl/>
        <w:snapToGrid w:val="0"/>
        <w:spacing w:before="0" w:after="0" w:line="560" w:lineRule="exact"/>
        <w:ind w:firstLine="640" w:firstLineChars="200"/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  <w:lang w:val="en-US" w:eastAsia="zh-CN"/>
        </w:rPr>
        <w:t>（二）部门</w:t>
      </w:r>
      <w:r>
        <w:rPr>
          <w:rFonts w:hint="eastAsia" w:ascii="楷体" w:hAnsi="楷体" w:eastAsia="楷体" w:cs="楷体"/>
          <w:b w:val="0"/>
          <w:bCs w:val="0"/>
          <w:color w:val="000000"/>
          <w:sz w:val="32"/>
          <w:szCs w:val="32"/>
        </w:rPr>
        <w:t>资金情况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从化教育局2021年度年初预算金额为244,984.58万元，经年中预算调整后，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2021年度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调整数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为263,096.16万元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，2021年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度实际支出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金额为</w:t>
      </w:r>
      <w:r>
        <w:rPr>
          <w:rFonts w:hint="eastAsia" w:ascii="仿宋_GB2312" w:hAnsi="仿宋_GB2312" w:eastAsia="仿宋_GB2312" w:cs="仿宋_GB2312"/>
          <w:sz w:val="32"/>
          <w:szCs w:val="32"/>
        </w:rPr>
        <w:t>263,096.16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万元，预算执行率为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%。</w:t>
      </w:r>
    </w:p>
    <w:p>
      <w:pPr>
        <w:numPr>
          <w:ilvl w:val="0"/>
          <w:numId w:val="1"/>
        </w:numPr>
        <w:ind w:firstLine="640" w:firstLineChars="200"/>
        <w:rPr>
          <w:rFonts w:hint="eastAsia" w:ascii="宋体" w:hAnsi="宋体" w:eastAsia="黑体" w:cs="宋体"/>
          <w:b w:val="0"/>
          <w:bCs/>
          <w:kern w:val="2"/>
          <w:sz w:val="32"/>
          <w:szCs w:val="22"/>
          <w:lang w:val="en-US" w:eastAsia="zh-CN"/>
        </w:rPr>
      </w:pPr>
      <w:r>
        <w:rPr>
          <w:rFonts w:hint="eastAsia" w:ascii="宋体" w:hAnsi="宋体" w:eastAsia="黑体" w:cs="宋体"/>
          <w:b w:val="0"/>
          <w:bCs/>
          <w:kern w:val="2"/>
          <w:sz w:val="32"/>
          <w:szCs w:val="22"/>
          <w:lang w:val="en-US" w:eastAsia="zh-CN"/>
        </w:rPr>
        <w:t>部门绩效目标完成情况</w:t>
      </w:r>
    </w:p>
    <w:p>
      <w:pPr>
        <w:numPr>
          <w:ilvl w:val="0"/>
          <w:numId w:val="0"/>
        </w:numPr>
        <w:rPr>
          <w:rFonts w:hint="eastAsia" w:ascii="等线" w:hAnsi="等线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等线" w:hAnsi="等线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   （一）预期绩效目标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度从化教育局的总体工作目标为：以习近平新时代中国特色社会主义思想为指导，深入贯彻党的十九大和十九届二中、三中、四中、五中全会精神，全面贯彻党的教育方针，落实立德树人根本任务，以创建全国义务教育优质均衡发展区为目标，巩固拓展疫情防控和教育改革发展成果，加快建设高质量教育体系，构建教育发展新格局，为“十四五”开好局、起好步，以优异成绩庆祝建党100周年，办好人民满意的教育。</w:t>
      </w:r>
    </w:p>
    <w:p>
      <w:pPr>
        <w:pStyle w:val="5"/>
        <w:widowControl/>
        <w:snapToGrid w:val="0"/>
        <w:spacing w:before="0" w:after="0" w:line="560" w:lineRule="exact"/>
        <w:ind w:firstLine="640" w:firstLineChars="200"/>
        <w:rPr>
          <w:rFonts w:hint="eastAsia" w:ascii="等线" w:hAnsi="等线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等线" w:hAnsi="等线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（二）绩效目标完成情况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1.新开办幼儿园4所，新增935个公办幼儿园学位。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2.通过积分入学解决随迁子女入读小学1982人和初中1132人。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3.举办无线电测向、无人机比赛等科技竞赛10场次；举办青少年科普讲座共计10次，未达到18次的绩效要求。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4.完成7个中小学三年提升计划项目并已做竣工验收。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5.组织了思政课教师培训、人文素养培训、第一批培训专家培训以及骨干教师培训等相关培训活动，组织家庭教育、成人职业教育等社区教育活动。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6.2021年从化区参加体育测试学生人数99,854人，总体体测优良率58.85%。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7.组织培养学校高水平学生体育美育团队数量17个。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8.开展主题教育实践“童心向党”系列主题教育活动和红色教育示范校选树活动，成立了思政一体化联盟，制定了思政一体化联盟章程及确定了联盟会员。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9.指导教科研调研场次65场，招聘144名教职人员，100%落实农村学校教师补贴人数。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10.检核学校防雷设施建设和安全设施改造建设，对区内校车共有162辆进行监管。</w:t>
      </w:r>
    </w:p>
    <w:p>
      <w:pPr>
        <w:pStyle w:val="4"/>
        <w:widowControl/>
        <w:snapToGrid w:val="0"/>
        <w:spacing w:before="0" w:beforeLines="-2147483648" w:beforeAutospacing="0" w:after="0" w:afterLines="-2147483648" w:afterAutospacing="0" w:line="560" w:lineRule="exact"/>
        <w:ind w:firstLine="640" w:firstLineChars="200"/>
        <w:rPr>
          <w:rFonts w:hint="eastAsia" w:ascii="宋体" w:hAnsi="宋体" w:eastAsia="黑体" w:cs="宋体"/>
          <w:b w:val="0"/>
          <w:bCs/>
          <w:kern w:val="2"/>
          <w:sz w:val="32"/>
          <w:szCs w:val="22"/>
          <w:lang w:val="en-US" w:eastAsia="zh-CN"/>
        </w:rPr>
      </w:pPr>
      <w:r>
        <w:rPr>
          <w:rFonts w:hint="eastAsia" w:ascii="宋体" w:hAnsi="宋体" w:eastAsia="黑体" w:cs="宋体"/>
          <w:b w:val="0"/>
          <w:bCs/>
          <w:kern w:val="2"/>
          <w:sz w:val="32"/>
          <w:szCs w:val="22"/>
          <w:lang w:val="en-US" w:eastAsia="zh-CN"/>
        </w:rPr>
        <w:t>三、存在问题</w:t>
      </w:r>
    </w:p>
    <w:p>
      <w:pPr>
        <w:pStyle w:val="5"/>
        <w:widowControl/>
        <w:snapToGrid w:val="0"/>
        <w:spacing w:before="0" w:after="0" w:line="560" w:lineRule="exact"/>
        <w:ind w:firstLine="640" w:firstLineChars="200"/>
        <w:rPr>
          <w:rFonts w:hint="eastAsia" w:ascii="等线" w:hAnsi="等线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bookmarkStart w:id="9" w:name="_Toc26348"/>
      <w:r>
        <w:rPr>
          <w:rFonts w:hint="eastAsia" w:ascii="等线" w:hAnsi="等线" w:eastAsia="楷体_GB2312" w:cs="Times New Roman"/>
          <w:b w:val="0"/>
          <w:bCs w:val="0"/>
          <w:kern w:val="2"/>
          <w:sz w:val="32"/>
          <w:szCs w:val="32"/>
          <w:lang w:val="en-US" w:eastAsia="zh-CN" w:bidi="ar-SA"/>
        </w:rPr>
        <w:t>政府采购预算编制不规范</w:t>
      </w:r>
      <w:bookmarkEnd w:id="9"/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检查广州市从化区教育局2021年预算文件，该预算于2021年2月10日通过了从化区财政局审批，该预算文件中政府采购计划金额为9,732.69万元，经进一步核实，从化区教育局《2021年政府采购资金情况表》中登记2021年实际执行政府采购金额为27,160.10万元，实际采购金额大于预算文件中计划采购金额，从化区教育局在编制采购预算时，未能合理编制计划采购金额，实际执行采购金额与计划金额差异较大，采购预算编制不合理不规范。</w:t>
      </w:r>
    </w:p>
    <w:p>
      <w:pPr>
        <w:pStyle w:val="4"/>
        <w:widowControl/>
        <w:snapToGrid w:val="0"/>
        <w:spacing w:before="0" w:beforeLines="-2147483648" w:beforeAutospacing="0" w:after="0" w:afterLines="-2147483648" w:afterAutospacing="0" w:line="560" w:lineRule="exact"/>
        <w:ind w:firstLine="640" w:firstLineChars="200"/>
        <w:rPr>
          <w:rFonts w:hint="eastAsia" w:ascii="宋体" w:hAnsi="宋体" w:eastAsia="黑体" w:cs="宋体"/>
          <w:b w:val="0"/>
          <w:bCs/>
          <w:kern w:val="2"/>
          <w:sz w:val="32"/>
          <w:szCs w:val="22"/>
          <w:lang w:val="en-US" w:eastAsia="zh-CN"/>
        </w:rPr>
      </w:pPr>
      <w:r>
        <w:rPr>
          <w:rFonts w:hint="eastAsia" w:ascii="宋体" w:hAnsi="宋体" w:eastAsia="黑体" w:cs="宋体"/>
          <w:b w:val="0"/>
          <w:bCs/>
          <w:kern w:val="2"/>
          <w:sz w:val="32"/>
          <w:szCs w:val="22"/>
          <w:lang w:val="en-US" w:eastAsia="zh-CN"/>
        </w:rPr>
        <w:t>四、相关建议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bookmarkStart w:id="10" w:name="_Toc20434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规范政府采购预算编制</w:t>
      </w:r>
      <w:bookmarkEnd w:id="10"/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建议教育局预算编制部门在编制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度政府采购计划预算时，根据单位的实际情况，针对不同的采购品类、不同的项目遵循由大到小的原则，以支出预算为基础，合理衡量采购规模，确保采购预算编制过程有据可依，结合部门主要开展业务以及各项目的需求情况，编制准确合理的年度预算。并在预算执行过程做好监督，定期检查采购预算执行情况，实际执行与预算存在差异的应及时查找原因，确实需要做预算调整的，应按照相关规定申请采购预算调整。</w:t>
      </w:r>
    </w:p>
    <w:p>
      <w:pPr>
        <w:pStyle w:val="10"/>
        <w:rPr>
          <w:rFonts w:hint="eastAsia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7CBA51-2AF4-4667-B89C-4373F45DCD2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B3F0BA1F-2046-49C5-9689-CB998EE909C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1D508E1-B9B3-40AF-8DAE-8F5A70B010A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9CBA284-2AE0-4263-B374-BE5761990C3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509EE409-8BB9-42A4-A8CE-C5830E06BCA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1C9B75BC-B9E7-4E37-91F6-384F05A14CC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7" w:fontKey="{F14C3E58-5D93-4EDA-90C6-F79CFE0EAAF4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517FF3B9-70A0-48D6-80C9-8CC925AC389D}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EAAAD"/>
    <w:multiLevelType w:val="singleLevel"/>
    <w:tmpl w:val="5B8EAA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2ZTA1ZTZhOTBjNWU4NTM2Zjg2MDY4MjAyODM4OTgifQ=="/>
  </w:docVars>
  <w:rsids>
    <w:rsidRoot w:val="00000000"/>
    <w:rsid w:val="03685798"/>
    <w:rsid w:val="09A137B2"/>
    <w:rsid w:val="0A8F7AAE"/>
    <w:rsid w:val="0EAA4EB7"/>
    <w:rsid w:val="0EFE5203"/>
    <w:rsid w:val="15F45806"/>
    <w:rsid w:val="18470387"/>
    <w:rsid w:val="1E777A02"/>
    <w:rsid w:val="295D729E"/>
    <w:rsid w:val="2D0A14EA"/>
    <w:rsid w:val="2DC4021C"/>
    <w:rsid w:val="37C33918"/>
    <w:rsid w:val="41B415CD"/>
    <w:rsid w:val="46AB5D03"/>
    <w:rsid w:val="4E265A7D"/>
    <w:rsid w:val="53F57F4F"/>
    <w:rsid w:val="5C4D1EB3"/>
    <w:rsid w:val="63827325"/>
    <w:rsid w:val="67865043"/>
    <w:rsid w:val="6CE2535E"/>
    <w:rsid w:val="7D64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0"/>
    <w:pPr>
      <w:ind w:firstLine="630"/>
    </w:pPr>
    <w:rPr>
      <w:rFonts w:ascii="Calibri" w:hAnsi="Calibri"/>
      <w:kern w:val="0"/>
      <w:szCs w:val="21"/>
    </w:rPr>
  </w:style>
  <w:style w:type="paragraph" w:styleId="3">
    <w:name w:val="toc 4"/>
    <w:basedOn w:val="1"/>
    <w:next w:val="1"/>
    <w:semiHidden/>
    <w:qFormat/>
    <w:uiPriority w:val="0"/>
    <w:pPr>
      <w:ind w:left="1260" w:leftChars="6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Heading2"/>
    <w:basedOn w:val="1"/>
    <w:next w:val="1"/>
    <w:qFormat/>
    <w:uiPriority w:val="0"/>
    <w:pPr>
      <w:keepNext/>
      <w:keepLines/>
      <w:spacing w:line="600" w:lineRule="exact"/>
    </w:pPr>
    <w:rPr>
      <w:rFonts w:ascii="Cambria" w:hAnsi="Cambria" w:eastAsia="黑体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2170</Words>
  <Characters>2303</Characters>
  <Lines>0</Lines>
  <Paragraphs>0</Paragraphs>
  <TotalTime>2</TotalTime>
  <ScaleCrop>false</ScaleCrop>
  <LinksUpToDate>false</LinksUpToDate>
  <CharactersWithSpaces>2307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2022-09-09T09:28:00Z</dcterms:created>
  <dc:creator>abc</dc:creator>
  <cp:lastModifiedBy>区财政局</cp:lastModifiedBy>
  <dcterms:modified xsi:type="dcterms:W3CDTF">2022-10-08T10:52:39Z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5DBF0776892249E08025C713C97BCBA8</vt:lpwstr>
  </property>
</Properties>
</file>