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Times New Roman" w:hAnsi="Times New Roman" w:eastAsia="方正小标宋_GBK" w:cs="Times New Roman"/>
          <w:bCs/>
          <w:kern w:val="0"/>
          <w:sz w:val="36"/>
          <w:szCs w:val="36"/>
        </w:rPr>
      </w:pP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广州市从化区2021年校园安全监控建设项目（继续实施项目）绩效复核</w:t>
      </w:r>
      <w:r>
        <w:rPr>
          <w:rFonts w:hint="eastAsia" w:ascii="方正小标宋_GBK" w:hAnsi="方正小标宋_GBK" w:eastAsia="方正小标宋_GBK" w:cs="方正小标宋_GBK"/>
          <w:bCs/>
          <w:kern w:val="0"/>
          <w:sz w:val="44"/>
          <w:szCs w:val="44"/>
          <w:lang w:val="en-US" w:eastAsia="zh-CN"/>
        </w:rPr>
        <w:t>简要</w:t>
      </w:r>
      <w:r>
        <w:rPr>
          <w:rFonts w:hint="eastAsia" w:ascii="方正小标宋_GBK" w:hAnsi="方正小标宋_GBK" w:eastAsia="方正小标宋_GBK" w:cs="方正小标宋_GBK"/>
          <w:bCs/>
          <w:kern w:val="0"/>
          <w:sz w:val="44"/>
          <w:szCs w:val="44"/>
        </w:rPr>
        <w:t>报告</w:t>
      </w:r>
    </w:p>
    <w:p>
      <w:pPr>
        <w:jc w:val="center"/>
      </w:pPr>
      <w:r>
        <w:rPr>
          <w:rFonts w:hint="eastAsia" w:eastAsia="仿宋_GB2312"/>
          <w:snapToGrid w:val="0"/>
          <w:kern w:val="0"/>
          <w:sz w:val="32"/>
          <w:szCs w:val="32"/>
        </w:rPr>
        <w:t>天津中审联有限责任会计师事务所</w:t>
      </w:r>
      <w:bookmarkStart w:id="0" w:name="_Toc45111711"/>
      <w:bookmarkStart w:id="1" w:name="_Toc54364571"/>
      <w:bookmarkStart w:id="2" w:name="_Toc12794488"/>
      <w:bookmarkStart w:id="3" w:name="_Toc2979"/>
      <w:bookmarkStart w:id="4" w:name="_Toc21945"/>
      <w:bookmarkStart w:id="5" w:name="_Toc26130"/>
      <w:bookmarkStart w:id="6" w:name="_Toc29133"/>
      <w:bookmarkStart w:id="7" w:name="_Toc6530"/>
    </w:p>
    <w:bookmarkEnd w:id="0"/>
    <w:bookmarkEnd w:id="1"/>
    <w:bookmarkEnd w:id="2"/>
    <w:bookmarkEnd w:id="3"/>
    <w:bookmarkEnd w:id="4"/>
    <w:bookmarkEnd w:id="5"/>
    <w:bookmarkEnd w:id="6"/>
    <w:bookmarkEnd w:id="7"/>
    <w:p>
      <w:pPr>
        <w:adjustRightInd w:val="0"/>
        <w:snapToGrid w:val="0"/>
        <w:spacing w:line="560" w:lineRule="atLeast"/>
        <w:rPr>
          <w:rFonts w:ascii="黑体" w:hAnsi="黑体" w:eastAsia="黑体" w:cs="Times New Roman"/>
          <w:bCs/>
          <w:kern w:val="0"/>
          <w:sz w:val="32"/>
          <w:szCs w:val="32"/>
        </w:rPr>
      </w:pPr>
    </w:p>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根据《广州市从化区财政局关于开展 2022年财政支出第三方绩效评价工作的通知》的要求，广州市从化区财政局委托天津中审联有限责任会计师事务所对“广州市从化区2021年校园安全监控建设”项目自评报告及相关材料进行复核。</w:t>
      </w:r>
    </w:p>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复核意见是在审阅项目单位报送的自评材料和现场考察的基础上形成的，本次财政支出项目绩效分优、良、中、差四个等级，</w:t>
      </w:r>
      <w:r>
        <w:rPr>
          <w:rFonts w:hint="eastAsia" w:ascii="仿宋_GB2312" w:hAnsi="仿宋_GB2312" w:eastAsia="仿宋_GB2312" w:cs="仿宋_GB2312"/>
          <w:sz w:val="32"/>
          <w:szCs w:val="32"/>
          <w:lang w:val="en-US" w:eastAsia="zh-CN"/>
        </w:rPr>
        <w:t>自评复核</w:t>
      </w:r>
      <w:r>
        <w:rPr>
          <w:rFonts w:hint="eastAsia" w:ascii="仿宋_GB2312" w:hAnsi="仿宋_GB2312" w:eastAsia="仿宋_GB2312" w:cs="仿宋_GB2312"/>
          <w:sz w:val="32"/>
          <w:szCs w:val="32"/>
        </w:rPr>
        <w:t>时间为2021年度。</w:t>
      </w:r>
    </w:p>
    <w:p>
      <w:pPr>
        <w:spacing w:line="560" w:lineRule="atLeast"/>
        <w:ind w:firstLine="640" w:firstLineChars="200"/>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经复核，“广州市从化区</w:t>
      </w:r>
      <w:r>
        <w:rPr>
          <w:rFonts w:ascii="Times New Roman" w:hAnsi="Times New Roman" w:eastAsia="仿宋_GB2312" w:cs="Times New Roman"/>
          <w:b w:val="0"/>
          <w:bCs w:val="0"/>
          <w:sz w:val="32"/>
          <w:szCs w:val="32"/>
        </w:rPr>
        <w:t>2021年校园安全监控建设</w:t>
      </w:r>
      <w:r>
        <w:rPr>
          <w:rFonts w:hint="eastAsia" w:ascii="Times New Roman" w:hAnsi="Times New Roman" w:eastAsia="仿宋_GB2312" w:cs="Times New Roman"/>
          <w:b w:val="0"/>
          <w:bCs w:val="0"/>
          <w:sz w:val="32"/>
          <w:szCs w:val="32"/>
        </w:rPr>
        <w:t>”项目绩效等级为“优”。</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一、项目基本情况</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（一）项目基本情况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根据区政府常务会议纪要（〔2019〕第20次）精神，通过本项目的建设，重点对学校的加强技防建设，能够有效的保障学校师生的人身财产安全，降低各类安全 事故的发生，完善和建设各学校重点部位的视频监控点，将其接入监控中</w:t>
      </w:r>
      <w:bookmarkStart w:id="17" w:name="_GoBack"/>
      <w:bookmarkEnd w:id="17"/>
      <w:r>
        <w:rPr>
          <w:rFonts w:hint="eastAsia" w:ascii="仿宋_GB2312" w:hAnsi="仿宋_GB2312" w:eastAsia="仿宋_GB2312" w:cs="仿宋_GB2312"/>
          <w:sz w:val="32"/>
          <w:szCs w:val="32"/>
        </w:rPr>
        <w:t>心，在监控中心针对学校重点部位的视频监控点配备足够的存储设备以便发生突发事件可随时调取监控录像。</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（二）项目资金情况</w:t>
      </w:r>
    </w:p>
    <w:p>
      <w:pPr>
        <w:adjustRightInd w:val="0"/>
        <w:snapToGrid w:val="0"/>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专项预算资金使用的复函与采购申报表显示4,432.03万元为项目预算安排，根据项目入库申报表显示2021年的实际预算数额为1,269.05元，根据被复核单位提供的项目明细表以及序时帐发现实际支出数为1,261.49万元（该笔金额由2020年尚未支付的389.00万元与2021年第一期建设费、设计费和监理费872.49万元组成）。资金实际支出率99.40%。</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二</w:t>
      </w:r>
      <w:r>
        <w:rPr>
          <w:rFonts w:ascii="Times New Roman" w:hAnsi="Times New Roman" w:eastAsia="黑体" w:cs="Times New Roman"/>
          <w:snapToGrid w:val="0"/>
          <w:kern w:val="0"/>
          <w:sz w:val="32"/>
          <w:szCs w:val="32"/>
        </w:rPr>
        <w:t>、项目绩效情况</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（一）绩效目标</w:t>
      </w:r>
    </w:p>
    <w:p>
      <w:pPr>
        <w:wordWrap w:val="0"/>
        <w:spacing w:line="560" w:lineRule="atLeas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z w:val="32"/>
          <w:szCs w:val="32"/>
        </w:rPr>
        <w:t>2021年为从化区公办103间小学和幼儿园升级改造校园安全视频监控，并将校园安全监控连接到市区教育管理部门以及公安相关部门，以达到市区公安标准要求。年度绩效指标：包括3个项目产出指标、3个绩效指标和1个满意度指标。根据</w:t>
      </w:r>
      <w:r>
        <w:rPr>
          <w:rFonts w:hint="eastAsia" w:ascii="仿宋_GB2312" w:hAnsi="仿宋_GB2312" w:eastAsia="仿宋_GB2312" w:cs="仿宋_GB2312"/>
          <w:snapToGrid w:val="0"/>
          <w:kern w:val="0"/>
          <w:sz w:val="32"/>
          <w:szCs w:val="32"/>
        </w:rPr>
        <w:t>广州市从化区教育局提供的资料、现场核查，以上所设定的绩效目标和指标均已完成。</w:t>
      </w:r>
    </w:p>
    <w:p>
      <w:pPr>
        <w:spacing w:line="560" w:lineRule="atLeast"/>
        <w:ind w:firstLine="643" w:firstLineChars="200"/>
        <w:jc w:val="center"/>
        <w:rPr>
          <w:rFonts w:ascii="Times New Roman" w:hAnsi="Times New Roman" w:eastAsia="仿宋_GB2312" w:cs="Times New Roman"/>
          <w:b/>
          <w:bCs/>
          <w:snapToGrid w:val="0"/>
          <w:kern w:val="0"/>
          <w:sz w:val="32"/>
          <w:szCs w:val="32"/>
        </w:rPr>
      </w:pPr>
      <w:r>
        <w:rPr>
          <w:rFonts w:hint="eastAsia" w:ascii="Times New Roman" w:hAnsi="Times New Roman" w:eastAsia="仿宋_GB2312" w:cs="Times New Roman"/>
          <w:b/>
          <w:bCs/>
          <w:snapToGrid w:val="0"/>
          <w:kern w:val="0"/>
          <w:sz w:val="32"/>
          <w:szCs w:val="32"/>
        </w:rPr>
        <w:t>表1</w:t>
      </w:r>
      <w:r>
        <w:rPr>
          <w:rFonts w:ascii="Times New Roman" w:hAnsi="Times New Roman" w:eastAsia="仿宋_GB2312" w:cs="Times New Roman"/>
          <w:b/>
          <w:bCs/>
          <w:snapToGrid w:val="0"/>
          <w:kern w:val="0"/>
          <w:sz w:val="32"/>
          <w:szCs w:val="32"/>
        </w:rPr>
        <w:t xml:space="preserve"> </w:t>
      </w:r>
      <w:r>
        <w:rPr>
          <w:rFonts w:hint="eastAsia" w:ascii="Times New Roman" w:hAnsi="Times New Roman" w:eastAsia="仿宋_GB2312" w:cs="Times New Roman"/>
          <w:b/>
          <w:bCs/>
          <w:snapToGrid w:val="0"/>
          <w:kern w:val="0"/>
          <w:sz w:val="32"/>
          <w:szCs w:val="32"/>
        </w:rPr>
        <w:t>项目绩效指标目标值及实现值</w:t>
      </w:r>
    </w:p>
    <w:tbl>
      <w:tblPr>
        <w:tblStyle w:val="5"/>
        <w:tblW w:w="8522" w:type="dxa"/>
        <w:tblInd w:w="0" w:type="dxa"/>
        <w:tblLayout w:type="fixed"/>
        <w:tblCellMar>
          <w:top w:w="0" w:type="dxa"/>
          <w:left w:w="108" w:type="dxa"/>
          <w:bottom w:w="0" w:type="dxa"/>
          <w:right w:w="108" w:type="dxa"/>
        </w:tblCellMar>
      </w:tblPr>
      <w:tblGrid>
        <w:gridCol w:w="3813"/>
        <w:gridCol w:w="2355"/>
        <w:gridCol w:w="2354"/>
      </w:tblGrid>
      <w:tr>
        <w:tblPrEx>
          <w:tblLayout w:type="fixed"/>
          <w:tblCellMar>
            <w:top w:w="0" w:type="dxa"/>
            <w:left w:w="108" w:type="dxa"/>
            <w:bottom w:w="0" w:type="dxa"/>
            <w:right w:w="108" w:type="dxa"/>
          </w:tblCellMar>
        </w:tblPrEx>
        <w:trPr>
          <w:trHeight w:val="1002" w:hRule="atLeast"/>
          <w:tblHeader/>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指标名称</w:t>
            </w:r>
          </w:p>
        </w:tc>
        <w:tc>
          <w:tcPr>
            <w:tcW w:w="23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目标值</w:t>
            </w:r>
          </w:p>
        </w:tc>
        <w:tc>
          <w:tcPr>
            <w:tcW w:w="23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实现完成值</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物资采购完成率</w:t>
            </w:r>
          </w:p>
        </w:tc>
        <w:tc>
          <w:tcPr>
            <w:tcW w:w="23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100%</w:t>
            </w:r>
          </w:p>
        </w:tc>
        <w:tc>
          <w:tcPr>
            <w:tcW w:w="23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100%</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物资质量验收合格率</w:t>
            </w:r>
          </w:p>
        </w:tc>
        <w:tc>
          <w:tcPr>
            <w:tcW w:w="23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95%或以上</w:t>
            </w:r>
          </w:p>
        </w:tc>
        <w:tc>
          <w:tcPr>
            <w:tcW w:w="23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95%或以上</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监理覆盖率</w:t>
            </w:r>
          </w:p>
        </w:tc>
        <w:tc>
          <w:tcPr>
            <w:tcW w:w="23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100%</w:t>
            </w:r>
          </w:p>
        </w:tc>
        <w:tc>
          <w:tcPr>
            <w:tcW w:w="23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100%</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系统试运行正常运作率</w:t>
            </w:r>
          </w:p>
        </w:tc>
        <w:tc>
          <w:tcPr>
            <w:tcW w:w="23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98%或以上</w:t>
            </w:r>
          </w:p>
        </w:tc>
        <w:tc>
          <w:tcPr>
            <w:tcW w:w="23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98%或以上</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物资投入使用率</w:t>
            </w:r>
          </w:p>
        </w:tc>
        <w:tc>
          <w:tcPr>
            <w:tcW w:w="23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100%</w:t>
            </w:r>
          </w:p>
        </w:tc>
        <w:tc>
          <w:tcPr>
            <w:tcW w:w="23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100%</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采购金额节支率</w:t>
            </w:r>
          </w:p>
        </w:tc>
        <w:tc>
          <w:tcPr>
            <w:tcW w:w="23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0.2%或以上</w:t>
            </w:r>
          </w:p>
        </w:tc>
        <w:tc>
          <w:tcPr>
            <w:tcW w:w="23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0.2%或以上</w:t>
            </w:r>
          </w:p>
        </w:tc>
      </w:tr>
      <w:tr>
        <w:tblPrEx>
          <w:tblLayout w:type="fixed"/>
          <w:tblCellMar>
            <w:top w:w="0" w:type="dxa"/>
            <w:left w:w="108" w:type="dxa"/>
            <w:bottom w:w="0" w:type="dxa"/>
            <w:right w:w="108" w:type="dxa"/>
          </w:tblCellMar>
        </w:tblPrEx>
        <w:trPr>
          <w:trHeight w:val="1002" w:hRule="atLeast"/>
        </w:trPr>
        <w:tc>
          <w:tcPr>
            <w:tcW w:w="381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rPr>
                <w:rFonts w:ascii="宋体" w:hAnsi="宋体" w:eastAsia="宋体" w:cs="宋体"/>
                <w:kern w:val="0"/>
                <w:sz w:val="22"/>
              </w:rPr>
            </w:pPr>
            <w:r>
              <w:rPr>
                <w:rFonts w:hint="eastAsia" w:ascii="宋体" w:hAnsi="宋体" w:eastAsia="宋体" w:cs="宋体"/>
                <w:kern w:val="0"/>
                <w:sz w:val="22"/>
              </w:rPr>
              <w:t>物资使用者满意率</w:t>
            </w:r>
          </w:p>
        </w:tc>
        <w:tc>
          <w:tcPr>
            <w:tcW w:w="23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95%或以上</w:t>
            </w:r>
          </w:p>
        </w:tc>
        <w:tc>
          <w:tcPr>
            <w:tcW w:w="23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8"/>
                <w:szCs w:val="28"/>
              </w:rPr>
            </w:pPr>
            <w:r>
              <w:rPr>
                <w:rFonts w:hint="eastAsia" w:ascii="宋体" w:hAnsi="宋体" w:eastAsia="宋体" w:cs="宋体"/>
                <w:color w:val="000000"/>
                <w:kern w:val="0"/>
                <w:sz w:val="28"/>
                <w:szCs w:val="28"/>
              </w:rPr>
              <w:t>95%或以上</w:t>
            </w:r>
          </w:p>
        </w:tc>
      </w:tr>
    </w:tbl>
    <w:p>
      <w:pPr>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（二）主要绩效</w:t>
      </w:r>
    </w:p>
    <w:p>
      <w:pPr>
        <w:ind w:firstLine="640" w:firstLineChars="200"/>
        <w:outlineLvl w:val="2"/>
        <w:rPr>
          <w:rFonts w:hint="eastAsia" w:ascii="仿宋_GB2312" w:hAnsi="仿宋_GB2312" w:eastAsia="仿宋_GB2312" w:cs="仿宋_GB2312"/>
          <w:sz w:val="32"/>
          <w:szCs w:val="32"/>
        </w:rPr>
      </w:pPr>
      <w:bookmarkStart w:id="8" w:name="_Toc113471833"/>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有效的促进和监督学校的教学质量</w:t>
      </w:r>
      <w:bookmarkEnd w:id="8"/>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设置监控设施，能够对教学进行很好的促进和监督，并且提高教学质量。监控画面的覆盖，可把握教学画面、维护教学的纪律，促进教学质量的提高。监控设施的存在，起到一种外界的约束作用，能够依靠强制的力量来督促教学的改观，既能提高教师的教学质量，同时又可以让学生的听课态度加以端正。</w:t>
      </w:r>
    </w:p>
    <w:p>
      <w:pPr>
        <w:ind w:firstLine="640" w:firstLineChars="200"/>
        <w:outlineLvl w:val="2"/>
        <w:rPr>
          <w:rFonts w:hint="eastAsia" w:ascii="仿宋_GB2312" w:hAnsi="仿宋_GB2312" w:eastAsia="仿宋_GB2312" w:cs="仿宋_GB2312"/>
          <w:sz w:val="32"/>
          <w:szCs w:val="32"/>
        </w:rPr>
      </w:pPr>
      <w:bookmarkStart w:id="9" w:name="_Toc113471834"/>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为国家及校级的各种考试提供技术支撑</w:t>
      </w:r>
      <w:bookmarkEnd w:id="9"/>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国家及校级的各种考试提供技术支撑。监控作为一种较为重要的教学技术设施，是很多重要的考试必不可缺少的设备。安装一套较为完备的监控系统，能够在客观上维护教学的环境。现有80个监控点，所有考试都启用了监控系统，建成国家教育考试标准化考点，在举办自学考试、英语等级考试等国家考试中，教育考试院可以联网监控所有考场，营造良好的考试氛围。在教学楼中设置监控设施能够作为一种重要的考场纪律的维护作用，保证考试的公平性和公正性，以此来维护考试的尊严和权威。</w:t>
      </w:r>
    </w:p>
    <w:p>
      <w:pPr>
        <w:ind w:firstLine="640" w:firstLineChars="200"/>
        <w:outlineLvl w:val="2"/>
        <w:rPr>
          <w:rFonts w:hint="eastAsia" w:ascii="仿宋_GB2312" w:hAnsi="仿宋_GB2312" w:eastAsia="仿宋_GB2312" w:cs="仿宋_GB2312"/>
          <w:sz w:val="32"/>
          <w:szCs w:val="32"/>
        </w:rPr>
      </w:pPr>
      <w:bookmarkStart w:id="10" w:name="_Toc113471835"/>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维持良好的学习风气</w:t>
      </w:r>
      <w:bookmarkEnd w:id="10"/>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时监控教学动态，维持良好的学习风气。在教学楼中安装监控设置，随时监控教学动态，对于整个教学的控制和管理都有着很大的帮助作用。通过监控教学动态能够维护良好的学习风气，不断地让师生产生一种相互信任的良好风气。随时地监控教学动态，可以让管理者对所有的课堂教学产生宏观上的把握，可以不断地提出相关的改进措施，督促具体的教学活动，实现教学质量的提高。对于课堂的教学来说，监控实际上就是一种外在的具有强制特点的管理系统，起到很直接的教学辅助作用。</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三、</w:t>
      </w:r>
      <w:r>
        <w:rPr>
          <w:rFonts w:ascii="Times New Roman" w:hAnsi="Times New Roman" w:eastAsia="黑体" w:cs="Times New Roman"/>
          <w:snapToGrid w:val="0"/>
          <w:kern w:val="0"/>
          <w:sz w:val="32"/>
          <w:szCs w:val="32"/>
        </w:rPr>
        <w:t>存在的问题</w:t>
      </w:r>
      <w:r>
        <w:rPr>
          <w:rFonts w:hint="eastAsia" w:ascii="Times New Roman" w:hAnsi="Times New Roman" w:eastAsia="黑体" w:cs="Times New Roman"/>
          <w:snapToGrid w:val="0"/>
          <w:kern w:val="0"/>
          <w:sz w:val="32"/>
          <w:szCs w:val="32"/>
        </w:rPr>
        <w:t>及建议</w:t>
      </w:r>
    </w:p>
    <w:p>
      <w:pPr>
        <w:adjustRightIn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（一）存在问题</w:t>
      </w:r>
    </w:p>
    <w:p>
      <w:pPr>
        <w:ind w:firstLine="640" w:firstLineChars="200"/>
        <w:outlineLvl w:val="2"/>
        <w:rPr>
          <w:rFonts w:hint="eastAsia" w:ascii="仿宋_GB2312" w:hAnsi="仿宋_GB2312" w:eastAsia="仿宋_GB2312" w:cs="仿宋_GB2312"/>
          <w:sz w:val="32"/>
          <w:szCs w:val="32"/>
        </w:rPr>
      </w:pPr>
      <w:bookmarkStart w:id="11" w:name="_Toc113471837"/>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存在IP冲突现象</w:t>
      </w:r>
      <w:bookmarkEnd w:id="11"/>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试运行阶段存在学校IP地址与设备IP地址的冲突，不排除后续使用会出现该现象，在任意网络下，IP冲突都可能会导致通信异常。在监控网络中，IP地址冲突的一般表现为摄像头添加失败、摄像头频繁掉线、远程监控不稳定等。</w:t>
      </w:r>
    </w:p>
    <w:p>
      <w:pPr>
        <w:ind w:firstLine="640" w:firstLineChars="200"/>
        <w:outlineLvl w:val="2"/>
        <w:rPr>
          <w:rFonts w:hint="eastAsia" w:ascii="仿宋_GB2312" w:hAnsi="仿宋_GB2312" w:eastAsia="仿宋_GB2312" w:cs="仿宋_GB2312"/>
          <w:sz w:val="32"/>
          <w:szCs w:val="32"/>
        </w:rPr>
      </w:pPr>
      <w:bookmarkStart w:id="12" w:name="_Toc113471838"/>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摄像头存在无图像现象</w:t>
      </w:r>
      <w:bookmarkEnd w:id="12"/>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一个整体的服务系统，摄像头的每个衍生硬件并不是孤立存在的，而是相互关联、相互影响。试运行阶段存在摄像头出现电源电压供应不稳定、网线水晶头存在损坏、电源线接触不良等行为会导致无图像现象的出现。</w:t>
      </w:r>
    </w:p>
    <w:p>
      <w:pPr>
        <w:ind w:firstLine="640" w:firstLineChars="200"/>
        <w:outlineLvl w:val="2"/>
        <w:rPr>
          <w:rFonts w:hint="eastAsia" w:ascii="仿宋_GB2312" w:hAnsi="仿宋_GB2312" w:eastAsia="仿宋_GB2312" w:cs="仿宋_GB2312"/>
          <w:sz w:val="32"/>
          <w:szCs w:val="32"/>
        </w:rPr>
      </w:pPr>
      <w:bookmarkStart w:id="13" w:name="_Toc113471839"/>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校园安全监控绩效指标设置有待完善</w:t>
      </w:r>
      <w:bookmarkEnd w:id="13"/>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是2020年至2022年继续实施项目，2021年支付额为2020年的尾款加2021年20%，按签订采购合同规定2021年支付20%仅为50%设备的到场量，项目自评表设置的效益指标属于工程收尾测试以及后续使用，绩效指标有效性存在明显的不合理。</w:t>
      </w:r>
    </w:p>
    <w:p>
      <w:pPr>
        <w:adjustRightIn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（二）相关建议</w:t>
      </w:r>
    </w:p>
    <w:p>
      <w:pPr>
        <w:ind w:firstLine="640" w:firstLineChars="200"/>
        <w:outlineLvl w:val="2"/>
        <w:rPr>
          <w:rFonts w:hint="eastAsia" w:ascii="仿宋_GB2312" w:hAnsi="仿宋_GB2312" w:eastAsia="仿宋_GB2312" w:cs="仿宋_GB2312"/>
          <w:sz w:val="32"/>
          <w:szCs w:val="32"/>
        </w:rPr>
      </w:pPr>
      <w:bookmarkStart w:id="14" w:name="_Toc113471841"/>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加强IP地址管理</w:t>
      </w:r>
      <w:bookmarkEnd w:id="14"/>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多台TP-LINK IPC出现IP冲突时，在NVR上可以扫描到多个IP相同的条目，可以选择修改IPC的IP地址，或者直接添加，NVR会自动修改IPC的IP地址避免冲突。</w:t>
      </w:r>
    </w:p>
    <w:p>
      <w:pPr>
        <w:ind w:firstLine="640" w:firstLineChars="200"/>
        <w:outlineLvl w:val="2"/>
        <w:rPr>
          <w:rFonts w:hint="eastAsia" w:ascii="仿宋_GB2312" w:hAnsi="仿宋_GB2312" w:eastAsia="仿宋_GB2312" w:cs="仿宋_GB2312"/>
          <w:sz w:val="32"/>
          <w:szCs w:val="32"/>
        </w:rPr>
      </w:pPr>
      <w:bookmarkStart w:id="15" w:name="_Toc113471842"/>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加强后续硬件维护</w:t>
      </w:r>
      <w:bookmarkEnd w:id="15"/>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数据的缺失，会导致分析改进效率方向的片面性，不能从整体上做出最优的解决策略。应加强后续使用的硬件维护，利用安全监控设施及时处理相关不良行为并制定优化策略，提高各监控点位的使用效率。</w:t>
      </w:r>
    </w:p>
    <w:p>
      <w:pPr>
        <w:ind w:firstLine="640" w:firstLineChars="200"/>
        <w:outlineLvl w:val="2"/>
        <w:rPr>
          <w:rFonts w:hint="eastAsia" w:ascii="仿宋_GB2312" w:hAnsi="仿宋_GB2312" w:eastAsia="仿宋_GB2312" w:cs="仿宋_GB2312"/>
          <w:sz w:val="32"/>
          <w:szCs w:val="32"/>
        </w:rPr>
      </w:pPr>
      <w:bookmarkStart w:id="16" w:name="_Toc113471843"/>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进一步强化项目建设考核制度</w:t>
      </w:r>
      <w:bookmarkEnd w:id="16"/>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议项目单位在设立项目预期目标时应将目标建立在客观的信息数据基础上，根据客观事实和依据选择科学专业的分析工具与方法，严格规范绩效指标设立程序，跟据实际项目进度进行制定，避免出现绩效指标与项目实际情况存在不匹配情形。</w:t>
      </w:r>
    </w:p>
    <w:p>
      <w:pPr>
        <w:ind w:firstLine="640" w:firstLineChars="200"/>
        <w:rPr>
          <w:rFonts w:eastAsia="仿宋_GB2312"/>
          <w:sz w:val="32"/>
          <w:szCs w:val="32"/>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724003"/>
    <w:rsid w:val="00075547"/>
    <w:rsid w:val="003046E4"/>
    <w:rsid w:val="004F686B"/>
    <w:rsid w:val="00511E0A"/>
    <w:rsid w:val="005B5956"/>
    <w:rsid w:val="00650CA6"/>
    <w:rsid w:val="006E415A"/>
    <w:rsid w:val="00724003"/>
    <w:rsid w:val="00A141B0"/>
    <w:rsid w:val="00AD4C21"/>
    <w:rsid w:val="00BC3593"/>
    <w:rsid w:val="00C67D96"/>
    <w:rsid w:val="00E735AE"/>
    <w:rsid w:val="00EC5EFF"/>
    <w:rsid w:val="00F40650"/>
    <w:rsid w:val="0F1A4432"/>
    <w:rsid w:val="2F904825"/>
    <w:rsid w:val="66F97189"/>
    <w:rsid w:val="7E780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字符"/>
    <w:basedOn w:val="6"/>
    <w:link w:val="2"/>
    <w:qFormat/>
    <w:uiPriority w:val="0"/>
    <w:rPr>
      <w:rFonts w:ascii="Arial" w:hAnsi="Arial" w:eastAsia="黑体" w:cs="Times New Roman"/>
      <w:b/>
      <w:sz w:val="32"/>
      <w:szCs w:val="24"/>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349</Words>
  <Characters>1994</Characters>
  <Lines>16</Lines>
  <Paragraphs>4</Paragraphs>
  <TotalTime>32</TotalTime>
  <ScaleCrop>false</ScaleCrop>
  <LinksUpToDate>false</LinksUpToDate>
  <CharactersWithSpaces>2339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2022-09-13T12:12:00Z</dcterms:created>
  <dc:creator>苏 浩</dc:creator>
  <cp:lastModifiedBy>区财政局</cp:lastModifiedBy>
  <dcterms:modified xsi:type="dcterms:W3CDTF">2022-10-08T11:00:14Z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CE422F90FCC341E4A8204A8322A71B3E</vt:lpwstr>
  </property>
</Properties>
</file>