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方正小标宋_GBK" w:hAnsi="方正小标宋_GBK" w:eastAsia="方正小标宋_GBK" w:cs="方正小标宋_GBK"/>
          <w:b w:val="0"/>
          <w:bCs w:val="0"/>
          <w:sz w:val="44"/>
          <w:szCs w:val="44"/>
        </w:rPr>
      </w:pPr>
      <w:bookmarkStart w:id="0" w:name="_Toc14365"/>
      <w:r>
        <w:rPr>
          <w:rFonts w:hint="eastAsia" w:ascii="方正小标宋_GBK" w:hAnsi="方正小标宋_GBK" w:eastAsia="方正小标宋_GBK" w:cs="方正小标宋_GBK"/>
          <w:b w:val="0"/>
          <w:bCs w:val="0"/>
          <w:sz w:val="44"/>
          <w:szCs w:val="44"/>
        </w:rPr>
        <w:t>2021年广州市从化区科技工业商业和信息化局部门整体支出绩效评价简要报告</w:t>
      </w:r>
      <w:bookmarkEnd w:id="0"/>
    </w:p>
    <w:p>
      <w:pPr>
        <w:ind w:firstLine="0" w:firstLineChars="0"/>
        <w:jc w:val="right"/>
      </w:pPr>
    </w:p>
    <w:p>
      <w:pPr>
        <w:ind w:firstLine="0" w:firstLineChars="0"/>
        <w:jc w:val="center"/>
      </w:pPr>
      <w:bookmarkStart w:id="10" w:name="_GoBack"/>
      <w:r>
        <w:t>广东诚安信会计师事务所（特殊普通合伙）</w:t>
      </w:r>
    </w:p>
    <w:bookmarkEnd w:id="10"/>
    <w:p>
      <w:pPr>
        <w:pStyle w:val="2"/>
      </w:pPr>
    </w:p>
    <w:p>
      <w:pPr>
        <w:pStyle w:val="3"/>
        <w:numPr>
          <w:ilvl w:val="0"/>
          <w:numId w:val="1"/>
        </w:numPr>
        <w:ind w:firstLine="640"/>
      </w:pPr>
      <w:r>
        <w:rPr>
          <w:rFonts w:hint="eastAsia"/>
        </w:rPr>
        <w:t>评价概况</w:t>
      </w:r>
    </w:p>
    <w:p>
      <w:pPr>
        <w:ind w:firstLine="640"/>
      </w:pPr>
      <w:r>
        <w:rPr>
          <w:rFonts w:hint="eastAsia"/>
        </w:rPr>
        <w:t>受广州市从化区财政局的委托，广东诚安信会计师事务所（特殊普通合伙）对广州市从化区科技工业商业和信息化局实施了部门整体绩效评价，形成评价报告。</w:t>
      </w:r>
    </w:p>
    <w:p>
      <w:pPr>
        <w:ind w:firstLine="640"/>
      </w:pPr>
      <w:r>
        <w:rPr>
          <w:rFonts w:hint="eastAsia"/>
        </w:rPr>
        <w:t>经过对广州市从化区科技工业商业和信息化局2021年度部门整体支出绩效评价指标逐一打分，该项目绩效累计得83.53分。</w:t>
      </w:r>
    </w:p>
    <w:p>
      <w:pPr>
        <w:pStyle w:val="4"/>
        <w:numPr>
          <w:ilvl w:val="0"/>
          <w:numId w:val="2"/>
        </w:numPr>
        <w:ind w:firstLineChars="0"/>
      </w:pPr>
      <w:r>
        <w:rPr>
          <w:rFonts w:hint="eastAsia"/>
        </w:rPr>
        <w:t>部门概况</w:t>
      </w:r>
    </w:p>
    <w:p>
      <w:pPr>
        <w:ind w:firstLine="640"/>
      </w:pPr>
      <w:r>
        <w:rPr>
          <w:rFonts w:hint="eastAsia"/>
        </w:rPr>
        <w:t>该预算部门负责拟定并实施全区科技、工业、商务和信息化等领域发展策略；监测分析经济运行情况；监督并加强全区信息化基础设施建设和技术发展；指导、培育、扶持中小微企业、工业企业发展；组织和管理口岸建设工作，监管金融机构。</w:t>
      </w:r>
    </w:p>
    <w:p>
      <w:pPr>
        <w:ind w:firstLine="640"/>
      </w:pPr>
      <w:r>
        <w:rPr>
          <w:rFonts w:hint="eastAsia"/>
        </w:rPr>
        <w:t>该预算部门包括本级单位：广州市从化区科技工业商务和信息化局；下属单位：广州市从化区经济协作办公室、广州市从化区整顿和规范市场经济秩序领导小组办公室、广州市从化区科技创新和信息化发展中心、广州市从化区温泉财富小镇服务中心、从化口岸车检场管理所。</w:t>
      </w:r>
    </w:p>
    <w:p>
      <w:pPr>
        <w:pStyle w:val="4"/>
        <w:ind w:firstLine="640"/>
      </w:pPr>
      <w:r>
        <w:rPr>
          <w:rFonts w:hint="eastAsia"/>
        </w:rPr>
        <w:t>（二）部门资金情况</w:t>
      </w:r>
    </w:p>
    <w:p>
      <w:pPr>
        <w:ind w:firstLine="640"/>
      </w:pPr>
      <w:r>
        <w:rPr>
          <w:rFonts w:hint="eastAsia"/>
        </w:rPr>
        <w:t>2021年度从化区科技工业商务和信息化局收入决算数为31,688.66万元，均为财政拨款收入；支出决算数为31,688.66万元，预算完成率100%。基本支出 2,916.69万元，占总支出9.20%，其中：人员经费2,768.98万元，日常公用经费 147.71万元。项目支出 28,771.98万元，占总支出90.80%。</w:t>
      </w:r>
    </w:p>
    <w:p>
      <w:pPr>
        <w:pStyle w:val="3"/>
        <w:numPr>
          <w:ilvl w:val="0"/>
          <w:numId w:val="1"/>
        </w:numPr>
        <w:ind w:firstLine="640"/>
      </w:pPr>
      <w:r>
        <w:rPr>
          <w:rFonts w:hint="eastAsia"/>
        </w:rPr>
        <w:t>绩效目标</w:t>
      </w:r>
    </w:p>
    <w:p>
      <w:pPr>
        <w:ind w:firstLine="640"/>
      </w:pPr>
      <w:r>
        <w:rPr>
          <w:rFonts w:hint="eastAsia"/>
        </w:rPr>
        <w:t>2021年度部门整体绩效目标为：</w:t>
      </w:r>
    </w:p>
    <w:p>
      <w:pPr>
        <w:ind w:firstLine="640"/>
      </w:pPr>
      <w:r>
        <w:rPr>
          <w:rFonts w:hint="eastAsia"/>
        </w:rPr>
        <w:t>1.贯彻落实中央、省、市关于稳外贸的工作部署，促进从化区外贸进出口健康稳步发展，预计2021年从化区需实现市场采购贸易出口10亿美元，才能确保从化区外贸进出口保持正增长，按时完成广州市下达给从化区的外贸进出口目标任务。</w:t>
      </w:r>
    </w:p>
    <w:p>
      <w:pPr>
        <w:ind w:firstLine="640"/>
      </w:pPr>
      <w:r>
        <w:rPr>
          <w:rFonts w:hint="eastAsia"/>
        </w:rPr>
        <w:t>2.对区高效益优质企业扶持措施、区重点产业扶持政策、区温泉财富小镇实施扶持奖励的政策补贴。</w:t>
      </w:r>
    </w:p>
    <w:p>
      <w:pPr>
        <w:ind w:firstLine="640"/>
      </w:pPr>
      <w:r>
        <w:rPr>
          <w:rFonts w:hint="eastAsia"/>
        </w:rPr>
        <w:t>本次绩效评价体系共设置履职情况指标12个</w:t>
      </w:r>
      <w:r>
        <w:t>以考核该</w:t>
      </w:r>
      <w:r>
        <w:rPr>
          <w:rFonts w:hint="eastAsia"/>
        </w:rPr>
        <w:t>部门</w:t>
      </w:r>
      <w:r>
        <w:t>2021年度的绩效情况</w:t>
      </w:r>
      <w:r>
        <w:rPr>
          <w:rFonts w:hint="eastAsia"/>
        </w:rPr>
        <w:t>，其中产出指标8个、效益指标4个。</w:t>
      </w:r>
    </w:p>
    <w:p>
      <w:pPr>
        <w:ind w:firstLine="640"/>
      </w:pPr>
      <w:r>
        <w:rPr>
          <w:rFonts w:hint="eastAsia"/>
        </w:rPr>
        <w:t>经查验，部门绩效指标完成情况如下：</w:t>
      </w:r>
    </w:p>
    <w:tbl>
      <w:tblPr>
        <w:tblStyle w:val="8"/>
        <w:tblW w:w="8787" w:type="dxa"/>
        <w:tblInd w:w="-147" w:type="dxa"/>
        <w:tblLayout w:type="fixed"/>
        <w:tblCellMar>
          <w:top w:w="0" w:type="dxa"/>
          <w:left w:w="108" w:type="dxa"/>
          <w:bottom w:w="0" w:type="dxa"/>
          <w:right w:w="108" w:type="dxa"/>
        </w:tblCellMar>
      </w:tblPr>
      <w:tblGrid>
        <w:gridCol w:w="2667"/>
        <w:gridCol w:w="2260"/>
        <w:gridCol w:w="3860"/>
      </w:tblGrid>
      <w:tr>
        <w:tblPrEx>
          <w:tblLayout w:type="fixed"/>
          <w:tblCellMar>
            <w:top w:w="0" w:type="dxa"/>
            <w:left w:w="108" w:type="dxa"/>
            <w:bottom w:w="0" w:type="dxa"/>
            <w:right w:w="108" w:type="dxa"/>
          </w:tblCellMar>
        </w:tblPrEx>
        <w:trPr>
          <w:trHeight w:val="464" w:hRule="atLeast"/>
          <w:tblHeader/>
        </w:trPr>
        <w:tc>
          <w:tcPr>
            <w:tcW w:w="26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指标名称</w:t>
            </w:r>
          </w:p>
        </w:tc>
        <w:tc>
          <w:tcPr>
            <w:tcW w:w="22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目标值</w:t>
            </w:r>
          </w:p>
        </w:tc>
        <w:tc>
          <w:tcPr>
            <w:tcW w:w="38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实现完成值</w:t>
            </w:r>
          </w:p>
        </w:tc>
      </w:tr>
      <w:tr>
        <w:tblPrEx>
          <w:tblLayout w:type="fixed"/>
          <w:tblCellMar>
            <w:top w:w="0" w:type="dxa"/>
            <w:left w:w="108" w:type="dxa"/>
            <w:bottom w:w="0" w:type="dxa"/>
            <w:right w:w="108" w:type="dxa"/>
          </w:tblCellMar>
        </w:tblPrEx>
        <w:trPr>
          <w:trHeight w:val="52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5G相关市级任务完成基站指标</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完成基站562座</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从化区2021年共需建成基站562座，未见完成情况</w:t>
            </w:r>
          </w:p>
        </w:tc>
      </w:tr>
      <w:tr>
        <w:tblPrEx>
          <w:tblLayout w:type="fixed"/>
          <w:tblCellMar>
            <w:top w:w="0" w:type="dxa"/>
            <w:left w:w="108" w:type="dxa"/>
            <w:bottom w:w="0" w:type="dxa"/>
            <w:right w:w="108" w:type="dxa"/>
          </w:tblCellMar>
        </w:tblPrEx>
        <w:trPr>
          <w:trHeight w:val="52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公共场所WLAN网络热点覆盖范围</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是否与委托合同相符</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该服务未存在异常</w:t>
            </w:r>
          </w:p>
        </w:tc>
      </w:tr>
      <w:tr>
        <w:tblPrEx>
          <w:tblLayout w:type="fixed"/>
          <w:tblCellMar>
            <w:top w:w="0" w:type="dxa"/>
            <w:left w:w="108" w:type="dxa"/>
            <w:bottom w:w="0" w:type="dxa"/>
            <w:right w:w="108" w:type="dxa"/>
          </w:tblCellMar>
        </w:tblPrEx>
        <w:trPr>
          <w:trHeight w:val="52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战略性新兴产业发展专项资金补贴审核质量</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考核补贴审核过程的科学性和合理性</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审核工作质量仍有提升空间</w:t>
            </w:r>
          </w:p>
        </w:tc>
      </w:tr>
      <w:tr>
        <w:tblPrEx>
          <w:tblLayout w:type="fixed"/>
          <w:tblCellMar>
            <w:top w:w="0" w:type="dxa"/>
            <w:left w:w="108" w:type="dxa"/>
            <w:bottom w:w="0" w:type="dxa"/>
            <w:right w:w="108" w:type="dxa"/>
          </w:tblCellMar>
        </w:tblPrEx>
        <w:trPr>
          <w:trHeight w:val="78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被广州市商务局认定可获得市场采购贸易出口补贴资金的试点企业数量</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从化区共6家企业可获得市场采购贸易出口补贴资金</w:t>
            </w:r>
          </w:p>
        </w:tc>
      </w:tr>
      <w:tr>
        <w:tblPrEx>
          <w:tblLayout w:type="fixed"/>
          <w:tblCellMar>
            <w:top w:w="0" w:type="dxa"/>
            <w:left w:w="108" w:type="dxa"/>
            <w:bottom w:w="0" w:type="dxa"/>
            <w:right w:w="108" w:type="dxa"/>
          </w:tblCellMar>
        </w:tblPrEx>
        <w:trPr>
          <w:trHeight w:val="52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区温泉财富小镇扶持奖励的政策补贴</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1家次</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2021年共2家企业发放温泉财富小镇扶持奖励</w:t>
            </w:r>
          </w:p>
        </w:tc>
      </w:tr>
      <w:tr>
        <w:tblPrEx>
          <w:tblLayout w:type="fixed"/>
          <w:tblCellMar>
            <w:top w:w="0" w:type="dxa"/>
            <w:left w:w="108" w:type="dxa"/>
            <w:bottom w:w="0" w:type="dxa"/>
            <w:right w:w="108" w:type="dxa"/>
          </w:tblCellMar>
        </w:tblPrEx>
        <w:trPr>
          <w:trHeight w:val="52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政策宣讲工作开展情况</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召开1次政策宣讲会</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2021年7月20日区科工商信局召开《从化区促进重点产业发展扶持措施》贯宣会</w:t>
            </w:r>
          </w:p>
        </w:tc>
      </w:tr>
      <w:tr>
        <w:tblPrEx>
          <w:tblLayout w:type="fixed"/>
          <w:tblCellMar>
            <w:top w:w="0" w:type="dxa"/>
            <w:left w:w="108" w:type="dxa"/>
            <w:bottom w:w="0" w:type="dxa"/>
            <w:right w:w="108" w:type="dxa"/>
          </w:tblCellMar>
        </w:tblPrEx>
        <w:trPr>
          <w:trHeight w:val="52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区高效益优质企业扶持完成情况</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90家次</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92家次</w:t>
            </w:r>
          </w:p>
        </w:tc>
      </w:tr>
      <w:tr>
        <w:tblPrEx>
          <w:tblLayout w:type="fixed"/>
          <w:tblCellMar>
            <w:top w:w="0" w:type="dxa"/>
            <w:left w:w="108" w:type="dxa"/>
            <w:bottom w:w="0" w:type="dxa"/>
            <w:right w:w="108" w:type="dxa"/>
          </w:tblCellMar>
        </w:tblPrEx>
        <w:trPr>
          <w:trHeight w:val="52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区重点产业扶持政策完成情况</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9家次</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9家次</w:t>
            </w:r>
          </w:p>
        </w:tc>
      </w:tr>
      <w:tr>
        <w:tblPrEx>
          <w:tblLayout w:type="fixed"/>
          <w:tblCellMar>
            <w:top w:w="0" w:type="dxa"/>
            <w:left w:w="108" w:type="dxa"/>
            <w:bottom w:w="0" w:type="dxa"/>
            <w:right w:w="108" w:type="dxa"/>
          </w:tblCellMar>
        </w:tblPrEx>
        <w:trPr>
          <w:trHeight w:val="78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企业奖励金额</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7000万元</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区战略性新兴产业发展专项资金和市场采购贸易出口补贴资金共向企业发放补贴7121.90万元。</w:t>
            </w:r>
          </w:p>
        </w:tc>
      </w:tr>
      <w:tr>
        <w:tblPrEx>
          <w:tblLayout w:type="fixed"/>
          <w:tblCellMar>
            <w:top w:w="0" w:type="dxa"/>
            <w:left w:w="108" w:type="dxa"/>
            <w:bottom w:w="0" w:type="dxa"/>
            <w:right w:w="108" w:type="dxa"/>
          </w:tblCellMar>
        </w:tblPrEx>
        <w:trPr>
          <w:trHeight w:val="52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民用爆炸物检查效果</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民用爆炸物检查整改是否及时</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未发现存在企业不及时整改的情况</w:t>
            </w:r>
          </w:p>
        </w:tc>
      </w:tr>
      <w:tr>
        <w:tblPrEx>
          <w:tblLayout w:type="fixed"/>
          <w:tblCellMar>
            <w:top w:w="0" w:type="dxa"/>
            <w:left w:w="108" w:type="dxa"/>
            <w:bottom w:w="0" w:type="dxa"/>
            <w:right w:w="108" w:type="dxa"/>
          </w:tblCellMar>
        </w:tblPrEx>
        <w:trPr>
          <w:trHeight w:val="28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总部企业数量</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2家</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3家</w:t>
            </w:r>
          </w:p>
        </w:tc>
      </w:tr>
      <w:tr>
        <w:tblPrEx>
          <w:tblLayout w:type="fixed"/>
          <w:tblCellMar>
            <w:top w:w="0" w:type="dxa"/>
            <w:left w:w="108" w:type="dxa"/>
            <w:bottom w:w="0" w:type="dxa"/>
            <w:right w:w="108" w:type="dxa"/>
          </w:tblCellMar>
        </w:tblPrEx>
        <w:trPr>
          <w:trHeight w:val="280" w:hRule="atLeast"/>
        </w:trPr>
        <w:tc>
          <w:tcPr>
            <w:tcW w:w="266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完成众创空间认定工作情况</w:t>
            </w:r>
          </w:p>
        </w:tc>
        <w:tc>
          <w:tcPr>
            <w:tcW w:w="22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2家</w:t>
            </w:r>
          </w:p>
        </w:tc>
        <w:tc>
          <w:tcPr>
            <w:tcW w:w="38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4家</w:t>
            </w:r>
          </w:p>
        </w:tc>
      </w:tr>
    </w:tbl>
    <w:p>
      <w:pPr>
        <w:ind w:firstLine="640"/>
      </w:pPr>
    </w:p>
    <w:p>
      <w:pPr>
        <w:pStyle w:val="3"/>
        <w:numPr>
          <w:ilvl w:val="0"/>
          <w:numId w:val="1"/>
        </w:numPr>
        <w:ind w:firstLine="640"/>
      </w:pPr>
      <w:r>
        <w:rPr>
          <w:rFonts w:hint="eastAsia"/>
        </w:rPr>
        <w:t>主要绩效</w:t>
      </w:r>
    </w:p>
    <w:p>
      <w:pPr>
        <w:pStyle w:val="4"/>
        <w:ind w:firstLine="640"/>
      </w:pPr>
      <w:bookmarkStart w:id="1" w:name="_Toc7006"/>
      <w:r>
        <w:rPr>
          <w:rFonts w:hint="eastAsia"/>
        </w:rPr>
        <w:t>（一）</w:t>
      </w:r>
      <w:r>
        <w:t>吸引优质企业或项目落地从化</w:t>
      </w:r>
      <w:bookmarkEnd w:id="1"/>
    </w:p>
    <w:p>
      <w:pPr>
        <w:ind w:firstLine="640"/>
      </w:pPr>
      <w:r>
        <w:t>2019年以来，共有3家符合总部企业认定标准的企业总部落户从化；2021年新登记4家市级众创空间，助力优质项目的孵化。</w:t>
      </w:r>
    </w:p>
    <w:p>
      <w:pPr>
        <w:pStyle w:val="4"/>
        <w:ind w:firstLine="640"/>
      </w:pPr>
      <w:bookmarkStart w:id="2" w:name="_Toc21740"/>
      <w:r>
        <w:rPr>
          <w:rFonts w:hint="eastAsia"/>
        </w:rPr>
        <w:t>（二）</w:t>
      </w:r>
      <w:r>
        <w:t>完善网络基础设施建设</w:t>
      </w:r>
      <w:bookmarkEnd w:id="2"/>
    </w:p>
    <w:p>
      <w:pPr>
        <w:ind w:firstLine="640"/>
      </w:pPr>
      <w:r>
        <w:t>2021年实现了在全区的111个政务公共场所WLAN网络热点覆盖；提升5G网络基站密度。</w:t>
      </w:r>
    </w:p>
    <w:p>
      <w:pPr>
        <w:pStyle w:val="4"/>
        <w:ind w:firstLine="640"/>
      </w:pPr>
      <w:bookmarkStart w:id="3" w:name="_Toc9732"/>
      <w:r>
        <w:rPr>
          <w:rFonts w:hint="eastAsia"/>
        </w:rPr>
        <w:t>（三）</w:t>
      </w:r>
      <w:r>
        <w:t>对企业补贴奖励，拉动经济发展</w:t>
      </w:r>
      <w:bookmarkEnd w:id="3"/>
    </w:p>
    <w:p>
      <w:pPr>
        <w:ind w:firstLine="640"/>
      </w:pPr>
      <w:r>
        <w:t>为了促进经济发展，奖励了92家次对地方经济社会发展有较大贡献的企业，相关企业纳税金额合计54,510.71万元；</w:t>
      </w:r>
    </w:p>
    <w:p>
      <w:pPr>
        <w:ind w:firstLine="640"/>
      </w:pPr>
      <w:r>
        <w:t>为了促进重点产业的工业和商贸服务业的发展，单位对投入大、产业带动能力强、预期对地方经济社会发展贡献重大的企业进行奖励，共奖励9家次企业，相关企业纳税金额合计47,412.23万元；</w:t>
      </w:r>
    </w:p>
    <w:p>
      <w:pPr>
        <w:ind w:firstLine="640"/>
      </w:pPr>
      <w:r>
        <w:t>2016年广州市开始创建温泉财富小镇，促进各类金融机构集聚发展和金融业态创新发展；为了加快建设温泉财富小镇，单位对2家符合条件、对税收有突出贡献的金融机构进行奖励，相关企业纳税金额合计318.74万元。</w:t>
      </w:r>
    </w:p>
    <w:p>
      <w:pPr>
        <w:pStyle w:val="4"/>
        <w:ind w:firstLine="640"/>
      </w:pPr>
      <w:r>
        <w:rPr>
          <w:rFonts w:hint="eastAsia"/>
        </w:rPr>
        <w:t>（四）</w:t>
      </w:r>
      <w:r>
        <w:t>促进生态工业发展，外贸发展稳步进行</w:t>
      </w:r>
    </w:p>
    <w:p>
      <w:pPr>
        <w:ind w:firstLine="640"/>
      </w:pPr>
      <w:r>
        <w:t>为了加快生态设计小镇建设，提升从化区生态工业发展水平，引进了广州坤银生态产业投资有限公司运营广东省生态工业设计研究院，该设计研究院研发了数字艺术风格模型训练系统。</w:t>
      </w:r>
    </w:p>
    <w:p>
      <w:pPr>
        <w:ind w:firstLine="640"/>
      </w:pPr>
      <w:r>
        <w:t>2021年外贸进出口完成138.2亿元，同比增长17.3%；外贸出口完成121.1亿元，同比增长22%，其中市场采购出口完成49.78亿元（合计7.63亿美元），同比增长68.46%。</w:t>
      </w:r>
    </w:p>
    <w:p>
      <w:pPr>
        <w:pStyle w:val="3"/>
        <w:numPr>
          <w:ilvl w:val="0"/>
          <w:numId w:val="1"/>
        </w:numPr>
        <w:ind w:firstLine="640"/>
      </w:pPr>
      <w:r>
        <w:rPr>
          <w:rFonts w:hint="eastAsia"/>
        </w:rPr>
        <w:t>存在问题</w:t>
      </w:r>
    </w:p>
    <w:p>
      <w:pPr>
        <w:pStyle w:val="4"/>
        <w:ind w:firstLine="640"/>
      </w:pPr>
      <w:bookmarkStart w:id="4" w:name="_Toc8673"/>
      <w:r>
        <w:t>（一）绩效管理水平有待提升</w:t>
      </w:r>
      <w:bookmarkEnd w:id="4"/>
    </w:p>
    <w:p>
      <w:pPr>
        <w:ind w:firstLine="640"/>
      </w:pPr>
      <w:r>
        <w:t>1.绩效自评工作不规范。根据单位提交的绩效管理资料，发现绩效自评表和绩效申报表指标设置不一致的情况，且未见相关绩效指标调整资料；经查验单位各个项目的绩效自评表，存在部分项目的绩效自评表填写不规范的问题。</w:t>
      </w:r>
    </w:p>
    <w:p>
      <w:pPr>
        <w:ind w:firstLine="640"/>
      </w:pPr>
      <w:r>
        <w:t>2.绩效目标设置方面，部门绩效目标与单位部门职能相符，体现了当年工作重点，但是未能全面体现部门2021年主要工作内容，无法体现绩效目标与预算资金的匹配情况；绩效指标清晰可衡量，但是部分绩效目标值不能体现相关依据，绩效指标也不能全面体现单位2021年主要的工作内容。</w:t>
      </w:r>
    </w:p>
    <w:p>
      <w:pPr>
        <w:ind w:firstLine="640"/>
      </w:pPr>
      <w:r>
        <w:t>3.未对所有绩效评价结果差的项目进行研究分析，未见相关改进措施和解决办法，无法体现评价效果；绩效评价结果和单位预算编制管理关联性不强。</w:t>
      </w:r>
    </w:p>
    <w:p>
      <w:pPr>
        <w:pStyle w:val="4"/>
        <w:ind w:firstLine="640"/>
      </w:pPr>
      <w:bookmarkStart w:id="5" w:name="_Toc5175"/>
      <w:r>
        <w:t>（二）政府采购执行率偏低</w:t>
      </w:r>
      <w:bookmarkEnd w:id="5"/>
    </w:p>
    <w:p>
      <w:pPr>
        <w:ind w:firstLine="640"/>
      </w:pPr>
      <w:r>
        <w:t>2021年单位政府采购预算金额374.60万元，实际交易金额287.11万元，政府采购执行率76.65%，政府采购执行率偏低。</w:t>
      </w:r>
    </w:p>
    <w:p>
      <w:pPr>
        <w:pStyle w:val="4"/>
        <w:ind w:firstLine="640"/>
      </w:pPr>
      <w:bookmarkStart w:id="6" w:name="_Toc28370"/>
      <w:r>
        <w:t>（三）资产管理水平有待提升</w:t>
      </w:r>
      <w:bookmarkEnd w:id="6"/>
    </w:p>
    <w:p>
      <w:pPr>
        <w:ind w:firstLine="640"/>
      </w:pPr>
      <w:r>
        <w:t>经过评价人员的抽查，发现单位资产台账更新不及时，部分资产未粘贴资产标签；另发现固定资产利用率不高，资产管理制度执行不彻底的问题。</w:t>
      </w:r>
    </w:p>
    <w:p>
      <w:pPr>
        <w:pStyle w:val="4"/>
        <w:ind w:firstLine="640"/>
      </w:pPr>
      <w:r>
        <w:t>（四）5G基站建设任务未完成</w:t>
      </w:r>
    </w:p>
    <w:p>
      <w:pPr>
        <w:ind w:firstLine="640"/>
      </w:pPr>
      <w:r>
        <w:t>根据《广州市推进信息基础设施发展工作领导小组办公室关于印发2021年5G基站建设计划的通知》，从化区2021年共需建成基站562座，但未见相关资料能证明该事项的工作进度。</w:t>
      </w:r>
    </w:p>
    <w:p>
      <w:pPr>
        <w:pStyle w:val="4"/>
        <w:ind w:firstLine="640"/>
      </w:pPr>
      <w:r>
        <w:t>（五）补贴审核工作仍有提升空间</w:t>
      </w:r>
    </w:p>
    <w:p>
      <w:pPr>
        <w:ind w:firstLine="640"/>
      </w:pPr>
      <w:r>
        <w:t>战略性新兴产业发展专项资金补贴审核工作聘请第三方机构出具审核意见，审核过程较独立，但是审核意见表述单一，不能体现审核过程的科学性和合理性。</w:t>
      </w:r>
    </w:p>
    <w:p>
      <w:pPr>
        <w:pStyle w:val="3"/>
        <w:numPr>
          <w:ilvl w:val="0"/>
          <w:numId w:val="1"/>
        </w:numPr>
        <w:ind w:firstLine="640"/>
      </w:pPr>
      <w:r>
        <w:rPr>
          <w:rFonts w:hint="eastAsia"/>
        </w:rPr>
        <w:t>改进建议</w:t>
      </w:r>
    </w:p>
    <w:p>
      <w:pPr>
        <w:pStyle w:val="4"/>
        <w:ind w:firstLine="640"/>
      </w:pPr>
      <w:bookmarkStart w:id="7" w:name="_Toc9479"/>
      <w:r>
        <w:t>（一）提升绩效管理水平</w:t>
      </w:r>
      <w:bookmarkEnd w:id="7"/>
    </w:p>
    <w:p>
      <w:pPr>
        <w:ind w:firstLine="640"/>
      </w:pPr>
      <w:r>
        <w:t>建议该预算部门加强预算绩效管理意识，做到：</w:t>
      </w:r>
    </w:p>
    <w:p>
      <w:pPr>
        <w:ind w:firstLine="640"/>
      </w:pPr>
      <w:r>
        <w:t>1.面向整个部门开展绩效管理培训工作，提升整个部门绩效管理资料填报的规范性；加大业务部门对绩效指标设置的参与程度，做到设置的绩效目标能准确、全面的衡量项目预期效果的程度</w:t>
      </w:r>
      <w:r>
        <w:rPr>
          <w:rFonts w:hint="eastAsia"/>
        </w:rPr>
        <w:t>。</w:t>
      </w:r>
    </w:p>
    <w:p>
      <w:pPr>
        <w:ind w:firstLine="640"/>
      </w:pPr>
      <w:r>
        <w:t>2.建立绩效评价结果与本单位预算编制管理相挂钩工作机制，加大绩效管理和预算管理的关联性，调整预算时也要对绩效目标进行调整，保证绩效评价结果的准确性。</w:t>
      </w:r>
    </w:p>
    <w:p>
      <w:pPr>
        <w:pStyle w:val="4"/>
        <w:ind w:firstLine="640"/>
      </w:pPr>
      <w:bookmarkStart w:id="8" w:name="_Toc23245"/>
      <w:r>
        <w:t>（二）加强政府采购管理工作</w:t>
      </w:r>
      <w:bookmarkEnd w:id="8"/>
    </w:p>
    <w:p>
      <w:pPr>
        <w:ind w:firstLine="640"/>
      </w:pPr>
      <w:r>
        <w:t>建议该预算部门建立政府采购与预算、财务、资产、使用等业务机构或岗位之间沟通协调的工作机制，对各项采购工作进行定期和不定期的监督检查，实时深入了解本级和下属单位的政府采购工作情况，降低政府采购工作中的问题或风险。实施预算执行进度通报制度，前三季度按季通报，第四季度按月通报，督促采购人高度重视并切实加快预算执行进度。</w:t>
      </w:r>
    </w:p>
    <w:p>
      <w:pPr>
        <w:pStyle w:val="4"/>
        <w:ind w:firstLine="640"/>
      </w:pPr>
      <w:bookmarkStart w:id="9" w:name="_Toc32565"/>
      <w:r>
        <w:t>（三）提升资产管理意识，提升资产管理水平</w:t>
      </w:r>
      <w:bookmarkEnd w:id="9"/>
    </w:p>
    <w:p>
      <w:pPr>
        <w:ind w:firstLine="640"/>
      </w:pPr>
      <w:r>
        <w:t>1、加强固定资产内控管理，健全内控制度体系，落实固定资产保管责任。一是规范固定资产使用流程，从资产计划、购置、验收直至报废处置，划分不同部门、不同岗位的具体责任，确定主要负责人，监控资产流动情况，以制度为保障，确保资产安全完整。二是严格办理入库、登记等手续，及时进行账务处理，谨防漏记固定资产，张贴标识标牌，表明使用人与管理人。三是建立领用与移交制度，领用时登记信息，如发生人员变动办理转移手续，必要时交回资产，重新分配。四是建立联动机制，注重企业各部门间的信息与沟通顺畅，避免出现“信息孤岛”，一定程度上实现共享共用，提高资产使用效益。</w:t>
      </w:r>
    </w:p>
    <w:p>
      <w:pPr>
        <w:ind w:firstLine="640"/>
      </w:pPr>
      <w:r>
        <w:t>2. 加强固定资产定期盘点，详细记录盘点时间与内容，认真核对账目，根据实际情况进行更新，相应增减账簿记录，确保账实相符。</w:t>
      </w:r>
    </w:p>
    <w:p>
      <w:pPr>
        <w:pStyle w:val="4"/>
        <w:ind w:firstLine="640"/>
      </w:pPr>
      <w:r>
        <w:t>（四）加快5G基站建设进度</w:t>
      </w:r>
    </w:p>
    <w:p>
      <w:pPr>
        <w:ind w:firstLine="640"/>
      </w:pPr>
      <w:r>
        <w:t>加快5G基站建设进度，做好建设进度统计工作。</w:t>
      </w:r>
    </w:p>
    <w:p>
      <w:pPr>
        <w:pStyle w:val="4"/>
        <w:ind w:firstLine="640"/>
      </w:pPr>
      <w:r>
        <w:t>（五）提升补贴审核工作质量</w:t>
      </w:r>
    </w:p>
    <w:p>
      <w:pPr>
        <w:ind w:firstLine="640"/>
      </w:pPr>
      <w:r>
        <w:t>考虑到该预算部门的补贴类型和补贴对象范围较广，建议修订补贴审核管理办法，规范补贴审核流程，细化补贴标准，提升补贴审核科学性。</w:t>
      </w:r>
    </w:p>
    <w:p>
      <w:pPr>
        <w:ind w:firstLine="0" w:firstLineChars="0"/>
      </w:pPr>
    </w:p>
    <w:p>
      <w:pPr>
        <w:ind w:firstLine="0" w:firstLineChars="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3165E"/>
    <w:multiLevelType w:val="multilevel"/>
    <w:tmpl w:val="3403165E"/>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2B31B55"/>
    <w:multiLevelType w:val="singleLevel"/>
    <w:tmpl w:val="62B31B5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2A953155"/>
    <w:rsid w:val="00002F43"/>
    <w:rsid w:val="00086AC2"/>
    <w:rsid w:val="001C2325"/>
    <w:rsid w:val="001F41B5"/>
    <w:rsid w:val="00202085"/>
    <w:rsid w:val="00271C4E"/>
    <w:rsid w:val="00310818"/>
    <w:rsid w:val="003E727E"/>
    <w:rsid w:val="004F7706"/>
    <w:rsid w:val="005745F4"/>
    <w:rsid w:val="00643F2D"/>
    <w:rsid w:val="007B1F0E"/>
    <w:rsid w:val="007F6CFD"/>
    <w:rsid w:val="00810AB3"/>
    <w:rsid w:val="00822813"/>
    <w:rsid w:val="008C4476"/>
    <w:rsid w:val="008C46C4"/>
    <w:rsid w:val="00A02D68"/>
    <w:rsid w:val="00A54FA4"/>
    <w:rsid w:val="00AB7D14"/>
    <w:rsid w:val="00B05972"/>
    <w:rsid w:val="00BC0DA6"/>
    <w:rsid w:val="00BD08B7"/>
    <w:rsid w:val="00C132F7"/>
    <w:rsid w:val="00F3600A"/>
    <w:rsid w:val="00F430A9"/>
    <w:rsid w:val="07C54AD9"/>
    <w:rsid w:val="08A6025D"/>
    <w:rsid w:val="0CF96D1F"/>
    <w:rsid w:val="0D164F00"/>
    <w:rsid w:val="0D451D05"/>
    <w:rsid w:val="12AE057A"/>
    <w:rsid w:val="13A43F2F"/>
    <w:rsid w:val="15C44C09"/>
    <w:rsid w:val="193D71F3"/>
    <w:rsid w:val="1DA90758"/>
    <w:rsid w:val="1ED16F30"/>
    <w:rsid w:val="24295C50"/>
    <w:rsid w:val="2A061E11"/>
    <w:rsid w:val="2A953155"/>
    <w:rsid w:val="2C7E6A0F"/>
    <w:rsid w:val="2DFF5DDF"/>
    <w:rsid w:val="2FFB44C2"/>
    <w:rsid w:val="318311E4"/>
    <w:rsid w:val="347A33E5"/>
    <w:rsid w:val="367217D1"/>
    <w:rsid w:val="368F6178"/>
    <w:rsid w:val="39760F12"/>
    <w:rsid w:val="39EA114B"/>
    <w:rsid w:val="3A91750A"/>
    <w:rsid w:val="3CFA521A"/>
    <w:rsid w:val="458A0FC3"/>
    <w:rsid w:val="4AC9180A"/>
    <w:rsid w:val="4AF40FA1"/>
    <w:rsid w:val="4CD8527F"/>
    <w:rsid w:val="56494DB0"/>
    <w:rsid w:val="570E068D"/>
    <w:rsid w:val="57DA46C2"/>
    <w:rsid w:val="585F3CF0"/>
    <w:rsid w:val="5A0A3907"/>
    <w:rsid w:val="5B0C08FC"/>
    <w:rsid w:val="5E5662F7"/>
    <w:rsid w:val="6025396A"/>
    <w:rsid w:val="60E52355"/>
    <w:rsid w:val="60F07D9B"/>
    <w:rsid w:val="61A44D62"/>
    <w:rsid w:val="641065E3"/>
    <w:rsid w:val="64783763"/>
    <w:rsid w:val="647A6C66"/>
    <w:rsid w:val="64FC7C2F"/>
    <w:rsid w:val="671B2967"/>
    <w:rsid w:val="671C49CF"/>
    <w:rsid w:val="68237057"/>
    <w:rsid w:val="689165D7"/>
    <w:rsid w:val="6A5D2190"/>
    <w:rsid w:val="6B0C1333"/>
    <w:rsid w:val="6CB12B16"/>
    <w:rsid w:val="6E0E0133"/>
    <w:rsid w:val="6E5E65A2"/>
    <w:rsid w:val="6FD8534C"/>
    <w:rsid w:val="75B92284"/>
    <w:rsid w:val="79606526"/>
    <w:rsid w:val="7AA85207"/>
    <w:rsid w:val="7C736C00"/>
    <w:rsid w:val="7DEA0036"/>
    <w:rsid w:val="7E321080"/>
    <w:rsid w:val="7EC36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ind w:firstLine="0" w:firstLineChars="0"/>
      <w:jc w:val="left"/>
      <w:outlineLvl w:val="0"/>
    </w:pPr>
    <w:rPr>
      <w:rFonts w:eastAsia="宋体"/>
      <w:b/>
      <w:kern w:val="44"/>
      <w:sz w:val="44"/>
    </w:rPr>
  </w:style>
  <w:style w:type="paragraph" w:styleId="3">
    <w:name w:val="heading 2"/>
    <w:basedOn w:val="1"/>
    <w:next w:val="1"/>
    <w:link w:val="12"/>
    <w:unhideWhenUsed/>
    <w:qFormat/>
    <w:uiPriority w:val="0"/>
    <w:pPr>
      <w:outlineLvl w:val="1"/>
    </w:pPr>
    <w:rPr>
      <w:rFonts w:eastAsia="黑体"/>
    </w:rPr>
  </w:style>
  <w:style w:type="paragraph" w:styleId="4">
    <w:name w:val="heading 3"/>
    <w:basedOn w:val="1"/>
    <w:next w:val="1"/>
    <w:unhideWhenUsed/>
    <w:qFormat/>
    <w:uiPriority w:val="0"/>
    <w:pPr>
      <w:outlineLvl w:val="2"/>
    </w:pPr>
    <w:rPr>
      <w:rFonts w:eastAsia="楷体"/>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4"/>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toc 2"/>
    <w:next w:val="1"/>
    <w:qFormat/>
    <w:uiPriority w:val="39"/>
    <w:pPr>
      <w:widowControl w:val="0"/>
      <w:spacing w:line="560" w:lineRule="exact"/>
      <w:ind w:left="420" w:leftChars="200" w:firstLine="883" w:firstLineChars="200"/>
      <w:jc w:val="both"/>
    </w:pPr>
    <w:rPr>
      <w:rFonts w:ascii="Times New Roman" w:hAnsi="Times New Roman" w:eastAsia="仿宋_GB2312" w:cs="Times New Roman"/>
      <w:kern w:val="2"/>
      <w:sz w:val="32"/>
      <w:szCs w:val="24"/>
      <w:lang w:val="en-US" w:eastAsia="zh-CN" w:bidi="ar-SA"/>
    </w:rPr>
  </w:style>
  <w:style w:type="paragraph" w:customStyle="1" w:styleId="10">
    <w:name w:val="一级标题"/>
    <w:basedOn w:val="1"/>
    <w:qFormat/>
    <w:uiPriority w:val="0"/>
    <w:rPr>
      <w:rFonts w:hint="eastAsia" w:eastAsia="黑体" w:cs="黑体"/>
      <w:b/>
      <w:snapToGrid w:val="0"/>
      <w:kern w:val="0"/>
      <w:szCs w:val="32"/>
    </w:rPr>
  </w:style>
  <w:style w:type="paragraph" w:customStyle="1" w:styleId="11">
    <w:name w:val="二级标题"/>
    <w:basedOn w:val="1"/>
    <w:qFormat/>
    <w:uiPriority w:val="0"/>
    <w:rPr>
      <w:rFonts w:hint="eastAsia"/>
      <w:snapToGrid w:val="0"/>
      <w:kern w:val="0"/>
      <w:szCs w:val="32"/>
    </w:rPr>
  </w:style>
  <w:style w:type="character" w:customStyle="1" w:styleId="12">
    <w:name w:val="标题 2 字符"/>
    <w:link w:val="3"/>
    <w:qFormat/>
    <w:uiPriority w:val="0"/>
    <w:rPr>
      <w:rFonts w:ascii="Times New Roman" w:hAnsi="Times New Roman" w:eastAsia="黑体" w:cs="Times New Roman"/>
      <w:kern w:val="2"/>
      <w:sz w:val="32"/>
      <w:szCs w:val="24"/>
    </w:rPr>
  </w:style>
  <w:style w:type="character" w:customStyle="1" w:styleId="13">
    <w:name w:val="页眉 字符"/>
    <w:basedOn w:val="9"/>
    <w:link w:val="6"/>
    <w:qFormat/>
    <w:uiPriority w:val="0"/>
    <w:rPr>
      <w:rFonts w:ascii="Times New Roman" w:hAnsi="Times New Roman" w:eastAsia="仿宋_GB2312" w:cs="Times New Roman"/>
      <w:kern w:val="2"/>
      <w:sz w:val="18"/>
      <w:szCs w:val="18"/>
    </w:rPr>
  </w:style>
  <w:style w:type="character" w:customStyle="1" w:styleId="14">
    <w:name w:val="页脚 字符"/>
    <w:basedOn w:val="9"/>
    <w:link w:val="5"/>
    <w:qFormat/>
    <w:uiPriority w:val="99"/>
    <w:rPr>
      <w:rFonts w:ascii="Times New Roman" w:hAnsi="Times New Roman" w:eastAsia="仿宋_GB2312" w:cs="Times New Roman"/>
      <w:kern w:val="2"/>
      <w:sz w:val="18"/>
      <w:szCs w:val="18"/>
    </w:rPr>
  </w:style>
  <w:style w:type="paragraph" w:styleId="15">
    <w:name w:val="No Spacing"/>
    <w:qFormat/>
    <w:uiPriority w:val="1"/>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519</Words>
  <Characters>2962</Characters>
  <Lines>24</Lines>
  <Paragraphs>6</Paragraphs>
  <TotalTime>0</TotalTime>
  <ScaleCrop>false</ScaleCrop>
  <LinksUpToDate>false</LinksUpToDate>
  <CharactersWithSpaces>3475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2022-09-27T03:14:00Z</dcterms:created>
  <dc:creator>风继续吹</dc:creator>
  <cp:lastModifiedBy>周怡</cp:lastModifiedBy>
  <dcterms:modified xsi:type="dcterms:W3CDTF">2022-12-01T03:25:44Z</dcterms:modified>
  <dc:title>2021年广州市从化区科技工业商业和信息化局部门整体支出绩效评价简要报告</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41C85220900548A4A1DA7D6C2622BDE1</vt:lpwstr>
  </property>
</Properties>
</file>