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2021年度广州市从化区人力资源和社会保障局部门整体支出绩效自评复核简要报告</w:t>
      </w:r>
    </w:p>
    <w:p>
      <w:pPr>
        <w:pStyle w:val="10"/>
        <w:ind w:firstLine="640"/>
        <w:jc w:val="center"/>
        <w:rPr>
          <w:rFonts w:hint="eastAsia"/>
        </w:rPr>
      </w:pPr>
    </w:p>
    <w:p>
      <w:pPr>
        <w:pStyle w:val="10"/>
        <w:ind w:firstLine="640"/>
        <w:jc w:val="center"/>
      </w:pPr>
      <w:r>
        <w:rPr>
          <w:rFonts w:hint="eastAsia"/>
        </w:rPr>
        <w:t>广东诚安信会计师事务所（特殊普通合伙）</w:t>
      </w:r>
    </w:p>
    <w:p>
      <w:pPr>
        <w:ind w:firstLine="640"/>
      </w:pPr>
      <w:bookmarkStart w:id="0" w:name="_GoBack"/>
      <w:bookmarkEnd w:id="0"/>
    </w:p>
    <w:p>
      <w:pPr>
        <w:pStyle w:val="3"/>
        <w:ind w:firstLine="640"/>
      </w:pPr>
      <w:r>
        <w:rPr>
          <w:rFonts w:hint="eastAsia"/>
        </w:rPr>
        <w:t>一、复核概况</w:t>
      </w:r>
    </w:p>
    <w:p>
      <w:pPr>
        <w:ind w:firstLine="640"/>
      </w:pPr>
      <w:r>
        <w:rPr>
          <w:rFonts w:hint="eastAsia"/>
        </w:rPr>
        <w:t>受广州市从化区财政局的委托，广东诚安信会计师事务所（特殊普通合伙）对从化区人力资源和社会保障局2021年部门整体绩效自评实施复核工作，形成复核报告。</w:t>
      </w:r>
    </w:p>
    <w:p>
      <w:pPr>
        <w:ind w:firstLine="640"/>
      </w:pPr>
      <w:r>
        <w:rPr>
          <w:rFonts w:hint="eastAsia"/>
        </w:rPr>
        <w:t>经过对广州市从化区人力资源和社会保障局</w:t>
      </w:r>
      <w:r>
        <w:t>2021年度部门整体支出绩效自评复核评分表指标逐一打分，该项目绩效累计得86.42分。</w:t>
      </w:r>
    </w:p>
    <w:p>
      <w:pPr>
        <w:pStyle w:val="4"/>
        <w:numPr>
          <w:ilvl w:val="0"/>
          <w:numId w:val="1"/>
        </w:numPr>
        <w:ind w:firstLineChars="0"/>
      </w:pPr>
      <w:r>
        <w:rPr>
          <w:rFonts w:hint="eastAsia"/>
        </w:rPr>
        <w:t>部门概况</w:t>
      </w:r>
    </w:p>
    <w:p>
      <w:pPr>
        <w:ind w:firstLine="640"/>
      </w:pPr>
      <w:r>
        <w:rPr>
          <w:rFonts w:hint="eastAsia"/>
        </w:rPr>
        <w:t>该预算部门负责统筹本区城乡就业发展规划，完善公共就业服务体系；贯彻实施《社会保险法》，建立统筹本区覆盖城乡社会保障体系，实施机关事业单位养老保险和职业年金制度；负责专业技术人才队伍建设；实施机关、事业单位人员工资收入分配政策；实施统筹劳动人事争议预防、调解、仲裁制度，组织实施劳动保障监察，协调劳动者维权，依法查处违法案件。</w:t>
      </w:r>
    </w:p>
    <w:p>
      <w:pPr>
        <w:ind w:firstLine="640"/>
      </w:pPr>
      <w:r>
        <w:rPr>
          <w:rFonts w:hint="eastAsia"/>
        </w:rPr>
        <w:t>该预算部门包括：本级单位广州市从化区人力资源和社会保障局，下属单位包括参公事业单位5个，财政核拨事业单位6个。</w:t>
      </w:r>
    </w:p>
    <w:p>
      <w:pPr>
        <w:pStyle w:val="4"/>
        <w:ind w:firstLine="640"/>
      </w:pPr>
      <w:r>
        <w:rPr>
          <w:rFonts w:hint="eastAsia"/>
        </w:rPr>
        <w:t>（二）部门资金情况</w:t>
      </w:r>
    </w:p>
    <w:p>
      <w:pPr>
        <w:ind w:firstLine="640"/>
      </w:pPr>
      <w:r>
        <w:t>2021年部门整体支出全年预算数44,560.44万元，其中基本支出</w:t>
      </w:r>
      <w:r>
        <w:rPr>
          <w:rFonts w:hint="eastAsia"/>
        </w:rPr>
        <w:t>4,242.23</w:t>
      </w:r>
      <w:r>
        <w:t>万元，项目支出</w:t>
      </w:r>
      <w:r>
        <w:rPr>
          <w:rFonts w:hint="eastAsia"/>
        </w:rPr>
        <w:t>40,310.05</w:t>
      </w:r>
      <w:r>
        <w:t>万元。全年执行数44,552.28万元，预算执行率达到99.</w:t>
      </w:r>
      <w:r>
        <w:rPr>
          <w:rFonts w:hint="eastAsia"/>
        </w:rPr>
        <w:t>24</w:t>
      </w:r>
      <w:r>
        <w:t>%。其中基本支出4,242.23万元，项目支出40,310.05万元。</w:t>
      </w:r>
    </w:p>
    <w:p>
      <w:pPr>
        <w:pStyle w:val="3"/>
        <w:ind w:firstLine="640"/>
      </w:pPr>
      <w:r>
        <w:rPr>
          <w:rFonts w:hint="eastAsia"/>
        </w:rPr>
        <w:t>二、绩效目标</w:t>
      </w:r>
    </w:p>
    <w:p>
      <w:pPr>
        <w:pStyle w:val="4"/>
        <w:ind w:firstLine="640"/>
      </w:pPr>
      <w:r>
        <w:rPr>
          <w:rFonts w:hint="eastAsia"/>
        </w:rPr>
        <w:t>（一）目标设置情况</w:t>
      </w:r>
    </w:p>
    <w:p>
      <w:pPr>
        <w:ind w:firstLine="640"/>
      </w:pPr>
      <w:r>
        <w:rPr>
          <w:rFonts w:hint="eastAsia"/>
        </w:rPr>
        <w:t>根据《部门整体支出绩效自评表》，</w:t>
      </w:r>
      <w:r>
        <w:t>2021年度整体绩效目标</w:t>
      </w:r>
      <w:r>
        <w:rPr>
          <w:rFonts w:hint="eastAsia"/>
        </w:rPr>
        <w:t>为</w:t>
      </w:r>
      <w:r>
        <w:t>：广州市从化区人力资源和社会保障局将立足新发展阶段，贯彻新发展理念，构建新发展格局，全力促进就业创业，健全社会保障体系，加强人才服务管理，构建和谐劳动关系，推动经济社会持续健康发展。一是实现更高质量更充分就业。积极开展职业技能培训，解决因疫情影响形成的招工难、就业难问题。做好应届高校毕业生就业保障工作，全力确保就业形势稳定。二是深入实施三大工程。提升从化区劳动者综合技能素质。三是推进社保经办业务“一门一窗”办理。落实社保业务全市通办。四是实施更加积极、</w:t>
      </w:r>
      <w:r>
        <w:rPr>
          <w:rFonts w:hint="eastAsia"/>
        </w:rPr>
        <w:t>有效、精准的人才政策。五是坚定不移维护劳动关系和谐稳定，完善劳动关系调处机制。扎实做好保障农民工工资支付工作，加强劳资纠纷案件的处理及隐患排查化解工作。</w:t>
      </w:r>
    </w:p>
    <w:p>
      <w:pPr>
        <w:pStyle w:val="4"/>
        <w:ind w:firstLine="640"/>
      </w:pPr>
      <w:r>
        <w:rPr>
          <w:rFonts w:hint="eastAsia"/>
        </w:rPr>
        <w:t>（二）目标完成情况</w:t>
      </w:r>
    </w:p>
    <w:p>
      <w:pPr>
        <w:ind w:firstLine="640"/>
      </w:pPr>
      <w:r>
        <w:rPr>
          <w:rFonts w:hint="eastAsia"/>
        </w:rPr>
        <w:t>本次复核指标体系共设置履职情况指标22个</w:t>
      </w:r>
      <w:r>
        <w:t>以考核该项目2021年度的绩效情况</w:t>
      </w:r>
      <w:r>
        <w:rPr>
          <w:rFonts w:hint="eastAsia"/>
        </w:rPr>
        <w:t>。</w:t>
      </w:r>
    </w:p>
    <w:p>
      <w:pPr>
        <w:pStyle w:val="2"/>
        <w:ind w:left="640" w:firstLine="640"/>
      </w:pPr>
      <w:r>
        <w:rPr>
          <w:rFonts w:hint="eastAsia"/>
        </w:rPr>
        <w:t>经复核，部门绩效指标完成情况如下：</w:t>
      </w:r>
    </w:p>
    <w:tbl>
      <w:tblPr>
        <w:tblStyle w:val="8"/>
        <w:tblW w:w="9782" w:type="dxa"/>
        <w:tblInd w:w="-431" w:type="dxa"/>
        <w:tblLayout w:type="fixed"/>
        <w:tblCellMar>
          <w:top w:w="0" w:type="dxa"/>
          <w:left w:w="108" w:type="dxa"/>
          <w:bottom w:w="0" w:type="dxa"/>
          <w:right w:w="108" w:type="dxa"/>
        </w:tblCellMar>
      </w:tblPr>
      <w:tblGrid>
        <w:gridCol w:w="2731"/>
        <w:gridCol w:w="2231"/>
        <w:gridCol w:w="4820"/>
      </w:tblGrid>
      <w:tr>
        <w:tblPrEx>
          <w:tblLayout w:type="fixed"/>
          <w:tblCellMar>
            <w:top w:w="0" w:type="dxa"/>
            <w:left w:w="108" w:type="dxa"/>
            <w:bottom w:w="0" w:type="dxa"/>
            <w:right w:w="108" w:type="dxa"/>
          </w:tblCellMar>
        </w:tblPrEx>
        <w:trPr>
          <w:trHeight w:val="416" w:hRule="atLeast"/>
          <w:tblHeader/>
        </w:trPr>
        <w:tc>
          <w:tcPr>
            <w:tcW w:w="2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szCs w:val="24"/>
              </w:rPr>
            </w:pPr>
            <w:r>
              <w:rPr>
                <w:rFonts w:hint="eastAsia" w:ascii="宋体" w:hAnsi="宋体" w:eastAsia="宋体" w:cs="宋体"/>
                <w:kern w:val="0"/>
                <w:sz w:val="24"/>
                <w:szCs w:val="24"/>
              </w:rPr>
              <w:t>指标名称</w:t>
            </w:r>
          </w:p>
        </w:tc>
        <w:tc>
          <w:tcPr>
            <w:tcW w:w="223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szCs w:val="24"/>
              </w:rPr>
            </w:pPr>
            <w:r>
              <w:rPr>
                <w:rFonts w:hint="eastAsia" w:ascii="宋体" w:hAnsi="宋体" w:eastAsia="宋体" w:cs="宋体"/>
                <w:kern w:val="0"/>
                <w:sz w:val="24"/>
                <w:szCs w:val="24"/>
              </w:rPr>
              <w:t>目标值</w:t>
            </w:r>
          </w:p>
        </w:tc>
        <w:tc>
          <w:tcPr>
            <w:tcW w:w="48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szCs w:val="24"/>
              </w:rPr>
            </w:pPr>
            <w:r>
              <w:rPr>
                <w:rFonts w:hint="eastAsia" w:ascii="宋体" w:hAnsi="宋体" w:eastAsia="宋体" w:cs="宋体"/>
                <w:kern w:val="0"/>
                <w:sz w:val="24"/>
                <w:szCs w:val="24"/>
              </w:rPr>
              <w:t>实现完成值</w:t>
            </w:r>
          </w:p>
        </w:tc>
      </w:tr>
      <w:tr>
        <w:tblPrEx>
          <w:tblLayout w:type="fixed"/>
          <w:tblCellMar>
            <w:top w:w="0" w:type="dxa"/>
            <w:left w:w="108" w:type="dxa"/>
            <w:bottom w:w="0" w:type="dxa"/>
            <w:right w:w="108" w:type="dxa"/>
          </w:tblCellMar>
        </w:tblPrEx>
        <w:trPr>
          <w:trHeight w:val="52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享受创业类补贴企业家次数完成率</w:t>
            </w:r>
          </w:p>
        </w:tc>
        <w:tc>
          <w:tcPr>
            <w:tcW w:w="2231"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90.00%以上</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符合申请条件的企业3748家次，实际发放企业3748家次</w:t>
            </w:r>
          </w:p>
        </w:tc>
      </w:tr>
      <w:tr>
        <w:tblPrEx>
          <w:tblLayout w:type="fixed"/>
          <w:tblCellMar>
            <w:top w:w="0" w:type="dxa"/>
            <w:left w:w="108" w:type="dxa"/>
            <w:bottom w:w="0" w:type="dxa"/>
            <w:right w:w="108" w:type="dxa"/>
          </w:tblCellMar>
        </w:tblPrEx>
        <w:trPr>
          <w:trHeight w:val="78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享受招用就业困难人员社会保险补贴企业家次数完成率</w:t>
            </w:r>
          </w:p>
        </w:tc>
        <w:tc>
          <w:tcPr>
            <w:tcW w:w="2231"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90.00%以上</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符合申请条件的企业611家次，实际发放企业611家次</w:t>
            </w:r>
          </w:p>
        </w:tc>
      </w:tr>
      <w:tr>
        <w:tblPrEx>
          <w:tblLayout w:type="fixed"/>
          <w:tblCellMar>
            <w:top w:w="0" w:type="dxa"/>
            <w:left w:w="108" w:type="dxa"/>
            <w:bottom w:w="0" w:type="dxa"/>
            <w:right w:w="108" w:type="dxa"/>
          </w:tblCellMar>
        </w:tblPrEx>
        <w:trPr>
          <w:trHeight w:val="52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发放灵活就业社会保险补贴人次数完成率</w:t>
            </w:r>
          </w:p>
        </w:tc>
        <w:tc>
          <w:tcPr>
            <w:tcW w:w="2231"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90.00%以上</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符合申请条件的21937人次，实际发放21937人次</w:t>
            </w:r>
          </w:p>
        </w:tc>
      </w:tr>
      <w:tr>
        <w:tblPrEx>
          <w:tblLayout w:type="fixed"/>
          <w:tblCellMar>
            <w:top w:w="0" w:type="dxa"/>
            <w:left w:w="108" w:type="dxa"/>
            <w:bottom w:w="0" w:type="dxa"/>
            <w:right w:w="108" w:type="dxa"/>
          </w:tblCellMar>
        </w:tblPrEx>
        <w:trPr>
          <w:trHeight w:val="52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补贴到基层就业高校毕业生人次数完成率</w:t>
            </w:r>
          </w:p>
        </w:tc>
        <w:tc>
          <w:tcPr>
            <w:tcW w:w="2231"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90.00%以上</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符合申请条件的2373人次，实际发放2373人次</w:t>
            </w:r>
          </w:p>
        </w:tc>
      </w:tr>
      <w:tr>
        <w:tblPrEx>
          <w:tblLayout w:type="fixed"/>
          <w:tblCellMar>
            <w:top w:w="0" w:type="dxa"/>
            <w:left w:w="108" w:type="dxa"/>
            <w:bottom w:w="0" w:type="dxa"/>
            <w:right w:w="108" w:type="dxa"/>
          </w:tblCellMar>
        </w:tblPrEx>
        <w:trPr>
          <w:trHeight w:val="78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就业困难人员再就业人数完成率</w:t>
            </w:r>
          </w:p>
        </w:tc>
        <w:tc>
          <w:tcPr>
            <w:tcW w:w="2231"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90.00%以上</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计划就业困难人员再就业2508人次，实际完成就业困难人员再就业4491人次</w:t>
            </w:r>
          </w:p>
        </w:tc>
      </w:tr>
      <w:tr>
        <w:tblPrEx>
          <w:tblLayout w:type="fixed"/>
          <w:tblCellMar>
            <w:top w:w="0" w:type="dxa"/>
            <w:left w:w="108" w:type="dxa"/>
            <w:bottom w:w="0" w:type="dxa"/>
            <w:right w:w="108" w:type="dxa"/>
          </w:tblCellMar>
        </w:tblPrEx>
        <w:trPr>
          <w:trHeight w:val="104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三大目录范围内报销率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≥90%</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2021年范围内报销金91532667.86元，实际报销金额85350526.72元，报销率为93.25%。</w:t>
            </w:r>
          </w:p>
        </w:tc>
      </w:tr>
      <w:tr>
        <w:tblPrEx>
          <w:tblLayout w:type="fixed"/>
          <w:tblCellMar>
            <w:top w:w="0" w:type="dxa"/>
            <w:left w:w="108" w:type="dxa"/>
            <w:bottom w:w="0" w:type="dxa"/>
            <w:right w:w="108" w:type="dxa"/>
          </w:tblCellMar>
        </w:tblPrEx>
        <w:trPr>
          <w:trHeight w:val="78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初审不符合报销规定比例比率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2021年总收票数9652笔，退票数4笔，不符合报销比例为0.04%。</w:t>
            </w:r>
          </w:p>
        </w:tc>
      </w:tr>
      <w:tr>
        <w:tblPrEx>
          <w:tblLayout w:type="fixed"/>
          <w:tblCellMar>
            <w:top w:w="0" w:type="dxa"/>
            <w:left w:w="108" w:type="dxa"/>
            <w:bottom w:w="0" w:type="dxa"/>
            <w:right w:w="108" w:type="dxa"/>
          </w:tblCellMar>
        </w:tblPrEx>
        <w:trPr>
          <w:trHeight w:val="28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业务处理及时率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≥98.00%</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业务处理及时率为100%。</w:t>
            </w:r>
          </w:p>
        </w:tc>
      </w:tr>
      <w:tr>
        <w:tblPrEx>
          <w:tblLayout w:type="fixed"/>
          <w:tblCellMar>
            <w:top w:w="0" w:type="dxa"/>
            <w:left w:w="108" w:type="dxa"/>
            <w:bottom w:w="0" w:type="dxa"/>
            <w:right w:w="108" w:type="dxa"/>
          </w:tblCellMar>
        </w:tblPrEx>
        <w:trPr>
          <w:trHeight w:val="104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基层医院资金拨款及时率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100.00%</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2021年基层医院资金应拨款数10844930.14元，实际资金拨款10844930.14元，及时率为100%。</w:t>
            </w:r>
          </w:p>
        </w:tc>
      </w:tr>
      <w:tr>
        <w:tblPrEx>
          <w:tblLayout w:type="fixed"/>
          <w:tblCellMar>
            <w:top w:w="0" w:type="dxa"/>
            <w:left w:w="108" w:type="dxa"/>
            <w:bottom w:w="0" w:type="dxa"/>
            <w:right w:w="108" w:type="dxa"/>
          </w:tblCellMar>
        </w:tblPrEx>
        <w:trPr>
          <w:trHeight w:val="78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行政事业单位人员纳入公费医疗率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100.00%</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2021年行政事业单位总人数18786人，实际参加公费医疗人数18786人，达到100%。</w:t>
            </w:r>
          </w:p>
        </w:tc>
      </w:tr>
      <w:tr>
        <w:tblPrEx>
          <w:tblLayout w:type="fixed"/>
          <w:tblCellMar>
            <w:top w:w="0" w:type="dxa"/>
            <w:left w:w="108" w:type="dxa"/>
            <w:bottom w:w="0" w:type="dxa"/>
            <w:right w:w="108" w:type="dxa"/>
          </w:tblCellMar>
        </w:tblPrEx>
        <w:trPr>
          <w:trHeight w:val="52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补贴发放完成率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2021年应发放人数3301人，实际发放人数3159人</w:t>
            </w:r>
          </w:p>
        </w:tc>
      </w:tr>
      <w:tr>
        <w:tblPrEx>
          <w:tblLayout w:type="fixed"/>
          <w:tblCellMar>
            <w:top w:w="0" w:type="dxa"/>
            <w:left w:w="108" w:type="dxa"/>
            <w:bottom w:w="0" w:type="dxa"/>
            <w:right w:w="108" w:type="dxa"/>
          </w:tblCellMar>
        </w:tblPrEx>
        <w:trPr>
          <w:trHeight w:val="57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补贴（资助）错发率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0%</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全年未错发补贴</w:t>
            </w:r>
          </w:p>
        </w:tc>
      </w:tr>
      <w:tr>
        <w:tblPrEx>
          <w:tblLayout w:type="fixed"/>
          <w:tblCellMar>
            <w:top w:w="0" w:type="dxa"/>
            <w:left w:w="108" w:type="dxa"/>
            <w:bottom w:w="0" w:type="dxa"/>
            <w:right w:w="108" w:type="dxa"/>
          </w:tblCellMar>
        </w:tblPrEx>
        <w:trPr>
          <w:trHeight w:val="78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补贴发放及时率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全年计划发放38812人次，实际完成发放38812人次，及时率为100%。</w:t>
            </w:r>
          </w:p>
        </w:tc>
      </w:tr>
      <w:tr>
        <w:tblPrEx>
          <w:tblLayout w:type="fixed"/>
          <w:tblCellMar>
            <w:top w:w="0" w:type="dxa"/>
            <w:left w:w="108" w:type="dxa"/>
            <w:bottom w:w="0" w:type="dxa"/>
            <w:right w:w="108" w:type="dxa"/>
          </w:tblCellMar>
        </w:tblPrEx>
        <w:trPr>
          <w:trHeight w:val="28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投诉处理率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全年未收到有效投诉。</w:t>
            </w:r>
          </w:p>
        </w:tc>
      </w:tr>
      <w:tr>
        <w:tblPrEx>
          <w:tblLayout w:type="fixed"/>
          <w:tblCellMar>
            <w:top w:w="0" w:type="dxa"/>
            <w:left w:w="108" w:type="dxa"/>
            <w:bottom w:w="0" w:type="dxa"/>
            <w:right w:w="108" w:type="dxa"/>
          </w:tblCellMar>
        </w:tblPrEx>
        <w:trPr>
          <w:trHeight w:val="78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“三支一扶”毕业生参保率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100.00%</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2021年应参保人数66人，实际参保人数66人，参保率为100%。</w:t>
            </w:r>
          </w:p>
        </w:tc>
      </w:tr>
      <w:tr>
        <w:tblPrEx>
          <w:tblLayout w:type="fixed"/>
          <w:tblCellMar>
            <w:top w:w="0" w:type="dxa"/>
            <w:left w:w="108" w:type="dxa"/>
            <w:bottom w:w="0" w:type="dxa"/>
            <w:right w:w="108" w:type="dxa"/>
          </w:tblCellMar>
        </w:tblPrEx>
        <w:trPr>
          <w:trHeight w:val="78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“三支一扶”毕业生期满考核合格率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≧90%</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2021年参加考核人数22人，期满考核合格人数22人，合格率为100%。</w:t>
            </w:r>
          </w:p>
        </w:tc>
      </w:tr>
      <w:tr>
        <w:tblPrEx>
          <w:tblLayout w:type="fixed"/>
          <w:tblCellMar>
            <w:top w:w="0" w:type="dxa"/>
            <w:left w:w="108" w:type="dxa"/>
            <w:bottom w:w="0" w:type="dxa"/>
            <w:right w:w="108" w:type="dxa"/>
          </w:tblCellMar>
        </w:tblPrEx>
        <w:trPr>
          <w:trHeight w:val="78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“三支一扶”毕业生服务期满率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90.00%</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2021年“三支一扶”毕业生服务期满人数22人，毕业生人数29人服务期满率为75.86%。</w:t>
            </w:r>
          </w:p>
        </w:tc>
      </w:tr>
      <w:tr>
        <w:tblPrEx>
          <w:tblLayout w:type="fixed"/>
          <w:tblCellMar>
            <w:top w:w="0" w:type="dxa"/>
            <w:left w:w="108" w:type="dxa"/>
            <w:bottom w:w="0" w:type="dxa"/>
            <w:right w:w="108" w:type="dxa"/>
          </w:tblCellMar>
        </w:tblPrEx>
        <w:trPr>
          <w:trHeight w:val="104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“三支一扶”毕业生到镇街进行乡村振兴工作覆盖率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80.00%</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2021年“三支一扶”到岗后实际进行乡村振兴工作7个镇街，计划8个街镇，覆盖率为87.5%。</w:t>
            </w:r>
          </w:p>
        </w:tc>
      </w:tr>
      <w:tr>
        <w:tblPrEx>
          <w:tblLayout w:type="fixed"/>
          <w:tblCellMar>
            <w:top w:w="0" w:type="dxa"/>
            <w:left w:w="108" w:type="dxa"/>
            <w:bottom w:w="0" w:type="dxa"/>
            <w:right w:w="108" w:type="dxa"/>
          </w:tblCellMar>
        </w:tblPrEx>
        <w:trPr>
          <w:trHeight w:val="104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企业劳动合同签订率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99%</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2021年日常巡查各类用人单位616家，日常巡查签订劳动合同用人单位数616家，签订率为100%。</w:t>
            </w:r>
          </w:p>
        </w:tc>
      </w:tr>
      <w:tr>
        <w:tblPrEx>
          <w:tblLayout w:type="fixed"/>
          <w:tblCellMar>
            <w:top w:w="0" w:type="dxa"/>
            <w:left w:w="108" w:type="dxa"/>
            <w:bottom w:w="0" w:type="dxa"/>
            <w:right w:w="108" w:type="dxa"/>
          </w:tblCellMar>
        </w:tblPrEx>
        <w:trPr>
          <w:trHeight w:val="78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涉劳资纠纷隐患化解率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98%</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2021年12345工单总数1327宗，全部办结，涉劳资纠纷隐患化解率为100%。</w:t>
            </w:r>
          </w:p>
        </w:tc>
      </w:tr>
      <w:tr>
        <w:tblPrEx>
          <w:tblLayout w:type="fixed"/>
          <w:tblCellMar>
            <w:top w:w="0" w:type="dxa"/>
            <w:left w:w="108" w:type="dxa"/>
            <w:bottom w:w="0" w:type="dxa"/>
            <w:right w:w="108" w:type="dxa"/>
          </w:tblCellMar>
        </w:tblPrEx>
        <w:trPr>
          <w:trHeight w:val="52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涉劳资纠纷突发性事件成功处置率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95%</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2021年突发性事件总数26宗，全部解决</w:t>
            </w:r>
          </w:p>
        </w:tc>
      </w:tr>
      <w:tr>
        <w:tblPrEx>
          <w:tblLayout w:type="fixed"/>
          <w:tblCellMar>
            <w:top w:w="0" w:type="dxa"/>
            <w:left w:w="108" w:type="dxa"/>
            <w:bottom w:w="0" w:type="dxa"/>
            <w:right w:w="108" w:type="dxa"/>
          </w:tblCellMar>
        </w:tblPrEx>
        <w:trPr>
          <w:trHeight w:val="520" w:hRule="atLeast"/>
        </w:trPr>
        <w:tc>
          <w:tcPr>
            <w:tcW w:w="2731"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涉劳资纠纷群体性事件成功处置率</w:t>
            </w:r>
          </w:p>
        </w:tc>
        <w:tc>
          <w:tcPr>
            <w:tcW w:w="223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95%</w:t>
            </w:r>
          </w:p>
        </w:tc>
        <w:tc>
          <w:tcPr>
            <w:tcW w:w="48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2021年30人以上的群体性突发事件总数0次。</w:t>
            </w:r>
          </w:p>
        </w:tc>
      </w:tr>
    </w:tbl>
    <w:p>
      <w:pPr>
        <w:ind w:firstLine="640"/>
      </w:pPr>
    </w:p>
    <w:p>
      <w:pPr>
        <w:pStyle w:val="3"/>
        <w:ind w:firstLine="640"/>
      </w:pPr>
      <w:r>
        <w:rPr>
          <w:rFonts w:hint="eastAsia"/>
        </w:rPr>
        <w:t>三、存在的主要问题及建议</w:t>
      </w:r>
    </w:p>
    <w:p>
      <w:pPr>
        <w:pStyle w:val="4"/>
        <w:ind w:firstLine="640"/>
      </w:pPr>
      <w:r>
        <w:rPr>
          <w:rFonts w:hint="eastAsia"/>
        </w:rPr>
        <w:t>（一）存在问题</w:t>
      </w:r>
    </w:p>
    <w:p>
      <w:pPr>
        <w:ind w:firstLine="640"/>
      </w:pPr>
      <w:r>
        <w:rPr>
          <w:rFonts w:hint="eastAsia"/>
        </w:rPr>
        <w:t>1.绩效自评工作仍有提升空间</w:t>
      </w:r>
    </w:p>
    <w:p>
      <w:pPr>
        <w:ind w:firstLine="640"/>
      </w:pPr>
      <w:r>
        <w:rPr>
          <w:rFonts w:hint="eastAsia"/>
        </w:rPr>
        <w:t>根据《部门整体绩效自评表》，部分指标未填写评分依据；未见针对部门整体监控结果和预算执行较慢项目的深入研究分析、改进措施；未见预算管理和绩效管理挂钩的情况。</w:t>
      </w:r>
    </w:p>
    <w:p>
      <w:pPr>
        <w:ind w:firstLine="640"/>
      </w:pPr>
      <w:r>
        <w:rPr>
          <w:rFonts w:hint="eastAsia"/>
        </w:rPr>
        <w:t>2.政府采购工作有待加强</w:t>
      </w:r>
    </w:p>
    <w:p>
      <w:pPr>
        <w:ind w:firstLine="640"/>
      </w:pPr>
      <w:r>
        <w:rPr>
          <w:rFonts w:hint="eastAsia"/>
        </w:rPr>
        <w:t>政府采购执行率较低。</w:t>
      </w:r>
    </w:p>
    <w:p>
      <w:pPr>
        <w:ind w:firstLine="640"/>
      </w:pPr>
      <w:r>
        <w:rPr>
          <w:rFonts w:hint="eastAsia"/>
        </w:rPr>
        <w:t>3.资产管理仍有提升空间</w:t>
      </w:r>
    </w:p>
    <w:p>
      <w:pPr>
        <w:ind w:firstLine="640"/>
      </w:pPr>
      <w:r>
        <w:rPr>
          <w:rFonts w:hint="eastAsia"/>
        </w:rPr>
        <w:t>单位资产管理制度的内容过于空泛，未详细规定资产日常如何管理，如何定期盘点、如何报废等内容；另发现资产账与财务账不符。</w:t>
      </w:r>
    </w:p>
    <w:p>
      <w:pPr>
        <w:pStyle w:val="4"/>
        <w:ind w:firstLine="640"/>
      </w:pPr>
      <w:r>
        <w:rPr>
          <w:rFonts w:hint="eastAsia"/>
        </w:rPr>
        <w:t>（二）改进建议</w:t>
      </w:r>
    </w:p>
    <w:p>
      <w:pPr>
        <w:ind w:firstLine="640"/>
      </w:pPr>
      <w:r>
        <w:rPr>
          <w:rFonts w:hint="eastAsia"/>
        </w:rPr>
        <w:t>1.规范绩效管理工作</w:t>
      </w:r>
    </w:p>
    <w:p>
      <w:pPr>
        <w:ind w:firstLine="640"/>
      </w:pPr>
      <w:r>
        <w:rPr>
          <w:rFonts w:hint="eastAsia"/>
        </w:rPr>
        <w:t>建议严格按照区财政局的要求实施绩效申报、绩效监控、绩效指标调整和绩效自评工作，加强绩效管理工作与预算管理工作的关联性，提升绩效评价工作的实用性。</w:t>
      </w:r>
    </w:p>
    <w:p>
      <w:pPr>
        <w:ind w:firstLine="640"/>
      </w:pPr>
      <w:r>
        <w:rPr>
          <w:rFonts w:hint="eastAsia"/>
        </w:rPr>
        <w:t>2.完善政府采购管理工作</w:t>
      </w:r>
    </w:p>
    <w:p>
      <w:pPr>
        <w:ind w:firstLine="640"/>
      </w:pPr>
      <w:r>
        <w:rPr>
          <w:rFonts w:hint="eastAsia"/>
        </w:rPr>
        <w:t>建议完善政府采购预算编制工作，单位应该按照市场调研、科学评估论证结果，尽量明确采购时间、采购需求、采购标段采购方式等内容，编实编细编全政府采购计划。</w:t>
      </w:r>
    </w:p>
    <w:p>
      <w:pPr>
        <w:ind w:firstLine="640"/>
      </w:pPr>
      <w:r>
        <w:rPr>
          <w:rFonts w:hint="eastAsia"/>
        </w:rPr>
        <w:t>4．加强资产管理工作</w:t>
      </w:r>
    </w:p>
    <w:p>
      <w:pPr>
        <w:ind w:firstLine="640"/>
      </w:pPr>
      <w:r>
        <w:rPr>
          <w:rFonts w:hint="eastAsia"/>
        </w:rPr>
        <w:t>建议健全资产管理制度的内容，明确资产使用人、责任人、管理人的责任，明确申请领用、调拨转移、报废封存等环节的规定和手续，及时入账；定期盘点固定资产，确保账账、账卡、账实相符。</w:t>
      </w:r>
    </w:p>
    <w:p>
      <w:pPr>
        <w:pStyle w:val="10"/>
        <w:ind w:firstLine="640"/>
      </w:pPr>
    </w:p>
    <w:p>
      <w:pPr>
        <w:pStyle w:val="10"/>
        <w:ind w:firstLine="640"/>
        <w:jc w:val="right"/>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E5408B"/>
    <w:multiLevelType w:val="multilevel"/>
    <w:tmpl w:val="41E5408B"/>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wZWRiOTdiNmQwMDdjZmU4MzFhYTM5ZmRiZWJjMzYifQ=="/>
  </w:docVars>
  <w:rsids>
    <w:rsidRoot w:val="00A06B19"/>
    <w:rsid w:val="0000107E"/>
    <w:rsid w:val="000F2088"/>
    <w:rsid w:val="001907BA"/>
    <w:rsid w:val="001B0DB9"/>
    <w:rsid w:val="00347C1D"/>
    <w:rsid w:val="003C484B"/>
    <w:rsid w:val="00441DE4"/>
    <w:rsid w:val="004856A2"/>
    <w:rsid w:val="004F4DF3"/>
    <w:rsid w:val="0055553C"/>
    <w:rsid w:val="00634039"/>
    <w:rsid w:val="007068AE"/>
    <w:rsid w:val="00763110"/>
    <w:rsid w:val="007B1725"/>
    <w:rsid w:val="007B68BE"/>
    <w:rsid w:val="00824F62"/>
    <w:rsid w:val="008A5FED"/>
    <w:rsid w:val="00A06B19"/>
    <w:rsid w:val="00A35628"/>
    <w:rsid w:val="00A74582"/>
    <w:rsid w:val="00B75459"/>
    <w:rsid w:val="00BF4B28"/>
    <w:rsid w:val="00CD71E2"/>
    <w:rsid w:val="00CF75B3"/>
    <w:rsid w:val="00D73AA7"/>
    <w:rsid w:val="00DF417E"/>
    <w:rsid w:val="00E03C30"/>
    <w:rsid w:val="00E42D33"/>
    <w:rsid w:val="00E55FDF"/>
    <w:rsid w:val="00EF6AE4"/>
    <w:rsid w:val="00F27FFB"/>
    <w:rsid w:val="00FA6AEF"/>
    <w:rsid w:val="00FA7383"/>
    <w:rsid w:val="00FD6C4A"/>
    <w:rsid w:val="01E946EB"/>
    <w:rsid w:val="0E123554"/>
    <w:rsid w:val="1A034839"/>
    <w:rsid w:val="2A4F65F2"/>
    <w:rsid w:val="30585564"/>
    <w:rsid w:val="4AE574C4"/>
    <w:rsid w:val="53554502"/>
    <w:rsid w:val="551B54CD"/>
    <w:rsid w:val="585C15CD"/>
    <w:rsid w:val="68645D8B"/>
    <w:rsid w:val="72082C3D"/>
    <w:rsid w:val="736F1D42"/>
    <w:rsid w:val="7EB87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80" w:lineRule="exact"/>
      <w:ind w:firstLine="200" w:firstLineChars="200"/>
      <w:jc w:val="both"/>
    </w:pPr>
    <w:rPr>
      <w:rFonts w:eastAsia="仿宋_GB2312" w:asciiTheme="minorHAnsi" w:hAnsiTheme="minorHAnsi" w:cstheme="minorBidi"/>
      <w:kern w:val="2"/>
      <w:sz w:val="32"/>
      <w:szCs w:val="22"/>
      <w:lang w:val="en-US" w:eastAsia="zh-CN" w:bidi="ar-SA"/>
    </w:rPr>
  </w:style>
  <w:style w:type="paragraph" w:styleId="3">
    <w:name w:val="heading 1"/>
    <w:basedOn w:val="1"/>
    <w:next w:val="1"/>
    <w:link w:val="12"/>
    <w:qFormat/>
    <w:uiPriority w:val="9"/>
    <w:pPr>
      <w:outlineLvl w:val="0"/>
    </w:pPr>
    <w:rPr>
      <w:rFonts w:eastAsia="黑体"/>
      <w:bCs/>
      <w:kern w:val="44"/>
      <w:szCs w:val="44"/>
    </w:rPr>
  </w:style>
  <w:style w:type="paragraph" w:styleId="4">
    <w:name w:val="heading 2"/>
    <w:basedOn w:val="1"/>
    <w:next w:val="1"/>
    <w:link w:val="11"/>
    <w:unhideWhenUsed/>
    <w:qFormat/>
    <w:uiPriority w:val="9"/>
    <w:pPr>
      <w:outlineLvl w:val="1"/>
    </w:pPr>
    <w:rPr>
      <w:rFonts w:eastAsia="楷体" w:asciiTheme="majorHAnsi" w:hAnsiTheme="majorHAnsi" w:cstheme="majorBidi"/>
      <w:bCs/>
      <w:szCs w:val="32"/>
    </w:rPr>
  </w:style>
  <w:style w:type="paragraph" w:styleId="5">
    <w:name w:val="heading 3"/>
    <w:basedOn w:val="1"/>
    <w:next w:val="1"/>
    <w:link w:val="14"/>
    <w:semiHidden/>
    <w:unhideWhenUsed/>
    <w:qFormat/>
    <w:uiPriority w:val="9"/>
    <w:pPr>
      <w:keepNext/>
      <w:keepLines/>
      <w:spacing w:before="260" w:after="260" w:line="416" w:lineRule="atLeast"/>
      <w:outlineLvl w:val="2"/>
    </w:pPr>
    <w:rPr>
      <w:b/>
      <w:bCs/>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next w:val="1"/>
    <w:qFormat/>
    <w:uiPriority w:val="0"/>
    <w:pPr>
      <w:ind w:left="420" w:leftChars="200" w:firstLine="883"/>
    </w:pPr>
  </w:style>
  <w:style w:type="paragraph" w:styleId="6">
    <w:name w:val="footer"/>
    <w:basedOn w:val="1"/>
    <w:link w:val="16"/>
    <w:unhideWhenUsed/>
    <w:qFormat/>
    <w:uiPriority w:val="99"/>
    <w:pPr>
      <w:tabs>
        <w:tab w:val="center" w:pos="4153"/>
        <w:tab w:val="right" w:pos="8306"/>
      </w:tabs>
      <w:snapToGrid w:val="0"/>
      <w:spacing w:line="240" w:lineRule="atLeast"/>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0">
    <w:name w:val="No Spacing"/>
    <w:qFormat/>
    <w:uiPriority w:val="1"/>
    <w:pPr>
      <w:widowControl w:val="0"/>
      <w:spacing w:line="580" w:lineRule="exact"/>
      <w:ind w:firstLine="200" w:firstLineChars="200"/>
      <w:jc w:val="both"/>
    </w:pPr>
    <w:rPr>
      <w:rFonts w:eastAsia="仿宋_GB2312" w:asciiTheme="minorHAnsi" w:hAnsiTheme="minorHAnsi" w:cstheme="minorBidi"/>
      <w:kern w:val="2"/>
      <w:sz w:val="32"/>
      <w:szCs w:val="22"/>
      <w:lang w:val="en-US" w:eastAsia="zh-CN" w:bidi="ar-SA"/>
    </w:rPr>
  </w:style>
  <w:style w:type="character" w:customStyle="1" w:styleId="11">
    <w:name w:val="标题 2 字符"/>
    <w:basedOn w:val="9"/>
    <w:link w:val="4"/>
    <w:qFormat/>
    <w:uiPriority w:val="9"/>
    <w:rPr>
      <w:rFonts w:eastAsia="楷体" w:asciiTheme="majorHAnsi" w:hAnsiTheme="majorHAnsi" w:cstheme="majorBidi"/>
      <w:bCs/>
      <w:kern w:val="2"/>
      <w:sz w:val="32"/>
      <w:szCs w:val="32"/>
    </w:rPr>
  </w:style>
  <w:style w:type="character" w:customStyle="1" w:styleId="12">
    <w:name w:val="标题 1 字符"/>
    <w:basedOn w:val="9"/>
    <w:link w:val="3"/>
    <w:qFormat/>
    <w:uiPriority w:val="9"/>
    <w:rPr>
      <w:rFonts w:eastAsia="黑体"/>
      <w:bCs/>
      <w:kern w:val="44"/>
      <w:sz w:val="32"/>
      <w:szCs w:val="44"/>
    </w:rPr>
  </w:style>
  <w:style w:type="paragraph" w:styleId="13">
    <w:name w:val="List Paragraph"/>
    <w:basedOn w:val="1"/>
    <w:qFormat/>
    <w:uiPriority w:val="34"/>
    <w:pPr>
      <w:ind w:firstLine="420"/>
    </w:pPr>
  </w:style>
  <w:style w:type="character" w:customStyle="1" w:styleId="14">
    <w:name w:val="标题 3 字符"/>
    <w:basedOn w:val="9"/>
    <w:link w:val="5"/>
    <w:semiHidden/>
    <w:qFormat/>
    <w:uiPriority w:val="9"/>
    <w:rPr>
      <w:rFonts w:eastAsia="仿宋_GB2312"/>
      <w:b/>
      <w:bCs/>
      <w:sz w:val="32"/>
      <w:szCs w:val="32"/>
    </w:rPr>
  </w:style>
  <w:style w:type="character" w:customStyle="1" w:styleId="15">
    <w:name w:val="页眉 字符"/>
    <w:basedOn w:val="9"/>
    <w:link w:val="7"/>
    <w:qFormat/>
    <w:uiPriority w:val="99"/>
    <w:rPr>
      <w:rFonts w:eastAsia="仿宋_GB2312"/>
      <w:sz w:val="18"/>
      <w:szCs w:val="18"/>
    </w:rPr>
  </w:style>
  <w:style w:type="character" w:customStyle="1" w:styleId="16">
    <w:name w:val="页脚 字符"/>
    <w:basedOn w:val="9"/>
    <w:link w:val="6"/>
    <w:qFormat/>
    <w:uiPriority w:val="99"/>
    <w:rPr>
      <w:rFonts w:eastAsia="仿宋_GB231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404</Words>
  <Characters>2307</Characters>
  <Lines>19</Lines>
  <Paragraphs>5</Paragraphs>
  <TotalTime>0</TotalTime>
  <ScaleCrop>false</ScaleCrop>
  <LinksUpToDate>false</LinksUpToDate>
  <CharactersWithSpaces>2706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2022-09-09T06:22:00Z</dcterms:created>
  <dc:creator>Yuan Raine</dc:creator>
  <cp:lastModifiedBy>周怡</cp:lastModifiedBy>
  <dcterms:modified xsi:type="dcterms:W3CDTF">2022-12-01T03:29:03Z</dcterms:modified>
  <dc:title>2021年度广州市从化区人力资源和社会保障局部门整体支出绩效自评复核简要报告</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1EDE57D7D5F043689396C365385D18B2</vt:lpwstr>
  </property>
</Properties>
</file>