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0" w:firstLineChars="0"/>
        <w:rPr>
          <w:rFonts w:ascii="宋体" w:hAnsi="宋体" w:eastAsia="宋体" w:cs="宋体"/>
          <w:color w:val="000000"/>
          <w:sz w:val="44"/>
          <w:szCs w:val="44"/>
        </w:rPr>
      </w:pPr>
    </w:p>
    <w:p>
      <w:pPr>
        <w:spacing w:line="560" w:lineRule="exact"/>
        <w:ind w:firstLine="0" w:firstLineChars="0"/>
        <w:jc w:val="center"/>
        <w:rPr>
          <w:rFonts w:hint="eastAsia" w:ascii="方正小标宋_GBK" w:hAnsi="方正小标宋_GBK" w:eastAsia="方正小标宋_GBK" w:cs="方正小标宋_GBK"/>
          <w:b w:val="0"/>
          <w:bCs w:val="0"/>
          <w:color w:val="000000"/>
          <w:sz w:val="44"/>
          <w:szCs w:val="44"/>
        </w:rPr>
      </w:pPr>
      <w:r>
        <w:rPr>
          <w:rFonts w:hint="eastAsia" w:ascii="方正小标宋_GBK" w:hAnsi="方正小标宋_GBK" w:eastAsia="方正小标宋_GBK" w:cs="方正小标宋_GBK"/>
          <w:b w:val="0"/>
          <w:bCs w:val="0"/>
          <w:color w:val="000000"/>
          <w:sz w:val="44"/>
          <w:szCs w:val="44"/>
        </w:rPr>
        <w:t>2021年从化区农业农村局北部山区补助资金项目绩效评价简要报告</w:t>
      </w:r>
    </w:p>
    <w:p>
      <w:pPr>
        <w:spacing w:line="560" w:lineRule="exact"/>
        <w:ind w:firstLine="880"/>
        <w:jc w:val="center"/>
        <w:rPr>
          <w:rFonts w:ascii="方正小标宋简体" w:hAnsi="方正小标宋简体" w:eastAsia="方正小标宋简体" w:cs="方正小标宋简体"/>
          <w:b/>
          <w:bCs/>
          <w:color w:val="000000"/>
          <w:sz w:val="44"/>
          <w:szCs w:val="44"/>
        </w:rPr>
      </w:pPr>
    </w:p>
    <w:p>
      <w:pPr>
        <w:spacing w:line="560" w:lineRule="exact"/>
        <w:ind w:firstLine="880"/>
        <w:jc w:val="center"/>
        <w:rPr>
          <w:rFonts w:hint="eastAsia" w:hAnsi="仿宋_GB2312" w:cs="仿宋_GB2312"/>
          <w:bCs/>
          <w:szCs w:val="32"/>
        </w:rPr>
      </w:pPr>
      <w:r>
        <w:rPr>
          <w:rFonts w:hint="eastAsia" w:hAnsi="仿宋_GB2312" w:cs="仿宋_GB2312"/>
          <w:bCs/>
          <w:szCs w:val="32"/>
        </w:rPr>
        <w:t>广东诚安信会计师事务所（特殊普通合伙）</w:t>
      </w:r>
    </w:p>
    <w:p>
      <w:pPr>
        <w:spacing w:line="560" w:lineRule="exact"/>
        <w:ind w:firstLine="880"/>
        <w:jc w:val="center"/>
        <w:rPr>
          <w:rFonts w:hint="eastAsia" w:hAnsi="仿宋_GB2312" w:cs="仿宋_GB2312"/>
          <w:bCs/>
          <w:szCs w:val="32"/>
        </w:rPr>
      </w:pPr>
      <w:bookmarkStart w:id="5" w:name="_GoBack"/>
      <w:bookmarkEnd w:id="5"/>
    </w:p>
    <w:p>
      <w:pPr>
        <w:pStyle w:val="2"/>
        <w:ind w:firstLine="640"/>
      </w:pPr>
      <w:r>
        <w:rPr>
          <w:rFonts w:hint="eastAsia"/>
        </w:rPr>
        <w:t>一、评价概况</w:t>
      </w:r>
    </w:p>
    <w:p>
      <w:pPr>
        <w:spacing w:line="560" w:lineRule="exact"/>
        <w:ind w:firstLine="640"/>
        <w:jc w:val="left"/>
        <w:rPr>
          <w:rFonts w:hAnsi="仿宋_GB2312" w:cs="仿宋_GB2312"/>
          <w:szCs w:val="32"/>
        </w:rPr>
      </w:pPr>
      <w:r>
        <w:rPr>
          <w:rFonts w:hint="eastAsia" w:hAnsi="仿宋_GB2312" w:cs="仿宋_GB2312"/>
          <w:szCs w:val="32"/>
        </w:rPr>
        <w:t>受广州市从化区财政局委托，广东诚安信会计师事务所（特殊普通合伙）对从化区农业农村局北部山区补助资金项目2021年的工作情况实施第三方绩效评价，形成绩效评价报告。</w:t>
      </w:r>
    </w:p>
    <w:p>
      <w:pPr>
        <w:spacing w:line="560" w:lineRule="exact"/>
        <w:ind w:firstLine="640"/>
        <w:jc w:val="left"/>
        <w:rPr>
          <w:rFonts w:hAnsi="仿宋_GB2312" w:cs="仿宋_GB2312"/>
          <w:szCs w:val="32"/>
        </w:rPr>
      </w:pPr>
      <w:r>
        <w:rPr>
          <w:rFonts w:hint="eastAsia" w:hAnsi="仿宋_GB2312" w:cs="仿宋_GB2312"/>
          <w:szCs w:val="32"/>
        </w:rPr>
        <w:t>经过一系列查验程序，北部山区补助资金项目绩效评价最终得分</w:t>
      </w:r>
      <w:r>
        <w:rPr>
          <w:rFonts w:hAnsi="仿宋_GB2312" w:cs="仿宋_GB2312"/>
          <w:szCs w:val="32"/>
        </w:rPr>
        <w:t>79分，绩效等级为“中”。</w:t>
      </w:r>
    </w:p>
    <w:p>
      <w:pPr>
        <w:pStyle w:val="3"/>
        <w:ind w:firstLine="640"/>
        <w:rPr>
          <w:rFonts w:hAnsi="仿宋_GB2312" w:cs="仿宋_GB2312"/>
          <w:b/>
        </w:rPr>
      </w:pPr>
      <w:r>
        <w:rPr>
          <w:rFonts w:hint="eastAsia"/>
        </w:rPr>
        <w:t>（一）项目情况</w:t>
      </w:r>
    </w:p>
    <w:p>
      <w:pPr>
        <w:ind w:firstLine="640"/>
        <w:rPr>
          <w:rFonts w:hAnsi="仿宋_GB2312" w:cs="仿宋_GB2312"/>
          <w:szCs w:val="32"/>
        </w:rPr>
      </w:pPr>
      <w:r>
        <w:rPr>
          <w:rFonts w:hint="eastAsia" w:hAnsi="仿宋_GB2312" w:cs="仿宋_GB2312"/>
          <w:szCs w:val="32"/>
        </w:rPr>
        <w:t>北部山区补助资金项目（以下简称“该项目”）的工作内容为：强化乡村公共基础设施和公共服务体系建设，从水、电、路等基础设施入手改善北部山区的日常生活，加强农村公共卫生、公共文化体育服务等设施建设；提升人居环境，改善村容村貌，推进农村生活污水治理，改善农村水系面貌，完善农村路网，进行公路危桥改造，增设挡墙、围栏等防护设施保障居民出行安全；加强农村公共设施的管养，强化日常设施管护，完善公共设施运行效能评价体系，加强设施运维管理监督考核；振兴革命老区建设，推进农村闲置地的盘活利用</w:t>
      </w:r>
      <w:r>
        <w:rPr>
          <w:rFonts w:hint="eastAsia" w:ascii="仿宋" w:hAnsi="仿宋"/>
        </w:rPr>
        <w:t>。</w:t>
      </w:r>
    </w:p>
    <w:p>
      <w:pPr>
        <w:pStyle w:val="3"/>
        <w:ind w:firstLine="640"/>
      </w:pPr>
      <w:r>
        <w:rPr>
          <w:rFonts w:hint="eastAsia"/>
        </w:rPr>
        <w:t>（二）项目资金情况</w:t>
      </w:r>
    </w:p>
    <w:p>
      <w:pPr>
        <w:ind w:firstLine="640"/>
        <w:rPr>
          <w:lang w:val="zh-CN"/>
        </w:rPr>
      </w:pPr>
      <w:r>
        <w:rPr>
          <w:rFonts w:hint="eastAsia"/>
          <w:lang w:val="zh-CN"/>
        </w:rPr>
        <w:t>该项目2021年年初预算金额为18,580万元，调整后预算金额为11,395.00万元，实际支出11,826.56万元。</w:t>
      </w:r>
    </w:p>
    <w:p>
      <w:pPr>
        <w:pStyle w:val="2"/>
        <w:ind w:firstLine="640"/>
      </w:pPr>
      <w:r>
        <w:rPr>
          <w:rFonts w:hint="eastAsia"/>
        </w:rPr>
        <w:t>二项目绩效目标</w:t>
      </w:r>
    </w:p>
    <w:p>
      <w:pPr>
        <w:ind w:firstLine="640"/>
        <w:rPr>
          <w:rFonts w:hAnsi="仿宋_GB2312" w:cs="仿宋_GB2312"/>
          <w:szCs w:val="32"/>
        </w:rPr>
      </w:pPr>
      <w:r>
        <w:rPr>
          <w:rFonts w:hint="eastAsia" w:hAnsi="仿宋_GB2312" w:cs="仿宋_GB2312"/>
          <w:szCs w:val="32"/>
        </w:rPr>
        <w:t>根据从化区农业农村局提供的项目支出绩效自评表，本项目的年度绩效目标为：北部农村地区基础设施持续完善，公共服务均等化水平持续提升，北部地区乡村振兴引领示范和表率作用不断增强</w:t>
      </w:r>
      <w:r>
        <w:rPr>
          <w:rFonts w:hAnsi="仿宋_GB2312" w:cs="仿宋_GB2312"/>
          <w:szCs w:val="32"/>
        </w:rPr>
        <w:t>。</w:t>
      </w:r>
    </w:p>
    <w:p>
      <w:pPr>
        <w:ind w:firstLine="640"/>
        <w:rPr>
          <w:rFonts w:hAnsi="仿宋_GB2312" w:cs="仿宋_GB2312"/>
          <w:szCs w:val="32"/>
        </w:rPr>
      </w:pPr>
      <w:r>
        <w:rPr>
          <w:rFonts w:hint="eastAsia" w:hAnsi="仿宋_GB2312" w:cs="仿宋_GB2312"/>
          <w:szCs w:val="32"/>
        </w:rPr>
        <w:t>本次绩效评价指标体系共设置履职效能指标10个</w:t>
      </w:r>
      <w:r>
        <w:rPr>
          <w:rFonts w:hAnsi="仿宋_GB2312" w:cs="仿宋_GB2312"/>
          <w:szCs w:val="32"/>
        </w:rPr>
        <w:t>以考核该项目2021年度的绩效情况</w:t>
      </w:r>
      <w:r>
        <w:rPr>
          <w:rFonts w:hint="eastAsia" w:hAnsi="仿宋_GB2312" w:cs="仿宋_GB2312"/>
          <w:szCs w:val="32"/>
        </w:rPr>
        <w:t>，</w:t>
      </w:r>
      <w:r>
        <w:rPr>
          <w:rFonts w:hAnsi="仿宋_GB2312" w:cs="仿宋_GB2312"/>
          <w:szCs w:val="32"/>
        </w:rPr>
        <w:t>其中产出指标</w:t>
      </w:r>
      <w:r>
        <w:rPr>
          <w:rFonts w:hint="eastAsia" w:hAnsi="仿宋_GB2312" w:cs="仿宋_GB2312"/>
          <w:szCs w:val="32"/>
        </w:rPr>
        <w:t>6</w:t>
      </w:r>
      <w:r>
        <w:rPr>
          <w:rFonts w:hAnsi="仿宋_GB2312" w:cs="仿宋_GB2312"/>
          <w:szCs w:val="32"/>
        </w:rPr>
        <w:t>个、效益指标</w:t>
      </w:r>
      <w:r>
        <w:rPr>
          <w:rFonts w:hint="eastAsia" w:hAnsi="仿宋_GB2312" w:cs="仿宋_GB2312"/>
          <w:szCs w:val="32"/>
        </w:rPr>
        <w:t>4</w:t>
      </w:r>
      <w:r>
        <w:rPr>
          <w:rFonts w:hAnsi="仿宋_GB2312" w:cs="仿宋_GB2312"/>
          <w:szCs w:val="32"/>
        </w:rPr>
        <w:t>个</w:t>
      </w:r>
      <w:r>
        <w:rPr>
          <w:rFonts w:hint="eastAsia" w:hAnsi="仿宋_GB2312" w:cs="仿宋_GB2312"/>
          <w:szCs w:val="32"/>
        </w:rPr>
        <w:t>。</w:t>
      </w:r>
    </w:p>
    <w:p>
      <w:pPr>
        <w:ind w:firstLine="640"/>
        <w:rPr>
          <w:rFonts w:hAnsi="仿宋_GB2312" w:cs="仿宋_GB2312"/>
          <w:szCs w:val="32"/>
        </w:rPr>
      </w:pPr>
      <w:r>
        <w:rPr>
          <w:rFonts w:hint="eastAsia" w:hAnsi="仿宋_GB2312" w:cs="仿宋_GB2312"/>
          <w:szCs w:val="32"/>
        </w:rPr>
        <w:t>经查验，项目绩效指标完成情况如下：</w:t>
      </w:r>
    </w:p>
    <w:tbl>
      <w:tblPr>
        <w:tblStyle w:val="6"/>
        <w:tblW w:w="8620" w:type="dxa"/>
        <w:tblInd w:w="0" w:type="dxa"/>
        <w:tblLayout w:type="fixed"/>
        <w:tblCellMar>
          <w:top w:w="0" w:type="dxa"/>
          <w:left w:w="108" w:type="dxa"/>
          <w:bottom w:w="0" w:type="dxa"/>
          <w:right w:w="108" w:type="dxa"/>
        </w:tblCellMar>
      </w:tblPr>
      <w:tblGrid>
        <w:gridCol w:w="2380"/>
        <w:gridCol w:w="2400"/>
        <w:gridCol w:w="3840"/>
      </w:tblGrid>
      <w:tr>
        <w:tblPrEx>
          <w:tblLayout w:type="fixed"/>
          <w:tblCellMar>
            <w:top w:w="0" w:type="dxa"/>
            <w:left w:w="108" w:type="dxa"/>
            <w:bottom w:w="0" w:type="dxa"/>
            <w:right w:w="108" w:type="dxa"/>
          </w:tblCellMar>
        </w:tblPrEx>
        <w:trPr>
          <w:trHeight w:val="427" w:hRule="atLeast"/>
        </w:trPr>
        <w:tc>
          <w:tcPr>
            <w:tcW w:w="23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4"/>
              </w:rPr>
            </w:pPr>
            <w:r>
              <w:rPr>
                <w:rFonts w:hint="eastAsia" w:ascii="宋体" w:hAnsi="宋体" w:eastAsia="宋体" w:cs="宋体"/>
                <w:kern w:val="0"/>
                <w:sz w:val="24"/>
              </w:rPr>
              <w:t>指标名称</w:t>
            </w:r>
          </w:p>
        </w:tc>
        <w:tc>
          <w:tcPr>
            <w:tcW w:w="240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4"/>
              </w:rPr>
            </w:pPr>
            <w:r>
              <w:rPr>
                <w:rFonts w:hint="eastAsia" w:ascii="宋体" w:hAnsi="宋体" w:eastAsia="宋体" w:cs="宋体"/>
                <w:kern w:val="0"/>
                <w:sz w:val="24"/>
              </w:rPr>
              <w:t>目标值</w:t>
            </w:r>
          </w:p>
        </w:tc>
        <w:tc>
          <w:tcPr>
            <w:tcW w:w="384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4"/>
              </w:rPr>
            </w:pPr>
            <w:r>
              <w:rPr>
                <w:rFonts w:hint="eastAsia" w:ascii="宋体" w:hAnsi="宋体" w:eastAsia="宋体" w:cs="宋体"/>
                <w:kern w:val="0"/>
                <w:sz w:val="24"/>
              </w:rPr>
              <w:t>实现完成值</w:t>
            </w:r>
          </w:p>
        </w:tc>
      </w:tr>
      <w:tr>
        <w:tblPrEx>
          <w:tblLayout w:type="fixed"/>
          <w:tblCellMar>
            <w:top w:w="0" w:type="dxa"/>
            <w:left w:w="108" w:type="dxa"/>
            <w:bottom w:w="0" w:type="dxa"/>
            <w:right w:w="108" w:type="dxa"/>
          </w:tblCellMar>
        </w:tblPrEx>
        <w:trPr>
          <w:trHeight w:val="520" w:hRule="atLeast"/>
        </w:trPr>
        <w:tc>
          <w:tcPr>
            <w:tcW w:w="238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rPr>
              <w:t>农村基础建设改造范围</w:t>
            </w:r>
          </w:p>
        </w:tc>
        <w:tc>
          <w:tcPr>
            <w:tcW w:w="2400" w:type="dxa"/>
            <w:tcBorders>
              <w:top w:val="single" w:color="000000" w:sz="4" w:space="0"/>
              <w:left w:val="nil"/>
              <w:bottom w:val="nil"/>
              <w:right w:val="nil"/>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农村基础建设改造工作涉及44个行政村</w:t>
            </w:r>
          </w:p>
        </w:tc>
        <w:tc>
          <w:tcPr>
            <w:tcW w:w="384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2021年开工项目113个，涉及44条行政村。</w:t>
            </w:r>
          </w:p>
        </w:tc>
      </w:tr>
      <w:tr>
        <w:tblPrEx>
          <w:tblLayout w:type="fixed"/>
          <w:tblCellMar>
            <w:top w:w="0" w:type="dxa"/>
            <w:left w:w="108" w:type="dxa"/>
            <w:bottom w:w="0" w:type="dxa"/>
            <w:right w:w="108" w:type="dxa"/>
          </w:tblCellMar>
        </w:tblPrEx>
        <w:trPr>
          <w:trHeight w:val="780" w:hRule="atLeast"/>
        </w:trPr>
        <w:tc>
          <w:tcPr>
            <w:tcW w:w="238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rPr>
              <w:t>诊疗设备更新升级完成率</w:t>
            </w:r>
          </w:p>
        </w:tc>
        <w:tc>
          <w:tcPr>
            <w:tcW w:w="240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北部山区9个基层卫生院医疗设施设备更新升级完成情况</w:t>
            </w:r>
          </w:p>
        </w:tc>
        <w:tc>
          <w:tcPr>
            <w:tcW w:w="384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9个基层卫生院诊疗设备更新升级工作基本已完成</w:t>
            </w:r>
          </w:p>
        </w:tc>
      </w:tr>
      <w:tr>
        <w:tblPrEx>
          <w:tblLayout w:type="fixed"/>
          <w:tblCellMar>
            <w:top w:w="0" w:type="dxa"/>
            <w:left w:w="108" w:type="dxa"/>
            <w:bottom w:w="0" w:type="dxa"/>
            <w:right w:w="108" w:type="dxa"/>
          </w:tblCellMar>
        </w:tblPrEx>
        <w:trPr>
          <w:trHeight w:val="280" w:hRule="atLeast"/>
        </w:trPr>
        <w:tc>
          <w:tcPr>
            <w:tcW w:w="238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rPr>
              <w:t>公共交通候车亭建设数量</w:t>
            </w:r>
          </w:p>
        </w:tc>
        <w:tc>
          <w:tcPr>
            <w:tcW w:w="24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新建64座公共交通候车亭</w:t>
            </w:r>
          </w:p>
        </w:tc>
        <w:tc>
          <w:tcPr>
            <w:tcW w:w="384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2021年新建64个候车亭，并全部完成验收</w:t>
            </w:r>
          </w:p>
        </w:tc>
      </w:tr>
      <w:tr>
        <w:tblPrEx>
          <w:tblLayout w:type="fixed"/>
          <w:tblCellMar>
            <w:top w:w="0" w:type="dxa"/>
            <w:left w:w="108" w:type="dxa"/>
            <w:bottom w:w="0" w:type="dxa"/>
            <w:right w:w="108" w:type="dxa"/>
          </w:tblCellMar>
        </w:tblPrEx>
        <w:trPr>
          <w:trHeight w:val="1040" w:hRule="atLeast"/>
        </w:trPr>
        <w:tc>
          <w:tcPr>
            <w:tcW w:w="238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rPr>
              <w:t>乡村振兴宣传资料使用频率</w:t>
            </w:r>
          </w:p>
        </w:tc>
        <w:tc>
          <w:tcPr>
            <w:tcW w:w="24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考察乡村振兴宣传资料制作的必要性</w:t>
            </w:r>
          </w:p>
        </w:tc>
        <w:tc>
          <w:tcPr>
            <w:tcW w:w="384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2021年针对特色小镇、人居环境等方面制作有宣传片、宣传画册、经验手册、宣传画展板等。宣传资料整体存在记录不全的情况</w:t>
            </w:r>
          </w:p>
        </w:tc>
      </w:tr>
      <w:tr>
        <w:tblPrEx>
          <w:tblLayout w:type="fixed"/>
          <w:tblCellMar>
            <w:top w:w="0" w:type="dxa"/>
            <w:left w:w="108" w:type="dxa"/>
            <w:bottom w:w="0" w:type="dxa"/>
            <w:right w:w="108" w:type="dxa"/>
          </w:tblCellMar>
        </w:tblPrEx>
        <w:trPr>
          <w:trHeight w:val="280" w:hRule="atLeast"/>
        </w:trPr>
        <w:tc>
          <w:tcPr>
            <w:tcW w:w="238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rPr>
              <w:t>工程施工安全</w:t>
            </w:r>
          </w:p>
        </w:tc>
        <w:tc>
          <w:tcPr>
            <w:tcW w:w="24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不发生施工安全事故</w:t>
            </w:r>
          </w:p>
        </w:tc>
        <w:tc>
          <w:tcPr>
            <w:tcW w:w="384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0施工安全事故</w:t>
            </w:r>
          </w:p>
        </w:tc>
      </w:tr>
      <w:tr>
        <w:tblPrEx>
          <w:tblLayout w:type="fixed"/>
          <w:tblCellMar>
            <w:top w:w="0" w:type="dxa"/>
            <w:left w:w="108" w:type="dxa"/>
            <w:bottom w:w="0" w:type="dxa"/>
            <w:right w:w="108" w:type="dxa"/>
          </w:tblCellMar>
        </w:tblPrEx>
        <w:trPr>
          <w:trHeight w:val="520" w:hRule="atLeast"/>
        </w:trPr>
        <w:tc>
          <w:tcPr>
            <w:tcW w:w="238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农房风貌提升工程验收通过率</w:t>
            </w:r>
          </w:p>
        </w:tc>
        <w:tc>
          <w:tcPr>
            <w:tcW w:w="24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384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农房风貌提升工程验收通过率100%</w:t>
            </w:r>
          </w:p>
        </w:tc>
      </w:tr>
      <w:tr>
        <w:tblPrEx>
          <w:tblLayout w:type="fixed"/>
          <w:tblCellMar>
            <w:top w:w="0" w:type="dxa"/>
            <w:left w:w="108" w:type="dxa"/>
            <w:bottom w:w="0" w:type="dxa"/>
            <w:right w:w="108" w:type="dxa"/>
          </w:tblCellMar>
        </w:tblPrEx>
        <w:trPr>
          <w:trHeight w:val="520" w:hRule="atLeast"/>
        </w:trPr>
        <w:tc>
          <w:tcPr>
            <w:tcW w:w="238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rPr>
              <w:t>公共交通设施便民程度</w:t>
            </w:r>
          </w:p>
        </w:tc>
        <w:tc>
          <w:tcPr>
            <w:tcW w:w="24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公共交通设施便民程度提升</w:t>
            </w:r>
          </w:p>
        </w:tc>
        <w:tc>
          <w:tcPr>
            <w:tcW w:w="384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升级改造的后的候车亭设置了顶棚等设施，更加方便群众出行</w:t>
            </w:r>
          </w:p>
        </w:tc>
      </w:tr>
      <w:tr>
        <w:tblPrEx>
          <w:tblLayout w:type="fixed"/>
          <w:tblCellMar>
            <w:top w:w="0" w:type="dxa"/>
            <w:left w:w="108" w:type="dxa"/>
            <w:bottom w:w="0" w:type="dxa"/>
            <w:right w:w="108" w:type="dxa"/>
          </w:tblCellMar>
        </w:tblPrEx>
        <w:trPr>
          <w:trHeight w:val="280" w:hRule="atLeast"/>
        </w:trPr>
        <w:tc>
          <w:tcPr>
            <w:tcW w:w="238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rPr>
              <w:t>村庄整洁度</w:t>
            </w:r>
          </w:p>
        </w:tc>
        <w:tc>
          <w:tcPr>
            <w:tcW w:w="24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考察村庄整洁程度</w:t>
            </w:r>
          </w:p>
        </w:tc>
        <w:tc>
          <w:tcPr>
            <w:tcW w:w="384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村庄卫生状况整体较好</w:t>
            </w:r>
          </w:p>
        </w:tc>
      </w:tr>
      <w:tr>
        <w:tblPrEx>
          <w:tblLayout w:type="fixed"/>
          <w:tblCellMar>
            <w:top w:w="0" w:type="dxa"/>
            <w:left w:w="108" w:type="dxa"/>
            <w:bottom w:w="0" w:type="dxa"/>
            <w:right w:w="108" w:type="dxa"/>
          </w:tblCellMar>
        </w:tblPrEx>
        <w:trPr>
          <w:trHeight w:val="780" w:hRule="atLeast"/>
        </w:trPr>
        <w:tc>
          <w:tcPr>
            <w:tcW w:w="238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rPr>
              <w:t>学校食堂厨房标准</w:t>
            </w:r>
          </w:p>
        </w:tc>
        <w:tc>
          <w:tcPr>
            <w:tcW w:w="24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食堂厨房餐饮服务食品安全量化分级管理水平均是否均达到A级标准</w:t>
            </w:r>
          </w:p>
        </w:tc>
        <w:tc>
          <w:tcPr>
            <w:tcW w:w="384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升级改造完成的食堂厨房餐饮服务食品安全量化分级管理水平均达到A级标准</w:t>
            </w:r>
          </w:p>
        </w:tc>
      </w:tr>
      <w:tr>
        <w:tblPrEx>
          <w:tblLayout w:type="fixed"/>
          <w:tblCellMar>
            <w:top w:w="0" w:type="dxa"/>
            <w:left w:w="108" w:type="dxa"/>
            <w:bottom w:w="0" w:type="dxa"/>
            <w:right w:w="108" w:type="dxa"/>
          </w:tblCellMar>
        </w:tblPrEx>
        <w:trPr>
          <w:trHeight w:val="780" w:hRule="atLeast"/>
        </w:trPr>
        <w:tc>
          <w:tcPr>
            <w:tcW w:w="238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0"/>
                <w:szCs w:val="20"/>
              </w:rPr>
            </w:pPr>
            <w:r>
              <w:rPr>
                <w:rFonts w:hint="eastAsia" w:ascii="宋体" w:hAnsi="宋体" w:eastAsia="宋体" w:cs="宋体"/>
                <w:kern w:val="0"/>
                <w:sz w:val="20"/>
                <w:szCs w:val="20"/>
              </w:rPr>
              <w:t>乡村风貌</w:t>
            </w:r>
          </w:p>
        </w:tc>
        <w:tc>
          <w:tcPr>
            <w:tcW w:w="24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考察农村基础设施建设和农房风貌提升工程对乡村风貌的影响</w:t>
            </w:r>
          </w:p>
        </w:tc>
        <w:tc>
          <w:tcPr>
            <w:tcW w:w="384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认为农村风貌较好</w:t>
            </w:r>
          </w:p>
        </w:tc>
      </w:tr>
    </w:tbl>
    <w:p>
      <w:pPr>
        <w:ind w:firstLine="640"/>
        <w:rPr>
          <w:rFonts w:hint="eastAsia" w:hAnsi="仿宋_GB2312" w:cs="仿宋_GB2312"/>
          <w:szCs w:val="32"/>
        </w:rPr>
      </w:pPr>
    </w:p>
    <w:p>
      <w:pPr>
        <w:pStyle w:val="2"/>
        <w:ind w:firstLine="640"/>
      </w:pPr>
      <w:r>
        <w:rPr>
          <w:rFonts w:hint="eastAsia"/>
        </w:rPr>
        <w:t>三、</w:t>
      </w:r>
      <w:r>
        <w:rPr>
          <w:rFonts w:hint="eastAsia" w:ascii="Times New Roman"/>
        </w:rPr>
        <w:t>项目主要绩效、存在的问题和改进建议</w:t>
      </w:r>
    </w:p>
    <w:p>
      <w:pPr>
        <w:pStyle w:val="3"/>
        <w:ind w:firstLine="640"/>
      </w:pPr>
      <w:bookmarkStart w:id="0" w:name="_Toc22640"/>
      <w:r>
        <w:rPr>
          <w:rFonts w:hint="eastAsia"/>
        </w:rPr>
        <w:t>（一）主要绩效</w:t>
      </w:r>
      <w:bookmarkEnd w:id="0"/>
    </w:p>
    <w:p>
      <w:pPr>
        <w:snapToGrid w:val="0"/>
        <w:ind w:firstLine="640"/>
        <w:outlineLvl w:val="2"/>
        <w:rPr>
          <w:rFonts w:ascii="Times New Roman" w:hAnsi="Times New Roman" w:eastAsia="仿宋GB2312" w:cs="Times New Roman"/>
          <w:szCs w:val="20"/>
        </w:rPr>
      </w:pPr>
      <w:r>
        <w:rPr>
          <w:rFonts w:ascii="Times New Roman" w:hAnsi="Times New Roman" w:eastAsia="仿宋GB2312" w:cs="Times New Roman"/>
          <w:szCs w:val="20"/>
        </w:rPr>
        <w:t>1.</w:t>
      </w:r>
      <w:r>
        <w:rPr>
          <w:rFonts w:hint="eastAsia" w:ascii="Times New Roman" w:hAnsi="Times New Roman" w:eastAsia="仿宋GB2312" w:cs="Times New Roman"/>
          <w:szCs w:val="20"/>
        </w:rPr>
        <w:t>立项程序规范</w:t>
      </w:r>
    </w:p>
    <w:p>
      <w:pPr>
        <w:snapToGrid w:val="0"/>
        <w:ind w:firstLine="640"/>
        <w:rPr>
          <w:rFonts w:ascii="Times New Roman" w:hAnsi="Times New Roman" w:eastAsia="仿宋GB2312" w:cs="Times New Roman"/>
          <w:szCs w:val="20"/>
        </w:rPr>
      </w:pPr>
      <w:r>
        <w:rPr>
          <w:rFonts w:hint="eastAsia" w:ascii="Times New Roman" w:hAnsi="Times New Roman" w:eastAsia="仿宋GB2312" w:cs="Times New Roman"/>
          <w:szCs w:val="20"/>
        </w:rPr>
        <w:t>该项目的设立与《广州市从化区人民政府办公室文件办理通知》从府办文〔2021〕0052号）、《广州市从化区人民政府办公室文件办理通知》从府办文〔2021〕0125号）、《广州市从化区人民政府办公室文件办理通知》从府办文〔2021〕0133号）、《广州市从化区人民政府办公室文件办理通知》从府办文〔2021〕0282号）、《广州市从化区人民政府办公室文件办理通知》从府办文〔2021〕0356号）、《广州市从化区人民政府办公室文件办理通知》从府办文〔2021〕0377号）、《广州市财政局关于提前下达2022年市农业农村局转移支付项目资金的通知》穗财农〔2021〕78号的工作要求相符。</w:t>
      </w:r>
    </w:p>
    <w:p>
      <w:pPr>
        <w:snapToGrid w:val="0"/>
        <w:ind w:firstLine="640"/>
        <w:outlineLvl w:val="2"/>
        <w:rPr>
          <w:rFonts w:ascii="Times New Roman" w:hAnsi="Times New Roman" w:eastAsia="仿宋GB2312" w:cs="Times New Roman"/>
          <w:szCs w:val="20"/>
        </w:rPr>
      </w:pPr>
      <w:r>
        <w:rPr>
          <w:rFonts w:hint="eastAsia" w:ascii="Times New Roman" w:hAnsi="Times New Roman" w:eastAsia="仿宋GB2312" w:cs="Times New Roman"/>
          <w:szCs w:val="20"/>
        </w:rPr>
        <w:t>2</w:t>
      </w:r>
      <w:r>
        <w:rPr>
          <w:rFonts w:ascii="Times New Roman" w:hAnsi="Times New Roman" w:eastAsia="仿宋GB2312" w:cs="Times New Roman"/>
          <w:szCs w:val="20"/>
        </w:rPr>
        <w:t>.</w:t>
      </w:r>
      <w:r>
        <w:rPr>
          <w:rFonts w:hint="eastAsia" w:ascii="Times New Roman" w:hAnsi="Times New Roman" w:eastAsia="仿宋GB2312" w:cs="Times New Roman"/>
          <w:szCs w:val="20"/>
        </w:rPr>
        <w:t>推进各农村基础设施建设</w:t>
      </w:r>
    </w:p>
    <w:p>
      <w:pPr>
        <w:snapToGrid w:val="0"/>
        <w:ind w:firstLine="640"/>
        <w:rPr>
          <w:rFonts w:ascii="Times New Roman" w:hAnsi="Times New Roman" w:eastAsia="仿宋GB2312" w:cs="Times New Roman"/>
          <w:szCs w:val="20"/>
        </w:rPr>
      </w:pPr>
      <w:r>
        <w:rPr>
          <w:rFonts w:hint="eastAsia" w:ascii="Times New Roman" w:hAnsi="Times New Roman" w:eastAsia="仿宋GB2312" w:cs="Times New Roman"/>
          <w:szCs w:val="20"/>
        </w:rPr>
        <w:t>从化区2021年共开工40项农村基础设施建设项目，涉及44个行政村，此举有效推进各项农村的基础设施建设，有利于农业和农村发展、缩小城乡生活水平差距。</w:t>
      </w:r>
    </w:p>
    <w:p>
      <w:pPr>
        <w:snapToGrid w:val="0"/>
        <w:ind w:firstLine="640"/>
        <w:outlineLvl w:val="2"/>
        <w:rPr>
          <w:rFonts w:ascii="Times New Roman" w:hAnsi="Times New Roman" w:eastAsia="仿宋GB2312" w:cs="Times New Roman"/>
          <w:szCs w:val="20"/>
        </w:rPr>
      </w:pPr>
      <w:r>
        <w:rPr>
          <w:rFonts w:hint="eastAsia" w:ascii="Times New Roman" w:hAnsi="Times New Roman" w:eastAsia="仿宋GB2312" w:cs="Times New Roman"/>
          <w:szCs w:val="20"/>
        </w:rPr>
        <w:t>3</w:t>
      </w:r>
      <w:r>
        <w:rPr>
          <w:rFonts w:ascii="Times New Roman" w:hAnsi="Times New Roman" w:eastAsia="仿宋GB2312" w:cs="Times New Roman"/>
          <w:szCs w:val="20"/>
        </w:rPr>
        <w:t>.</w:t>
      </w:r>
      <w:r>
        <w:rPr>
          <w:rFonts w:hint="eastAsia" w:ascii="Times New Roman" w:hAnsi="Times New Roman" w:eastAsia="仿宋GB2312" w:cs="Times New Roman"/>
          <w:szCs w:val="20"/>
        </w:rPr>
        <w:t>诊疗设备得到更新升级</w:t>
      </w:r>
    </w:p>
    <w:p>
      <w:pPr>
        <w:snapToGrid w:val="0"/>
        <w:ind w:firstLine="640"/>
        <w:rPr>
          <w:rFonts w:ascii="Times New Roman" w:hAnsi="Times New Roman" w:eastAsia="仿宋GB2312" w:cs="Times New Roman"/>
          <w:szCs w:val="20"/>
        </w:rPr>
      </w:pPr>
      <w:r>
        <w:rPr>
          <w:rFonts w:hint="eastAsia" w:ascii="Times New Roman" w:hAnsi="Times New Roman" w:eastAsia="仿宋GB2312" w:cs="Times New Roman"/>
          <w:szCs w:val="20"/>
        </w:rPr>
        <w:t>从化区医疗设施设备采购更新涉及9个基层卫生院，覆盖到五镇一街，此举推进基层卫生院的诊疗设备更新升级，保证医院正常运转，提高基层医疗机构医疗质量。</w:t>
      </w:r>
    </w:p>
    <w:p>
      <w:pPr>
        <w:snapToGrid w:val="0"/>
        <w:ind w:firstLine="640"/>
        <w:outlineLvl w:val="2"/>
        <w:rPr>
          <w:rFonts w:ascii="Times New Roman" w:hAnsi="Times New Roman" w:eastAsia="仿宋GB2312" w:cs="Times New Roman"/>
          <w:szCs w:val="20"/>
        </w:rPr>
      </w:pPr>
      <w:r>
        <w:rPr>
          <w:rFonts w:hint="eastAsia" w:ascii="Times New Roman" w:hAnsi="Times New Roman" w:eastAsia="仿宋GB2312" w:cs="Times New Roman"/>
          <w:szCs w:val="20"/>
        </w:rPr>
        <w:t>4完善公交站台配套设施</w:t>
      </w:r>
    </w:p>
    <w:p>
      <w:pPr>
        <w:snapToGrid w:val="0"/>
        <w:ind w:firstLine="640"/>
        <w:rPr>
          <w:rFonts w:ascii="Times New Roman" w:hAnsi="Times New Roman" w:eastAsia="仿宋GB2312" w:cs="Times New Roman"/>
          <w:szCs w:val="20"/>
        </w:rPr>
      </w:pPr>
      <w:r>
        <w:rPr>
          <w:rFonts w:hint="eastAsia" w:ascii="Times New Roman" w:hAnsi="Times New Roman" w:eastAsia="仿宋GB2312" w:cs="Times New Roman"/>
          <w:szCs w:val="20"/>
        </w:rPr>
        <w:t>北部山区乡村发展补助资金</w:t>
      </w:r>
      <w:r>
        <w:rPr>
          <w:rFonts w:ascii="Times New Roman" w:hAnsi="Times New Roman" w:eastAsia="仿宋GB2312" w:cs="Times New Roman"/>
          <w:szCs w:val="20"/>
        </w:rPr>
        <w:t>项目2021年新建64个候车亭，</w:t>
      </w:r>
      <w:r>
        <w:rPr>
          <w:rFonts w:hint="eastAsia" w:ascii="Times New Roman" w:hAnsi="Times New Roman" w:eastAsia="仿宋GB2312" w:cs="Times New Roman"/>
          <w:szCs w:val="20"/>
        </w:rPr>
        <w:t>候车亭及配套设施且均已建好投入使用，广告牌维护良好，无损坏情况。站点候车亭为市民乘客候车时遮阳、防雨，方便市民出行。</w:t>
      </w:r>
    </w:p>
    <w:p>
      <w:pPr>
        <w:snapToGrid w:val="0"/>
        <w:ind w:firstLine="640"/>
        <w:outlineLvl w:val="2"/>
        <w:rPr>
          <w:rFonts w:ascii="Times New Roman" w:hAnsi="Times New Roman" w:eastAsia="仿宋GB2312" w:cs="Times New Roman"/>
          <w:szCs w:val="20"/>
        </w:rPr>
      </w:pPr>
      <w:r>
        <w:rPr>
          <w:rFonts w:hint="eastAsia" w:ascii="Times New Roman" w:hAnsi="Times New Roman" w:eastAsia="仿宋GB2312" w:cs="Times New Roman"/>
          <w:szCs w:val="20"/>
        </w:rPr>
        <w:t>5.提高学校食堂厨房的质量</w:t>
      </w:r>
    </w:p>
    <w:p>
      <w:pPr>
        <w:snapToGrid w:val="0"/>
        <w:ind w:firstLine="640"/>
        <w:rPr>
          <w:rFonts w:ascii="Times New Roman" w:hAnsi="Times New Roman" w:eastAsia="仿宋GB2312" w:cs="Times New Roman"/>
          <w:szCs w:val="20"/>
        </w:rPr>
      </w:pPr>
      <w:r>
        <w:rPr>
          <w:rFonts w:hint="eastAsia" w:ascii="Times New Roman" w:hAnsi="Times New Roman" w:eastAsia="仿宋GB2312" w:cs="Times New Roman"/>
          <w:szCs w:val="20"/>
        </w:rPr>
        <w:t>升级改造完成的食堂厨房餐饮服务食品安全量化分级管理水平均达到A级标准。有利于保障学生的用餐健康，提升学校食品安全水平。</w:t>
      </w:r>
    </w:p>
    <w:p>
      <w:pPr>
        <w:pStyle w:val="3"/>
        <w:ind w:firstLine="640"/>
      </w:pPr>
      <w:bookmarkStart w:id="1" w:name="_Toc46844271"/>
      <w:bookmarkStart w:id="2" w:name="_Toc24267"/>
      <w:r>
        <w:rPr>
          <w:rFonts w:hint="eastAsia"/>
        </w:rPr>
        <w:t>（二）存在问题</w:t>
      </w:r>
      <w:bookmarkEnd w:id="1"/>
      <w:bookmarkEnd w:id="2"/>
    </w:p>
    <w:p>
      <w:pPr>
        <w:snapToGrid w:val="0"/>
        <w:ind w:firstLine="640"/>
        <w:outlineLvl w:val="2"/>
        <w:rPr>
          <w:rFonts w:ascii="Times New Roman" w:hAnsi="Times New Roman" w:eastAsia="仿宋GB2312" w:cs="Times New Roman"/>
          <w:bCs/>
          <w:szCs w:val="20"/>
        </w:rPr>
      </w:pPr>
      <w:r>
        <w:rPr>
          <w:rFonts w:hint="eastAsia" w:ascii="Times New Roman" w:hAnsi="Times New Roman" w:eastAsia="仿宋GB2312" w:cs="Times New Roman"/>
          <w:bCs/>
          <w:szCs w:val="20"/>
        </w:rPr>
        <w:t>1.项目的组织管理水平仍有上升的空间</w:t>
      </w:r>
    </w:p>
    <w:p>
      <w:pPr>
        <w:snapToGrid w:val="0"/>
        <w:ind w:firstLine="640"/>
        <w:rPr>
          <w:rFonts w:ascii="Times New Roman" w:hAnsi="Times New Roman" w:eastAsia="仿宋GB2312" w:cs="Times New Roman"/>
          <w:szCs w:val="20"/>
        </w:rPr>
      </w:pPr>
      <w:r>
        <w:rPr>
          <w:rFonts w:hint="eastAsia" w:ascii="Times New Roman" w:hAnsi="Times New Roman" w:eastAsia="仿宋GB2312" w:cs="Times New Roman"/>
          <w:szCs w:val="20"/>
        </w:rPr>
        <w:t>项目管理制度不够健全，《</w:t>
      </w:r>
      <w:r>
        <w:rPr>
          <w:rFonts w:ascii="Times New Roman" w:hAnsi="Times New Roman" w:eastAsia="仿宋GB2312" w:cs="Times New Roman"/>
          <w:szCs w:val="20"/>
        </w:rPr>
        <w:t>2021年从化区关于广州市加快北部山区乡村发展补助资金使用的实施方案（送审稿）》对资金使用范围作出了要求，简单阐述了项目主管单位的责任，未见区农业农村局除了项目申报、资金使用台账外的监管措施</w:t>
      </w:r>
      <w:r>
        <w:rPr>
          <w:rFonts w:hint="eastAsia" w:ascii="Times New Roman" w:hAnsi="Times New Roman" w:eastAsia="仿宋GB2312" w:cs="Times New Roman"/>
          <w:szCs w:val="20"/>
        </w:rPr>
        <w:t>。</w:t>
      </w:r>
    </w:p>
    <w:p>
      <w:pPr>
        <w:snapToGrid w:val="0"/>
        <w:ind w:firstLine="640"/>
        <w:outlineLvl w:val="2"/>
        <w:rPr>
          <w:rFonts w:ascii="Times New Roman" w:hAnsi="Times New Roman" w:eastAsia="仿宋GB2312" w:cs="Times New Roman"/>
          <w:bCs/>
          <w:szCs w:val="20"/>
        </w:rPr>
      </w:pPr>
      <w:r>
        <w:rPr>
          <w:rFonts w:hint="eastAsia" w:ascii="Times New Roman" w:hAnsi="Times New Roman" w:eastAsia="仿宋GB2312" w:cs="Times New Roman"/>
          <w:bCs/>
          <w:szCs w:val="20"/>
        </w:rPr>
        <w:t>2</w:t>
      </w:r>
      <w:r>
        <w:rPr>
          <w:rFonts w:ascii="Times New Roman" w:hAnsi="Times New Roman" w:eastAsia="仿宋GB2312" w:cs="Times New Roman"/>
          <w:bCs/>
          <w:szCs w:val="20"/>
        </w:rPr>
        <w:t>.</w:t>
      </w:r>
      <w:r>
        <w:rPr>
          <w:rFonts w:hint="eastAsia" w:ascii="Times New Roman" w:hAnsi="Times New Roman" w:eastAsia="仿宋GB2312" w:cs="Times New Roman"/>
          <w:bCs/>
          <w:szCs w:val="20"/>
        </w:rPr>
        <w:t>乡村振兴宣传资料使用频率低</w:t>
      </w:r>
    </w:p>
    <w:p>
      <w:pPr>
        <w:snapToGrid w:val="0"/>
        <w:ind w:firstLine="640"/>
        <w:rPr>
          <w:rFonts w:ascii="Times New Roman" w:hAnsi="Times New Roman" w:eastAsia="仿宋GB2312" w:cs="Times New Roman"/>
          <w:szCs w:val="20"/>
        </w:rPr>
      </w:pPr>
      <w:r>
        <w:rPr>
          <w:rFonts w:hint="eastAsia" w:ascii="Times New Roman" w:hAnsi="Times New Roman" w:eastAsia="仿宋GB2312" w:cs="Times New Roman"/>
          <w:szCs w:val="20"/>
        </w:rPr>
        <w:t>2021年针对特色小镇、人居环境等方面制作有宣传片、宣传画册、宣传画展板等。但宣传资料欠缺管理，宣传资料使用频率低可能使宣传资料闲置造成资源浪费。</w:t>
      </w:r>
    </w:p>
    <w:p>
      <w:pPr>
        <w:snapToGrid w:val="0"/>
        <w:ind w:firstLine="640"/>
        <w:outlineLvl w:val="2"/>
        <w:rPr>
          <w:rFonts w:ascii="Times New Roman" w:hAnsi="Times New Roman" w:eastAsia="仿宋GB2312" w:cs="Times New Roman"/>
          <w:bCs/>
          <w:szCs w:val="20"/>
        </w:rPr>
      </w:pPr>
      <w:r>
        <w:rPr>
          <w:rFonts w:hint="eastAsia" w:ascii="Times New Roman" w:hAnsi="Times New Roman" w:eastAsia="仿宋GB2312" w:cs="Times New Roman"/>
          <w:bCs/>
          <w:szCs w:val="20"/>
        </w:rPr>
        <w:t>3.公共交通候车亭运维仍有提升空间</w:t>
      </w:r>
    </w:p>
    <w:p>
      <w:pPr>
        <w:snapToGrid w:val="0"/>
        <w:ind w:firstLine="640"/>
        <w:rPr>
          <w:rFonts w:ascii="Times New Roman" w:hAnsi="Times New Roman" w:eastAsia="仿宋GB2312" w:cs="Times New Roman"/>
          <w:szCs w:val="20"/>
        </w:rPr>
      </w:pPr>
      <w:r>
        <w:rPr>
          <w:rFonts w:hint="eastAsia" w:ascii="Times New Roman" w:hAnsi="Times New Roman" w:eastAsia="仿宋GB2312" w:cs="Times New Roman"/>
          <w:szCs w:val="20"/>
        </w:rPr>
        <w:t>2021年相关的公共交通候车亭及配套设施均已投入使用，硬件设施维护良好，无损坏情况，但存在部分候车亭的条凳保洁情况较差，多处候车亭的条凳大面积覆盖尘土的情况。</w:t>
      </w:r>
    </w:p>
    <w:p>
      <w:pPr>
        <w:snapToGrid w:val="0"/>
        <w:ind w:firstLine="640"/>
        <w:outlineLvl w:val="2"/>
        <w:rPr>
          <w:rFonts w:ascii="Times New Roman" w:hAnsi="Times New Roman" w:eastAsia="仿宋GB2312" w:cs="Times New Roman"/>
          <w:szCs w:val="20"/>
        </w:rPr>
      </w:pPr>
      <w:r>
        <w:rPr>
          <w:rFonts w:hint="eastAsia" w:ascii="Times New Roman" w:hAnsi="Times New Roman" w:eastAsia="仿宋GB2312" w:cs="Times New Roman"/>
          <w:szCs w:val="20"/>
        </w:rPr>
        <w:t>4．资金管理水平有待提高</w:t>
      </w:r>
    </w:p>
    <w:p>
      <w:pPr>
        <w:snapToGrid w:val="0"/>
        <w:ind w:firstLine="640"/>
        <w:rPr>
          <w:rFonts w:ascii="Times New Roman" w:hAnsi="Times New Roman" w:eastAsia="仿宋GB2312" w:cs="Times New Roman"/>
          <w:szCs w:val="20"/>
          <w:lang w:eastAsia="zh-Hans"/>
        </w:rPr>
      </w:pPr>
      <w:r>
        <w:rPr>
          <w:rFonts w:hint="eastAsia" w:ascii="Times New Roman" w:hAnsi="Times New Roman" w:eastAsia="仿宋GB2312" w:cs="Times New Roman"/>
          <w:szCs w:val="20"/>
          <w:lang w:eastAsia="zh-Hans"/>
        </w:rPr>
        <w:t>根据《广州市财政局关于回收2021年加快北部山区乡村发展补助资金的函》，该项目年初预算18,580万元，调整后预算为11,395.00万元，调减7,185万元，调整率高达38.67%。该项目预算调整幅度大</w:t>
      </w:r>
      <w:r>
        <w:rPr>
          <w:rFonts w:ascii="Times New Roman" w:hAnsi="Times New Roman" w:eastAsia="仿宋GB2312" w:cs="Times New Roman"/>
          <w:szCs w:val="20"/>
          <w:lang w:eastAsia="zh-Hans"/>
        </w:rPr>
        <w:t>，</w:t>
      </w:r>
      <w:r>
        <w:rPr>
          <w:rFonts w:hint="eastAsia" w:ascii="Times New Roman" w:hAnsi="Times New Roman" w:eastAsia="仿宋GB2312" w:cs="Times New Roman"/>
          <w:szCs w:val="20"/>
          <w:lang w:eastAsia="zh-Hans"/>
        </w:rPr>
        <w:t>且准确性不足，预算编制存在不合理</w:t>
      </w:r>
      <w:r>
        <w:rPr>
          <w:rFonts w:ascii="Times New Roman" w:hAnsi="Times New Roman" w:eastAsia="仿宋GB2312" w:cs="Times New Roman"/>
          <w:szCs w:val="20"/>
          <w:lang w:eastAsia="zh-Hans"/>
        </w:rPr>
        <w:t>，</w:t>
      </w:r>
      <w:r>
        <w:rPr>
          <w:rFonts w:hint="eastAsia" w:ascii="Times New Roman" w:hAnsi="Times New Roman" w:eastAsia="仿宋GB2312" w:cs="Times New Roman"/>
          <w:szCs w:val="20"/>
          <w:lang w:eastAsia="zh-Hans"/>
        </w:rPr>
        <w:t>项目预算不够严谨</w:t>
      </w:r>
      <w:r>
        <w:rPr>
          <w:rFonts w:ascii="Times New Roman" w:hAnsi="Times New Roman" w:eastAsia="仿宋GB2312" w:cs="Times New Roman"/>
          <w:szCs w:val="20"/>
          <w:lang w:eastAsia="zh-Hans"/>
        </w:rPr>
        <w:t>，</w:t>
      </w:r>
      <w:r>
        <w:rPr>
          <w:rFonts w:hint="eastAsia" w:ascii="Times New Roman" w:hAnsi="Times New Roman" w:eastAsia="仿宋GB2312" w:cs="Times New Roman"/>
          <w:szCs w:val="20"/>
          <w:lang w:eastAsia="zh-Hans"/>
        </w:rPr>
        <w:t>缺乏准确性和规范性</w:t>
      </w:r>
      <w:r>
        <w:rPr>
          <w:rFonts w:ascii="Times New Roman" w:hAnsi="Times New Roman" w:eastAsia="仿宋GB2312" w:cs="Times New Roman"/>
          <w:szCs w:val="20"/>
          <w:lang w:eastAsia="zh-Hans"/>
        </w:rPr>
        <w:t>，</w:t>
      </w:r>
      <w:r>
        <w:rPr>
          <w:rFonts w:hint="eastAsia" w:ascii="Times New Roman" w:hAnsi="Times New Roman" w:eastAsia="仿宋GB2312" w:cs="Times New Roman"/>
          <w:szCs w:val="20"/>
          <w:lang w:eastAsia="zh-Hans"/>
        </w:rPr>
        <w:t>容易造成预算管理效率低下</w:t>
      </w:r>
      <w:r>
        <w:rPr>
          <w:rFonts w:ascii="Times New Roman" w:hAnsi="Times New Roman" w:eastAsia="仿宋GB2312" w:cs="Times New Roman"/>
          <w:szCs w:val="20"/>
          <w:lang w:eastAsia="zh-Hans"/>
        </w:rPr>
        <w:t>，</w:t>
      </w:r>
      <w:r>
        <w:rPr>
          <w:rFonts w:hint="eastAsia" w:ascii="Times New Roman" w:hAnsi="Times New Roman" w:eastAsia="仿宋GB2312" w:cs="Times New Roman"/>
          <w:szCs w:val="20"/>
          <w:lang w:eastAsia="zh-Hans"/>
        </w:rPr>
        <w:t>因此项目预算管理水平有待提高</w:t>
      </w:r>
      <w:r>
        <w:rPr>
          <w:rFonts w:ascii="Times New Roman" w:hAnsi="Times New Roman" w:eastAsia="仿宋GB2312" w:cs="Times New Roman"/>
          <w:szCs w:val="20"/>
          <w:lang w:eastAsia="zh-Hans"/>
        </w:rPr>
        <w:t>。</w:t>
      </w:r>
    </w:p>
    <w:p>
      <w:pPr>
        <w:snapToGrid w:val="0"/>
        <w:ind w:firstLine="640"/>
        <w:outlineLvl w:val="2"/>
        <w:rPr>
          <w:rFonts w:ascii="Times New Roman" w:hAnsi="Times New Roman" w:eastAsia="仿宋GB2312" w:cs="Times New Roman"/>
          <w:szCs w:val="20"/>
        </w:rPr>
      </w:pPr>
      <w:r>
        <w:rPr>
          <w:rFonts w:hint="eastAsia" w:ascii="Times New Roman" w:hAnsi="Times New Roman" w:eastAsia="仿宋GB2312" w:cs="Times New Roman"/>
          <w:szCs w:val="20"/>
        </w:rPr>
        <w:t>5.绩效管理水平有待提升</w:t>
      </w:r>
    </w:p>
    <w:p>
      <w:pPr>
        <w:snapToGrid w:val="0"/>
        <w:ind w:firstLine="640"/>
        <w:rPr>
          <w:rFonts w:ascii="Times New Roman" w:hAnsi="Times New Roman" w:eastAsia="仿宋GB2312" w:cs="Times New Roman"/>
          <w:szCs w:val="20"/>
          <w:lang w:eastAsia="zh-Hans"/>
        </w:rPr>
      </w:pPr>
      <w:r>
        <w:rPr>
          <w:rFonts w:hint="eastAsia" w:ascii="Times New Roman" w:hAnsi="Times New Roman" w:eastAsia="仿宋GB2312" w:cs="Times New Roman"/>
          <w:szCs w:val="20"/>
          <w:lang w:eastAsia="zh-Hans"/>
        </w:rPr>
        <w:t>该项目目标内容较空泛，绩效指标数量过少，且指标不够清晰、可衡量性不强，无法全面反映项目工作内容和实施效果；绩效监控资料未及时报送，绩效自评材料填写不规范。</w:t>
      </w:r>
    </w:p>
    <w:p>
      <w:pPr>
        <w:pStyle w:val="3"/>
        <w:ind w:firstLine="640"/>
      </w:pPr>
      <w:bookmarkStart w:id="3" w:name="_Toc46844272"/>
      <w:bookmarkStart w:id="4" w:name="_Toc32213"/>
      <w:r>
        <w:rPr>
          <w:rFonts w:hint="eastAsia"/>
        </w:rPr>
        <w:t>（三）改进建议</w:t>
      </w:r>
      <w:bookmarkEnd w:id="3"/>
      <w:bookmarkEnd w:id="4"/>
    </w:p>
    <w:p>
      <w:pPr>
        <w:snapToGrid w:val="0"/>
        <w:ind w:firstLine="640"/>
        <w:outlineLvl w:val="2"/>
        <w:rPr>
          <w:rFonts w:ascii="Times New Roman" w:hAnsi="Times New Roman" w:eastAsia="仿宋GB2312" w:cs="Times New Roman"/>
          <w:bCs/>
          <w:szCs w:val="20"/>
        </w:rPr>
      </w:pPr>
      <w:r>
        <w:rPr>
          <w:rFonts w:hint="eastAsia" w:ascii="Times New Roman" w:hAnsi="Times New Roman" w:eastAsia="仿宋GB2312" w:cs="Times New Roman"/>
          <w:bCs/>
          <w:szCs w:val="20"/>
        </w:rPr>
        <w:t>1</w:t>
      </w:r>
      <w:r>
        <w:rPr>
          <w:rFonts w:ascii="Times New Roman" w:hAnsi="Times New Roman" w:eastAsia="仿宋GB2312" w:cs="Times New Roman"/>
          <w:bCs/>
          <w:szCs w:val="20"/>
        </w:rPr>
        <w:t xml:space="preserve">. </w:t>
      </w:r>
      <w:r>
        <w:rPr>
          <w:rFonts w:hint="eastAsia" w:ascii="Times New Roman" w:hAnsi="Times New Roman" w:eastAsia="仿宋GB2312" w:cs="Times New Roman"/>
          <w:bCs/>
          <w:szCs w:val="20"/>
        </w:rPr>
        <w:t>建立健全项目管理制度</w:t>
      </w:r>
    </w:p>
    <w:p>
      <w:pPr>
        <w:snapToGrid w:val="0"/>
        <w:ind w:firstLine="640"/>
        <w:rPr>
          <w:rFonts w:ascii="Times New Roman" w:hAnsi="Times New Roman" w:eastAsia="仿宋GB2312" w:cs="Times New Roman"/>
          <w:szCs w:val="20"/>
          <w:lang w:eastAsia="zh-Hans"/>
        </w:rPr>
      </w:pPr>
      <w:r>
        <w:rPr>
          <w:rFonts w:hint="eastAsia" w:ascii="Times New Roman" w:hAnsi="Times New Roman" w:eastAsia="仿宋GB2312" w:cs="Times New Roman"/>
          <w:szCs w:val="20"/>
          <w:lang w:eastAsia="zh-Hans"/>
        </w:rPr>
        <w:t>该项目资金量较大，建议根据项目特点建立专项资金管理办法，明确资金支持的方向、重点和范围，细化资金分配原则，对申报该专项资金的项目要经过科学合理的</w:t>
      </w:r>
      <w:r>
        <w:rPr>
          <w:rFonts w:hint="eastAsia" w:ascii="Times New Roman" w:hAnsi="Times New Roman" w:eastAsia="仿宋GB2312" w:cs="Times New Roman"/>
          <w:szCs w:val="20"/>
        </w:rPr>
        <w:t>测算和</w:t>
      </w:r>
      <w:r>
        <w:rPr>
          <w:rFonts w:hint="eastAsia" w:ascii="Times New Roman" w:hAnsi="Times New Roman" w:eastAsia="仿宋GB2312" w:cs="Times New Roman"/>
          <w:szCs w:val="20"/>
          <w:lang w:eastAsia="zh-Hans"/>
        </w:rPr>
        <w:t>论证，对符合条件的项目排序列入专项资金项目库，每年根据项目的重要性从项目库中选取符合要求的项目编制专项资金项目计划和资金使用计划，并及时按照各个项目的支出进度调整资金使用计划。</w:t>
      </w:r>
    </w:p>
    <w:p>
      <w:pPr>
        <w:snapToGrid w:val="0"/>
        <w:ind w:firstLine="640"/>
        <w:rPr>
          <w:rFonts w:ascii="Times New Roman" w:hAnsi="Times New Roman" w:eastAsia="仿宋GB2312" w:cs="Times New Roman"/>
          <w:szCs w:val="20"/>
          <w:lang w:eastAsia="zh-Hans"/>
        </w:rPr>
      </w:pPr>
      <w:r>
        <w:rPr>
          <w:rFonts w:hint="eastAsia" w:ascii="Times New Roman" w:hAnsi="Times New Roman" w:eastAsia="仿宋GB2312" w:cs="Times New Roman"/>
          <w:szCs w:val="20"/>
          <w:lang w:eastAsia="zh-Hans"/>
        </w:rPr>
        <w:t>在项目实施的过程中，建议定期对项目进行监督，检查项目实际实施进度是否与支付进度相符，及时发现项目存在的问题，督促项目实施单位改进。</w:t>
      </w:r>
    </w:p>
    <w:p>
      <w:pPr>
        <w:snapToGrid w:val="0"/>
        <w:ind w:firstLine="640"/>
        <w:outlineLvl w:val="2"/>
        <w:rPr>
          <w:rFonts w:ascii="Times New Roman" w:hAnsi="Times New Roman" w:eastAsia="仿宋GB2312" w:cs="Times New Roman"/>
          <w:bCs/>
          <w:szCs w:val="20"/>
        </w:rPr>
      </w:pPr>
      <w:r>
        <w:rPr>
          <w:rFonts w:hint="eastAsia" w:ascii="Times New Roman" w:hAnsi="Times New Roman" w:eastAsia="仿宋GB2312" w:cs="Times New Roman"/>
          <w:bCs/>
          <w:szCs w:val="20"/>
        </w:rPr>
        <w:t>2</w:t>
      </w:r>
      <w:r>
        <w:rPr>
          <w:rFonts w:ascii="Times New Roman" w:hAnsi="Times New Roman" w:eastAsia="仿宋GB2312" w:cs="Times New Roman"/>
          <w:bCs/>
          <w:szCs w:val="20"/>
        </w:rPr>
        <w:t xml:space="preserve">. </w:t>
      </w:r>
      <w:r>
        <w:rPr>
          <w:rFonts w:hint="eastAsia" w:ascii="Times New Roman" w:hAnsi="Times New Roman" w:eastAsia="仿宋GB2312" w:cs="Times New Roman"/>
          <w:bCs/>
          <w:szCs w:val="20"/>
        </w:rPr>
        <w:t>对宣传资料进行有效管理</w:t>
      </w:r>
    </w:p>
    <w:p>
      <w:pPr>
        <w:snapToGrid w:val="0"/>
        <w:ind w:firstLine="640"/>
        <w:rPr>
          <w:rFonts w:ascii="Times New Roman" w:hAnsi="Times New Roman" w:eastAsia="仿宋GB2312" w:cs="Times New Roman"/>
          <w:szCs w:val="20"/>
        </w:rPr>
      </w:pPr>
      <w:r>
        <w:rPr>
          <w:rFonts w:hint="eastAsia" w:ascii="Times New Roman" w:hAnsi="Times New Roman" w:eastAsia="仿宋GB2312" w:cs="Times New Roman"/>
          <w:szCs w:val="20"/>
        </w:rPr>
        <w:t>建议做好宣传资料申领、使用台账，充分论证宣传资料制作的必要性，扩大宣传范围，提升使用宣传资料频率避免资源闲置浪费。</w:t>
      </w:r>
    </w:p>
    <w:p>
      <w:pPr>
        <w:snapToGrid w:val="0"/>
        <w:ind w:firstLine="640"/>
        <w:outlineLvl w:val="2"/>
        <w:rPr>
          <w:rFonts w:ascii="Times New Roman" w:hAnsi="Times New Roman" w:eastAsia="仿宋GB2312" w:cs="Times New Roman"/>
          <w:bCs/>
          <w:szCs w:val="20"/>
        </w:rPr>
      </w:pPr>
      <w:r>
        <w:rPr>
          <w:rFonts w:hint="eastAsia" w:ascii="Times New Roman" w:hAnsi="Times New Roman" w:eastAsia="仿宋GB2312" w:cs="Times New Roman"/>
          <w:bCs/>
          <w:szCs w:val="20"/>
        </w:rPr>
        <w:t>3</w:t>
      </w:r>
      <w:r>
        <w:rPr>
          <w:rFonts w:ascii="Times New Roman" w:hAnsi="Times New Roman" w:eastAsia="仿宋GB2312" w:cs="Times New Roman"/>
          <w:bCs/>
          <w:szCs w:val="20"/>
        </w:rPr>
        <w:t xml:space="preserve">. </w:t>
      </w:r>
      <w:r>
        <w:rPr>
          <w:rFonts w:hint="eastAsia" w:ascii="Times New Roman" w:hAnsi="Times New Roman" w:eastAsia="仿宋GB2312" w:cs="Times New Roman"/>
          <w:bCs/>
          <w:szCs w:val="20"/>
        </w:rPr>
        <w:t>提高公共交通候车亭运维水平</w:t>
      </w:r>
    </w:p>
    <w:p>
      <w:pPr>
        <w:snapToGrid w:val="0"/>
        <w:ind w:firstLine="640"/>
        <w:rPr>
          <w:rFonts w:ascii="Times New Roman" w:hAnsi="Times New Roman" w:eastAsia="仿宋GB2312" w:cs="Times New Roman"/>
          <w:szCs w:val="20"/>
        </w:rPr>
      </w:pPr>
      <w:r>
        <w:rPr>
          <w:rFonts w:hint="eastAsia" w:ascii="Times New Roman" w:hAnsi="Times New Roman" w:eastAsia="仿宋GB2312" w:cs="Times New Roman"/>
          <w:szCs w:val="20"/>
        </w:rPr>
        <w:t>建议公共交通候车亭建成后做好保洁工作，保持公共交通候车亭的干净整洁，彻底做到便民出行；另外未改造的公共交通候车亭仍存在设施老旧的情况，不仅影响市容还存在较大安全隐患，建议加快公共交通候车亭升级改造进度。</w:t>
      </w:r>
    </w:p>
    <w:p>
      <w:pPr>
        <w:snapToGrid w:val="0"/>
        <w:ind w:firstLine="640"/>
        <w:outlineLvl w:val="2"/>
        <w:rPr>
          <w:rFonts w:ascii="Times New Roman" w:hAnsi="Times New Roman" w:eastAsia="仿宋GB2312" w:cs="Times New Roman"/>
          <w:szCs w:val="20"/>
        </w:rPr>
      </w:pPr>
      <w:r>
        <w:rPr>
          <w:rFonts w:hint="eastAsia" w:ascii="Times New Roman" w:hAnsi="Times New Roman" w:eastAsia="仿宋GB2312" w:cs="Times New Roman"/>
          <w:bCs/>
          <w:szCs w:val="20"/>
        </w:rPr>
        <w:t>4. 规范资金管理工作</w:t>
      </w:r>
    </w:p>
    <w:p>
      <w:pPr>
        <w:snapToGrid w:val="0"/>
        <w:ind w:firstLine="640"/>
        <w:rPr>
          <w:rFonts w:ascii="Times New Roman" w:hAnsi="Times New Roman" w:eastAsia="仿宋GB2312" w:cs="Times New Roman"/>
          <w:szCs w:val="20"/>
          <w:lang w:eastAsia="zh-Hans"/>
        </w:rPr>
      </w:pPr>
      <w:r>
        <w:rPr>
          <w:rFonts w:hint="eastAsia" w:ascii="Times New Roman" w:hAnsi="Times New Roman" w:eastAsia="仿宋GB2312" w:cs="Times New Roman"/>
          <w:szCs w:val="20"/>
        </w:rPr>
        <w:t>建议</w:t>
      </w:r>
      <w:r>
        <w:rPr>
          <w:rFonts w:hint="eastAsia" w:ascii="Times New Roman" w:hAnsi="Times New Roman" w:eastAsia="仿宋GB2312" w:cs="Times New Roman"/>
          <w:szCs w:val="20"/>
          <w:lang w:eastAsia="zh-Hans"/>
        </w:rPr>
        <w:t>项目在</w:t>
      </w:r>
      <w:r>
        <w:rPr>
          <w:rFonts w:hint="eastAsia" w:ascii="Times New Roman" w:hAnsi="Times New Roman" w:eastAsia="仿宋GB2312" w:cs="Times New Roman"/>
          <w:szCs w:val="20"/>
        </w:rPr>
        <w:t>进行预算申报应充分考虑项目实施情况合理安排预算，</w:t>
      </w:r>
      <w:r>
        <w:rPr>
          <w:rFonts w:hint="eastAsia" w:ascii="Times New Roman" w:hAnsi="Times New Roman" w:eastAsia="仿宋GB2312" w:cs="Times New Roman"/>
          <w:szCs w:val="20"/>
          <w:lang w:eastAsia="zh-Hans"/>
        </w:rPr>
        <w:t>做好事前评估</w:t>
      </w:r>
      <w:r>
        <w:rPr>
          <w:rFonts w:ascii="Times New Roman" w:hAnsi="Times New Roman" w:eastAsia="仿宋GB2312" w:cs="Times New Roman"/>
          <w:szCs w:val="20"/>
          <w:lang w:eastAsia="zh-Hans"/>
        </w:rPr>
        <w:t>，</w:t>
      </w:r>
      <w:r>
        <w:rPr>
          <w:rFonts w:hint="eastAsia" w:ascii="Times New Roman" w:hAnsi="Times New Roman" w:eastAsia="仿宋GB2312" w:cs="Times New Roman"/>
          <w:szCs w:val="20"/>
        </w:rPr>
        <w:t>并及时对项目实施过程进行跟踪监控，充分考虑项目实施中的不确定性因素，及时</w:t>
      </w:r>
      <w:r>
        <w:rPr>
          <w:rFonts w:hint="eastAsia" w:ascii="Times New Roman" w:hAnsi="Times New Roman" w:eastAsia="仿宋GB2312" w:cs="Times New Roman"/>
          <w:szCs w:val="20"/>
          <w:lang w:eastAsia="zh-Hans"/>
        </w:rPr>
        <w:t>作出</w:t>
      </w:r>
      <w:r>
        <w:rPr>
          <w:rFonts w:hint="eastAsia" w:ascii="Times New Roman" w:hAnsi="Times New Roman" w:eastAsia="仿宋GB2312" w:cs="Times New Roman"/>
          <w:szCs w:val="20"/>
        </w:rPr>
        <w:t>调整</w:t>
      </w:r>
      <w:r>
        <w:rPr>
          <w:rFonts w:ascii="Times New Roman" w:hAnsi="Times New Roman" w:eastAsia="仿宋GB2312" w:cs="Times New Roman"/>
          <w:szCs w:val="20"/>
        </w:rPr>
        <w:t>；</w:t>
      </w:r>
      <w:r>
        <w:rPr>
          <w:rFonts w:hint="eastAsia" w:ascii="Times New Roman" w:hAnsi="Times New Roman" w:eastAsia="仿宋GB2312" w:cs="Times New Roman"/>
          <w:szCs w:val="20"/>
          <w:lang w:eastAsia="zh-Hans"/>
        </w:rPr>
        <w:t>加强预算调整的审批管理</w:t>
      </w:r>
      <w:r>
        <w:rPr>
          <w:rFonts w:ascii="Times New Roman" w:hAnsi="Times New Roman" w:eastAsia="仿宋GB2312" w:cs="Times New Roman"/>
          <w:szCs w:val="20"/>
          <w:lang w:eastAsia="zh-Hans"/>
        </w:rPr>
        <w:t>，</w:t>
      </w:r>
      <w:r>
        <w:rPr>
          <w:rFonts w:hint="eastAsia" w:ascii="Times New Roman" w:hAnsi="Times New Roman" w:eastAsia="仿宋GB2312" w:cs="Times New Roman"/>
          <w:szCs w:val="20"/>
          <w:lang w:eastAsia="zh-Hans"/>
        </w:rPr>
        <w:t>提升预算调整的规范性和严谨性意识</w:t>
      </w:r>
      <w:r>
        <w:rPr>
          <w:rFonts w:ascii="Times New Roman" w:hAnsi="Times New Roman" w:eastAsia="仿宋GB2312" w:cs="Times New Roman"/>
          <w:szCs w:val="20"/>
          <w:lang w:eastAsia="zh-Hans"/>
        </w:rPr>
        <w:t>，</w:t>
      </w:r>
      <w:r>
        <w:rPr>
          <w:rFonts w:hint="eastAsia" w:ascii="Times New Roman" w:hAnsi="Times New Roman" w:eastAsia="仿宋GB2312" w:cs="Times New Roman"/>
          <w:szCs w:val="20"/>
          <w:lang w:eastAsia="zh-Hans"/>
        </w:rPr>
        <w:t>减少出现较大预算调整的情况</w:t>
      </w:r>
      <w:r>
        <w:rPr>
          <w:rFonts w:ascii="Times New Roman" w:hAnsi="Times New Roman" w:eastAsia="仿宋GB2312" w:cs="Times New Roman"/>
          <w:szCs w:val="20"/>
          <w:lang w:eastAsia="zh-Hans"/>
        </w:rPr>
        <w:t>，</w:t>
      </w:r>
      <w:r>
        <w:rPr>
          <w:rFonts w:hint="eastAsia" w:ascii="Times New Roman" w:hAnsi="Times New Roman" w:eastAsia="仿宋GB2312" w:cs="Times New Roman"/>
          <w:szCs w:val="20"/>
          <w:lang w:eastAsia="zh-Hans"/>
        </w:rPr>
        <w:t>预算编制要考虑当年部门工作计划组织，参考上年年度预算执行的结果和来年财政收支、政策变化，预算编制前后要衔接，预算安排需精细。避免占用财政资金额度的情况出现</w:t>
      </w:r>
      <w:r>
        <w:rPr>
          <w:rFonts w:ascii="Times New Roman" w:hAnsi="Times New Roman" w:eastAsia="仿宋GB2312" w:cs="Times New Roman"/>
          <w:szCs w:val="20"/>
          <w:lang w:eastAsia="zh-Hans"/>
        </w:rPr>
        <w:t>，</w:t>
      </w:r>
      <w:r>
        <w:rPr>
          <w:rFonts w:hint="eastAsia" w:ascii="Times New Roman" w:hAnsi="Times New Roman" w:eastAsia="仿宋GB2312" w:cs="Times New Roman"/>
          <w:szCs w:val="20"/>
          <w:lang w:eastAsia="zh-Hans"/>
        </w:rPr>
        <w:t>促进资金有效配置。</w:t>
      </w:r>
    </w:p>
    <w:p>
      <w:pPr>
        <w:snapToGrid w:val="0"/>
        <w:ind w:firstLine="640"/>
        <w:outlineLvl w:val="2"/>
        <w:rPr>
          <w:rFonts w:ascii="Times New Roman" w:hAnsi="Times New Roman" w:eastAsia="仿宋GB2312" w:cs="Times New Roman"/>
          <w:bCs/>
          <w:szCs w:val="20"/>
        </w:rPr>
      </w:pPr>
      <w:r>
        <w:rPr>
          <w:rFonts w:hint="eastAsia" w:ascii="Times New Roman" w:hAnsi="Times New Roman" w:eastAsia="仿宋GB2312" w:cs="Times New Roman"/>
          <w:bCs/>
          <w:szCs w:val="20"/>
        </w:rPr>
        <w:t>5.提升绩效管理水平</w:t>
      </w:r>
    </w:p>
    <w:p>
      <w:pPr>
        <w:ind w:firstLine="640"/>
        <w:rPr>
          <w:rFonts w:ascii="Times New Roman" w:hAnsi="Times New Roman" w:eastAsia="仿宋GB2312" w:cs="Times New Roman"/>
          <w:bCs/>
          <w:szCs w:val="20"/>
        </w:rPr>
      </w:pPr>
      <w:r>
        <w:rPr>
          <w:rFonts w:hint="eastAsia" w:ascii="Times New Roman" w:hAnsi="Times New Roman" w:eastAsia="仿宋GB2312" w:cs="Times New Roman"/>
          <w:bCs/>
          <w:szCs w:val="20"/>
        </w:rPr>
        <w:t>建议相关人员根据项目重点支出方向、参照各个细项的申报材料当中的具体实施内容和预期效果提炼绩效目标，并根据绩效目标设置全面、清晰、可衡量的绩效指标。比如：卫生院医疗设施升级改造工作，通过采购医疗设备提升医疗水平，则可以设置采购设备验收合格率、医疗水平提升程度、医疗设备采购完成率、医疗设备购置的必要性等指标。</w:t>
      </w:r>
    </w:p>
    <w:p>
      <w:pPr>
        <w:ind w:firstLine="640"/>
        <w:rPr>
          <w:rFonts w:ascii="Times New Roman" w:hAnsi="Times New Roman" w:eastAsia="仿宋GB2312" w:cs="Times New Roman"/>
          <w:bCs/>
          <w:szCs w:val="20"/>
        </w:rPr>
      </w:pPr>
      <w:r>
        <w:rPr>
          <w:rFonts w:hint="eastAsia" w:ascii="Times New Roman" w:hAnsi="Times New Roman" w:eastAsia="仿宋GB2312" w:cs="Times New Roman"/>
          <w:bCs/>
          <w:szCs w:val="20"/>
        </w:rPr>
        <w:t>另建议严格按照区财政局的绩效管理要求做好绩效申报、绩效监控、绩效自评工作。</w:t>
      </w:r>
    </w:p>
    <w:p>
      <w:pPr>
        <w:ind w:firstLine="640"/>
      </w:pPr>
    </w:p>
    <w:p>
      <w:pPr>
        <w:ind w:firstLine="960" w:firstLineChars="300"/>
        <w:jc w:val="right"/>
        <w:rPr>
          <w:rFonts w:hAnsi="仿宋_GB2312" w:cs="仿宋_GB2312"/>
          <w:bCs/>
          <w:szCs w:val="32"/>
        </w:rPr>
      </w:pPr>
      <w:r>
        <w:rPr>
          <w:rFonts w:hint="eastAsia" w:ascii="黑体" w:hAnsi="黑体" w:eastAsia="黑体" w:cs="黑体"/>
          <w:bCs/>
          <w:color w:val="4F81BD"/>
          <w:szCs w:val="32"/>
        </w:rPr>
        <w:t xml:space="preserve">       </w:t>
      </w:r>
    </w:p>
    <w:p>
      <w:pPr>
        <w:ind w:firstLine="960" w:firstLineChars="300"/>
        <w:jc w:val="right"/>
      </w:pPr>
      <w:r>
        <w:rPr>
          <w:rFonts w:hint="eastAsia" w:hAnsi="仿宋_GB2312" w:cs="仿宋_GB2312"/>
          <w:bCs/>
          <w:szCs w:val="32"/>
        </w:rPr>
        <w:t xml:space="preserve">                        </w:t>
      </w:r>
    </w:p>
    <w:p>
      <w:pPr>
        <w:ind w:firstLine="640"/>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 w:name="方正小标宋简体">
    <w:altName w:val="仿宋_GB2312"/>
    <w:panose1 w:val="02010601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jc w:val="center"/>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仿宋_GB2312"/>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仿宋_GB2312"/>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v:textbox>
            </v:shape>
          </w:pict>
        </mc:Fallback>
      </mc:AlternateContent>
    </w:r>
  </w:p>
  <w:p>
    <w:pPr>
      <w:pStyle w:val="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EwZWRiOTdiNmQwMDdjZmU4MzFhYTM5ZmRiZWJjMzYifQ=="/>
  </w:docVars>
  <w:rsids>
    <w:rsidRoot w:val="00F37D9B"/>
    <w:rsid w:val="00010312"/>
    <w:rsid w:val="00012BE0"/>
    <w:rsid w:val="00072A06"/>
    <w:rsid w:val="000C3F73"/>
    <w:rsid w:val="00164641"/>
    <w:rsid w:val="00186693"/>
    <w:rsid w:val="00266701"/>
    <w:rsid w:val="00336556"/>
    <w:rsid w:val="00397980"/>
    <w:rsid w:val="003C2774"/>
    <w:rsid w:val="003D7301"/>
    <w:rsid w:val="004374FE"/>
    <w:rsid w:val="00461A6B"/>
    <w:rsid w:val="004760D0"/>
    <w:rsid w:val="005001E3"/>
    <w:rsid w:val="005A6F65"/>
    <w:rsid w:val="00656672"/>
    <w:rsid w:val="006F6E44"/>
    <w:rsid w:val="00711BF3"/>
    <w:rsid w:val="00795DBF"/>
    <w:rsid w:val="007C29C4"/>
    <w:rsid w:val="00802AB0"/>
    <w:rsid w:val="008047DF"/>
    <w:rsid w:val="0082506C"/>
    <w:rsid w:val="00834C6D"/>
    <w:rsid w:val="009C5FA7"/>
    <w:rsid w:val="009D681B"/>
    <w:rsid w:val="009E3EA7"/>
    <w:rsid w:val="00A809D9"/>
    <w:rsid w:val="00AE4F8D"/>
    <w:rsid w:val="00B0301E"/>
    <w:rsid w:val="00B83FFC"/>
    <w:rsid w:val="00BB5147"/>
    <w:rsid w:val="00BB6B0A"/>
    <w:rsid w:val="00BF4518"/>
    <w:rsid w:val="00D07EF9"/>
    <w:rsid w:val="00D11813"/>
    <w:rsid w:val="00D51A2E"/>
    <w:rsid w:val="00D80939"/>
    <w:rsid w:val="00DA0D25"/>
    <w:rsid w:val="00E16E46"/>
    <w:rsid w:val="00EE22DE"/>
    <w:rsid w:val="00F11889"/>
    <w:rsid w:val="00F37D9B"/>
    <w:rsid w:val="01054551"/>
    <w:rsid w:val="036358AE"/>
    <w:rsid w:val="0F114BFB"/>
    <w:rsid w:val="11936C65"/>
    <w:rsid w:val="11F50F29"/>
    <w:rsid w:val="150F754A"/>
    <w:rsid w:val="1F8009E4"/>
    <w:rsid w:val="3B847D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80" w:lineRule="exact"/>
      <w:ind w:firstLine="200" w:firstLineChars="200"/>
      <w:jc w:val="both"/>
    </w:pPr>
    <w:rPr>
      <w:rFonts w:ascii="仿宋_GB2312" w:eastAsia="仿宋_GB2312" w:hAnsiTheme="minorHAnsi" w:cstheme="minorBidi"/>
      <w:kern w:val="2"/>
      <w:sz w:val="32"/>
      <w:szCs w:val="24"/>
      <w:lang w:val="en-US" w:eastAsia="zh-CN" w:bidi="ar-SA"/>
    </w:rPr>
  </w:style>
  <w:style w:type="paragraph" w:styleId="2">
    <w:name w:val="heading 1"/>
    <w:basedOn w:val="1"/>
    <w:next w:val="1"/>
    <w:link w:val="13"/>
    <w:qFormat/>
    <w:uiPriority w:val="9"/>
    <w:pPr>
      <w:outlineLvl w:val="0"/>
    </w:pPr>
    <w:rPr>
      <w:rFonts w:eastAsia="黑体"/>
      <w:bCs/>
      <w:kern w:val="44"/>
      <w:szCs w:val="44"/>
    </w:rPr>
  </w:style>
  <w:style w:type="paragraph" w:styleId="3">
    <w:name w:val="heading 2"/>
    <w:basedOn w:val="1"/>
    <w:next w:val="1"/>
    <w:link w:val="12"/>
    <w:unhideWhenUsed/>
    <w:qFormat/>
    <w:uiPriority w:val="9"/>
    <w:pPr>
      <w:outlineLvl w:val="1"/>
    </w:pPr>
    <w:rPr>
      <w:rFonts w:eastAsia="楷体" w:asciiTheme="majorHAnsi" w:hAnsiTheme="majorHAnsi" w:cstheme="majorBidi"/>
      <w:bCs/>
      <w:szCs w:val="32"/>
    </w:rPr>
  </w:style>
  <w:style w:type="character" w:default="1" w:styleId="7">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4">
    <w:name w:val="footer"/>
    <w:basedOn w:val="1"/>
    <w:link w:val="11"/>
    <w:unhideWhenUsed/>
    <w:qFormat/>
    <w:uiPriority w:val="99"/>
    <w:pPr>
      <w:tabs>
        <w:tab w:val="center" w:pos="4153"/>
        <w:tab w:val="right" w:pos="8306"/>
      </w:tabs>
      <w:snapToGrid w:val="0"/>
      <w:spacing w:line="240" w:lineRule="atLeast"/>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table" w:customStyle="1" w:styleId="8">
    <w:name w:val="网格型1"/>
    <w:basedOn w:val="6"/>
    <w:qFormat/>
    <w:uiPriority w:val="3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9">
    <w:name w:val="List Paragraph"/>
    <w:basedOn w:val="1"/>
    <w:qFormat/>
    <w:uiPriority w:val="34"/>
    <w:pPr>
      <w:ind w:firstLine="420"/>
    </w:pPr>
  </w:style>
  <w:style w:type="character" w:customStyle="1" w:styleId="10">
    <w:name w:val="页眉 字符"/>
    <w:basedOn w:val="7"/>
    <w:link w:val="5"/>
    <w:qFormat/>
    <w:uiPriority w:val="99"/>
    <w:rPr>
      <w:rFonts w:ascii="仿宋_GB2312" w:eastAsia="仿宋_GB2312"/>
      <w:sz w:val="18"/>
      <w:szCs w:val="18"/>
    </w:rPr>
  </w:style>
  <w:style w:type="character" w:customStyle="1" w:styleId="11">
    <w:name w:val="页脚 字符"/>
    <w:basedOn w:val="7"/>
    <w:link w:val="4"/>
    <w:qFormat/>
    <w:uiPriority w:val="99"/>
    <w:rPr>
      <w:rFonts w:ascii="仿宋_GB2312" w:eastAsia="仿宋_GB2312"/>
      <w:sz w:val="18"/>
      <w:szCs w:val="18"/>
    </w:rPr>
  </w:style>
  <w:style w:type="character" w:customStyle="1" w:styleId="12">
    <w:name w:val="标题 2 字符"/>
    <w:basedOn w:val="7"/>
    <w:link w:val="3"/>
    <w:qFormat/>
    <w:uiPriority w:val="9"/>
    <w:rPr>
      <w:rFonts w:eastAsia="楷体" w:asciiTheme="majorHAnsi" w:hAnsiTheme="majorHAnsi" w:cstheme="majorBidi"/>
      <w:bCs/>
      <w:kern w:val="2"/>
      <w:sz w:val="32"/>
      <w:szCs w:val="32"/>
    </w:rPr>
  </w:style>
  <w:style w:type="character" w:customStyle="1" w:styleId="13">
    <w:name w:val="标题 1 字符"/>
    <w:basedOn w:val="7"/>
    <w:link w:val="2"/>
    <w:qFormat/>
    <w:uiPriority w:val="9"/>
    <w:rPr>
      <w:rFonts w:ascii="仿宋_GB2312" w:eastAsia="黑体"/>
      <w:bCs/>
      <w:kern w:val="44"/>
      <w:sz w:val="32"/>
      <w:szCs w:val="44"/>
    </w:rPr>
  </w:style>
  <w:style w:type="paragraph" w:styleId="14">
    <w:name w:val="No Spacing"/>
    <w:qFormat/>
    <w:uiPriority w:val="1"/>
    <w:pPr>
      <w:widowControl w:val="0"/>
      <w:spacing w:line="580" w:lineRule="exact"/>
      <w:ind w:firstLine="200" w:firstLineChars="200"/>
      <w:jc w:val="both"/>
    </w:pPr>
    <w:rPr>
      <w:rFonts w:eastAsia="仿宋_GB2312" w:asciiTheme="minorHAnsi" w:hAnsiTheme="minorHAnsi" w:cstheme="minorBidi"/>
      <w:kern w:val="2"/>
      <w:sz w:val="32"/>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E176210-02E0-46C0-9198-A81705743409}">
  <ds:schemaRefs/>
</ds:datastoreItem>
</file>

<file path=docProps/app.xml><?xml version="1.0" encoding="utf-8"?>
<Properties xmlns="http://schemas.openxmlformats.org/officeDocument/2006/extended-properties" xmlns:vt="http://schemas.openxmlformats.org/officeDocument/2006/docPropsVTypes">
  <Template>Normal</Template>
  <Pages>7</Pages>
  <Words>506</Words>
  <Characters>2888</Characters>
  <Lines>24</Lines>
  <Paragraphs>6</Paragraphs>
  <TotalTime>0</TotalTime>
  <ScaleCrop>false</ScaleCrop>
  <LinksUpToDate>false</LinksUpToDate>
  <CharactersWithSpaces>3388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2022-09-09T02:28:00Z</dcterms:created>
  <dc:creator>Yuan Raine</dc:creator>
  <cp:lastModifiedBy>周怡</cp:lastModifiedBy>
  <dcterms:modified xsi:type="dcterms:W3CDTF">2022-12-01T03:11:32Z</dcterms:modified>
  <dc:title>2021年从化区农业农村局北部山区补助资金项目绩效评价简要报告</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A776A4260BC84EE3BAA6D89137E24DC7</vt:lpwstr>
  </property>
</Properties>
</file>