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atLeast"/>
        <w:jc w:val="both"/>
        <w:rPr>
          <w:rFonts w:eastAsia="方正小标宋_GBK"/>
          <w:b/>
          <w:kern w:val="0"/>
          <w:sz w:val="44"/>
          <w:szCs w:val="44"/>
        </w:rPr>
      </w:pPr>
    </w:p>
    <w:p>
      <w:pPr>
        <w:adjustRightInd w:val="0"/>
        <w:snapToGrid w:val="0"/>
        <w:spacing w:line="560" w:lineRule="atLeast"/>
        <w:jc w:val="center"/>
        <w:rPr>
          <w:rFonts w:hint="eastAsia" w:ascii="方正小标宋_GBK" w:hAnsi="方正小标宋_GBK" w:eastAsia="方正小标宋_GBK" w:cs="方正小标宋_GBK"/>
          <w:bCs/>
          <w:kern w:val="0"/>
          <w:sz w:val="44"/>
          <w:szCs w:val="44"/>
        </w:rPr>
      </w:pPr>
      <w:r>
        <w:rPr>
          <w:rFonts w:hint="eastAsia" w:ascii="方正小标宋_GBK" w:hAnsi="方正小标宋_GBK" w:eastAsia="方正小标宋_GBK" w:cs="方正小标宋_GBK"/>
          <w:bCs/>
          <w:kern w:val="0"/>
          <w:sz w:val="44"/>
          <w:szCs w:val="44"/>
        </w:rPr>
        <w:t>广州市从化区2021年生活垃圾分类工作</w:t>
      </w:r>
    </w:p>
    <w:p>
      <w:pPr>
        <w:adjustRightInd w:val="0"/>
        <w:snapToGrid w:val="0"/>
        <w:spacing w:line="560" w:lineRule="atLeast"/>
        <w:jc w:val="center"/>
        <w:rPr>
          <w:rFonts w:hint="eastAsia" w:ascii="方正小标宋_GBK" w:hAnsi="方正小标宋_GBK" w:eastAsia="方正小标宋_GBK" w:cs="方正小标宋_GBK"/>
          <w:bCs/>
          <w:kern w:val="0"/>
          <w:sz w:val="44"/>
          <w:szCs w:val="44"/>
        </w:rPr>
      </w:pPr>
      <w:r>
        <w:rPr>
          <w:rFonts w:hint="eastAsia" w:ascii="方正小标宋_GBK" w:hAnsi="方正小标宋_GBK" w:eastAsia="方正小标宋_GBK" w:cs="方正小标宋_GBK"/>
          <w:bCs/>
          <w:kern w:val="0"/>
          <w:sz w:val="44"/>
          <w:szCs w:val="44"/>
        </w:rPr>
        <w:t>经费项目绩效评价</w:t>
      </w:r>
      <w:r>
        <w:rPr>
          <w:rFonts w:hint="eastAsia" w:ascii="方正小标宋_GBK" w:hAnsi="方正小标宋_GBK" w:eastAsia="方正小标宋_GBK" w:cs="方正小标宋_GBK"/>
          <w:bCs/>
          <w:kern w:val="0"/>
          <w:sz w:val="44"/>
          <w:szCs w:val="44"/>
          <w:lang w:val="en-US" w:eastAsia="zh-CN"/>
        </w:rPr>
        <w:t>简要</w:t>
      </w:r>
      <w:r>
        <w:rPr>
          <w:rFonts w:hint="eastAsia" w:ascii="方正小标宋_GBK" w:hAnsi="方正小标宋_GBK" w:eastAsia="方正小标宋_GBK" w:cs="方正小标宋_GBK"/>
          <w:bCs/>
          <w:kern w:val="0"/>
          <w:sz w:val="44"/>
          <w:szCs w:val="44"/>
        </w:rPr>
        <w:t>报告</w:t>
      </w:r>
      <w:bookmarkStart w:id="20" w:name="_GoBack"/>
      <w:bookmarkEnd w:id="20"/>
    </w:p>
    <w:p>
      <w:pPr>
        <w:jc w:val="center"/>
      </w:pPr>
      <w:r>
        <w:rPr>
          <w:rFonts w:hint="eastAsia" w:eastAsia="仿宋_GB2312"/>
          <w:snapToGrid w:val="0"/>
          <w:kern w:val="0"/>
          <w:sz w:val="32"/>
          <w:szCs w:val="32"/>
        </w:rPr>
        <w:t>天津中审联有限责任会计师事务所</w:t>
      </w:r>
      <w:bookmarkStart w:id="0" w:name="_Toc54364571"/>
      <w:bookmarkStart w:id="1" w:name="_Toc29133"/>
      <w:bookmarkStart w:id="2" w:name="_Toc2979"/>
      <w:bookmarkStart w:id="3" w:name="_Toc12794488"/>
      <w:bookmarkStart w:id="4" w:name="_Toc26130"/>
      <w:bookmarkStart w:id="5" w:name="_Toc6530"/>
      <w:bookmarkStart w:id="6" w:name="_Toc45111711"/>
      <w:bookmarkStart w:id="7" w:name="_Toc21945"/>
    </w:p>
    <w:bookmarkEnd w:id="0"/>
    <w:bookmarkEnd w:id="1"/>
    <w:bookmarkEnd w:id="2"/>
    <w:bookmarkEnd w:id="3"/>
    <w:bookmarkEnd w:id="4"/>
    <w:bookmarkEnd w:id="5"/>
    <w:bookmarkEnd w:id="6"/>
    <w:bookmarkEnd w:id="7"/>
    <w:p>
      <w:pPr>
        <w:ind w:firstLine="640" w:firstLineChars="200"/>
        <w:rPr>
          <w:rFonts w:ascii="黑体" w:hAnsi="黑体" w:eastAsia="黑体"/>
          <w:sz w:val="32"/>
          <w:szCs w:val="32"/>
        </w:rPr>
      </w:pPr>
    </w:p>
    <w:p>
      <w:pPr>
        <w:ind w:firstLine="640" w:firstLineChars="200"/>
        <w:outlineLvl w:val="0"/>
        <w:rPr>
          <w:rFonts w:ascii="黑体" w:hAnsi="黑体" w:eastAsia="黑体"/>
          <w:sz w:val="32"/>
          <w:szCs w:val="32"/>
        </w:rPr>
      </w:pPr>
      <w:r>
        <w:rPr>
          <w:rFonts w:hint="eastAsia" w:ascii="黑体" w:hAnsi="黑体" w:eastAsia="黑体"/>
          <w:sz w:val="32"/>
          <w:szCs w:val="32"/>
        </w:rPr>
        <w:t>一、评价概况</w:t>
      </w:r>
    </w:p>
    <w:p>
      <w:pPr>
        <w:pStyle w:val="2"/>
        <w:ind w:firstLine="640"/>
        <w:outlineLvl w:val="1"/>
        <w:rPr>
          <w:rFonts w:ascii="楷体_GB2312" w:hAnsi="楷体_GB2312" w:eastAsia="楷体_GB2312" w:cs="楷体_GB2312"/>
          <w:sz w:val="32"/>
          <w:szCs w:val="32"/>
        </w:rPr>
      </w:pPr>
      <w:r>
        <w:rPr>
          <w:rFonts w:hint="eastAsia" w:ascii="楷体_GB2312" w:hAnsi="楷体_GB2312" w:eastAsia="楷体_GB2312" w:cs="楷体_GB2312"/>
          <w:sz w:val="32"/>
          <w:szCs w:val="32"/>
        </w:rPr>
        <w:t>（一）项目基本情况</w:t>
      </w:r>
    </w:p>
    <w:p>
      <w:pPr>
        <w:adjustRightInd w:val="0"/>
        <w:snapToGrid w:val="0"/>
        <w:spacing w:line="560" w:lineRule="atLeast"/>
        <w:ind w:firstLine="640" w:firstLineChars="200"/>
        <w:jc w:val="left"/>
        <w:rPr>
          <w:rFonts w:eastAsia="仿宋_GB2312"/>
          <w:sz w:val="32"/>
          <w:szCs w:val="32"/>
        </w:rPr>
      </w:pPr>
      <w:r>
        <w:rPr>
          <w:rFonts w:hint="eastAsia" w:eastAsia="仿宋_GB2312"/>
          <w:color w:val="000000"/>
          <w:sz w:val="32"/>
          <w:szCs w:val="32"/>
          <w:lang w:val="en-US" w:eastAsia="zh-CN"/>
        </w:rPr>
        <w:t>受</w:t>
      </w:r>
      <w:r>
        <w:rPr>
          <w:rFonts w:hint="eastAsia" w:eastAsia="仿宋_GB2312"/>
          <w:color w:val="000000"/>
          <w:sz w:val="32"/>
          <w:szCs w:val="32"/>
        </w:rPr>
        <w:t>广州市从化区</w:t>
      </w:r>
      <w:r>
        <w:rPr>
          <w:rFonts w:hint="eastAsia" w:eastAsia="仿宋_GB2312"/>
          <w:color w:val="000000"/>
          <w:sz w:val="32"/>
          <w:szCs w:val="32"/>
          <w:lang w:val="en-US" w:eastAsia="zh-CN"/>
        </w:rPr>
        <w:t>财政局委托，我所对</w:t>
      </w:r>
      <w:r>
        <w:rPr>
          <w:rFonts w:hint="eastAsia" w:eastAsia="仿宋_GB2312"/>
          <w:sz w:val="32"/>
          <w:szCs w:val="32"/>
        </w:rPr>
        <w:t>广州市从化区城市管理和综合执法局</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以下简称“</w:t>
      </w:r>
      <w:r>
        <w:rPr>
          <w:rFonts w:hint="eastAsia" w:ascii="仿宋_GB2312" w:hAnsi="仿宋_GB2312" w:eastAsia="仿宋_GB2312" w:cs="仿宋_GB2312"/>
          <w:sz w:val="32"/>
          <w:szCs w:val="32"/>
          <w:lang w:val="en-US" w:eastAsia="zh-CN"/>
        </w:rPr>
        <w:t>从化城管局</w:t>
      </w:r>
      <w:r>
        <w:rPr>
          <w:rFonts w:hint="eastAsia" w:ascii="仿宋_GB2312" w:hAnsi="仿宋_GB2312" w:eastAsia="仿宋_GB2312" w:cs="仿宋_GB2312"/>
          <w:sz w:val="32"/>
          <w:szCs w:val="32"/>
          <w:lang w:eastAsia="zh-CN"/>
        </w:rPr>
        <w:t>”</w:t>
      </w:r>
      <w:r>
        <w:rPr>
          <w:rFonts w:hint="eastAsia" w:ascii="Times New Roman" w:hAnsi="Times New Roman" w:eastAsia="仿宋_GB2312" w:cs="Times New Roman"/>
          <w:color w:val="000000"/>
          <w:sz w:val="32"/>
          <w:szCs w:val="32"/>
          <w:lang w:val="en-US" w:eastAsia="zh-CN"/>
        </w:rPr>
        <w:t>）的“广州市从化区2021年生活垃圾分类工作经费”项目实施了第三方绩效评价，形成评价报告。为规范城乡生活垃圾管理，控制</w:t>
      </w:r>
      <w:r>
        <w:rPr>
          <w:rFonts w:hint="eastAsia" w:eastAsia="仿宋_GB2312"/>
          <w:sz w:val="32"/>
          <w:szCs w:val="32"/>
        </w:rPr>
        <w:t>污染，保护环境，推进生态文明建设，促进经济社会可持续发展。广州市做为国内第一个实施城市生活垃圾分类管理的城市，于2</w:t>
      </w:r>
      <w:r>
        <w:rPr>
          <w:rFonts w:eastAsia="仿宋_GB2312"/>
          <w:sz w:val="32"/>
          <w:szCs w:val="32"/>
        </w:rPr>
        <w:t>011</w:t>
      </w:r>
      <w:r>
        <w:rPr>
          <w:rFonts w:hint="eastAsia" w:eastAsia="仿宋_GB2312"/>
          <w:sz w:val="32"/>
          <w:szCs w:val="32"/>
        </w:rPr>
        <w:t>年4月7日制订了《广州市城市生活垃圾分类管理暂行规定》，并于2020年11月27日由广东省第十三届人民代表大会常务委员会第二十六次会议修订通过新版《广东省城乡生活垃圾管理条例》，条例于2021年1月1日起正式施行。根据从化区人民政府审批同意，广州市从化区城市管理和综合执法局贯彻落实《广州市从化区深化生活垃圾分类处理三年行动计划(2019-2021 年)》，制定了《广州市从化区2021年生活垃圾分类工作实施方案》、《从化区2021年生活垃圾分类工作经费保障方案》加快推进全区生活垃圾分类工作建设，提高群众知晓率，改善人居环境，提升城市形象。</w:t>
      </w:r>
    </w:p>
    <w:p>
      <w:pPr>
        <w:pStyle w:val="2"/>
        <w:ind w:firstLine="640"/>
        <w:outlineLvl w:val="1"/>
        <w:rPr>
          <w:rFonts w:ascii="楷体_GB2312" w:hAnsi="楷体_GB2312" w:eastAsia="楷体_GB2312" w:cs="楷体_GB2312"/>
          <w:sz w:val="32"/>
          <w:szCs w:val="32"/>
        </w:rPr>
      </w:pPr>
      <w:r>
        <w:rPr>
          <w:rFonts w:hint="eastAsia" w:ascii="楷体_GB2312" w:hAnsi="楷体_GB2312" w:eastAsia="楷体_GB2312" w:cs="楷体_GB2312"/>
          <w:sz w:val="32"/>
          <w:szCs w:val="32"/>
        </w:rPr>
        <w:t>（二）项目资金情况</w:t>
      </w:r>
    </w:p>
    <w:p>
      <w:pPr>
        <w:ind w:firstLine="640" w:firstLineChars="200"/>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2021年度</w:t>
      </w:r>
      <w:r>
        <w:rPr>
          <w:rFonts w:hint="eastAsia" w:ascii="仿宋_GB2312" w:hAnsi="仿宋_GB2312" w:eastAsia="仿宋_GB2312" w:cs="仿宋_GB2312"/>
          <w:sz w:val="32"/>
          <w:szCs w:val="32"/>
        </w:rPr>
        <w:t>从化区城市管理和综合执法局</w:t>
      </w:r>
      <w:r>
        <w:rPr>
          <w:rFonts w:hint="eastAsia" w:ascii="仿宋_GB2312" w:hAnsi="仿宋_GB2312" w:eastAsia="仿宋_GB2312" w:cs="仿宋_GB2312"/>
          <w:snapToGrid w:val="0"/>
          <w:kern w:val="0"/>
          <w:sz w:val="32"/>
          <w:szCs w:val="32"/>
          <w:lang w:val="en-US" w:eastAsia="zh-CN"/>
        </w:rPr>
        <w:t>年初预算安排</w:t>
      </w:r>
      <w:r>
        <w:rPr>
          <w:rFonts w:hint="eastAsia" w:ascii="仿宋_GB2312" w:hAnsi="仿宋_GB2312" w:eastAsia="仿宋_GB2312" w:cs="仿宋_GB2312"/>
          <w:sz w:val="32"/>
          <w:szCs w:val="32"/>
        </w:rPr>
        <w:t>生活垃圾工作经费2,451.23万元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napToGrid w:val="0"/>
          <w:kern w:val="0"/>
          <w:sz w:val="32"/>
          <w:szCs w:val="32"/>
          <w:lang w:val="en-US" w:eastAsia="zh-CN"/>
        </w:rPr>
        <w:t>2021年实际支出</w:t>
      </w:r>
      <w:r>
        <w:rPr>
          <w:rFonts w:hint="eastAsia" w:ascii="仿宋_GB2312" w:hAnsi="仿宋_GB2312" w:eastAsia="仿宋_GB2312" w:cs="仿宋_GB2312"/>
          <w:sz w:val="32"/>
          <w:szCs w:val="32"/>
        </w:rPr>
        <w:t>生活垃圾工作经费</w:t>
      </w:r>
      <w:r>
        <w:rPr>
          <w:rFonts w:hint="eastAsia" w:ascii="仿宋_GB2312" w:hAnsi="仿宋_GB2312" w:eastAsia="仿宋_GB2312" w:cs="仿宋_GB2312"/>
          <w:snapToGrid w:val="0"/>
          <w:kern w:val="0"/>
          <w:sz w:val="32"/>
          <w:szCs w:val="32"/>
        </w:rPr>
        <w:t>2</w:t>
      </w:r>
      <w:r>
        <w:rPr>
          <w:rFonts w:hint="eastAsia" w:ascii="仿宋_GB2312" w:hAnsi="仿宋_GB2312" w:eastAsia="仿宋_GB2312" w:cs="仿宋_GB2312"/>
          <w:sz w:val="32"/>
          <w:szCs w:val="32"/>
        </w:rPr>
        <w:t>,</w:t>
      </w:r>
      <w:r>
        <w:rPr>
          <w:rFonts w:hint="eastAsia" w:ascii="仿宋_GB2312" w:hAnsi="仿宋_GB2312" w:eastAsia="仿宋_GB2312" w:cs="仿宋_GB2312"/>
          <w:snapToGrid w:val="0"/>
          <w:kern w:val="0"/>
          <w:sz w:val="32"/>
          <w:szCs w:val="32"/>
        </w:rPr>
        <w:t>302.42万元</w:t>
      </w:r>
      <w:r>
        <w:rPr>
          <w:rFonts w:hint="eastAsia" w:ascii="仿宋_GB2312" w:hAnsi="仿宋_GB2312" w:eastAsia="仿宋_GB2312" w:cs="仿宋_GB2312"/>
          <w:snapToGrid w:val="0"/>
          <w:kern w:val="0"/>
          <w:sz w:val="32"/>
          <w:szCs w:val="32"/>
          <w:lang w:eastAsia="zh-CN"/>
        </w:rPr>
        <w:t>，</w:t>
      </w:r>
      <w:r>
        <w:rPr>
          <w:rFonts w:hint="eastAsia" w:ascii="仿宋_GB2312" w:hAnsi="仿宋_GB2312" w:eastAsia="仿宋_GB2312" w:cs="仿宋_GB2312"/>
          <w:snapToGrid w:val="0"/>
          <w:kern w:val="0"/>
          <w:sz w:val="32"/>
          <w:szCs w:val="32"/>
          <w:lang w:val="en-US" w:eastAsia="zh-CN"/>
        </w:rPr>
        <w:t>预算完成率93.92%。预算编制较为准确，资金使用效率较高，资金支出与项目内容相符。</w:t>
      </w:r>
    </w:p>
    <w:p>
      <w:pPr>
        <w:pStyle w:val="2"/>
        <w:ind w:firstLine="640"/>
        <w:outlineLvl w:val="1"/>
        <w:rPr>
          <w:rFonts w:ascii="楷体_GB2312" w:hAnsi="楷体_GB2312" w:eastAsia="楷体_GB2312" w:cs="楷体_GB2312"/>
          <w:sz w:val="32"/>
          <w:szCs w:val="32"/>
        </w:rPr>
      </w:pPr>
      <w:r>
        <w:rPr>
          <w:rFonts w:hint="eastAsia" w:ascii="楷体_GB2312" w:hAnsi="楷体_GB2312" w:eastAsia="楷体_GB2312" w:cs="楷体_GB2312"/>
          <w:sz w:val="32"/>
          <w:szCs w:val="32"/>
        </w:rPr>
        <w:t>（三）项目绩效目标</w:t>
      </w:r>
    </w:p>
    <w:p>
      <w:pPr>
        <w:ind w:firstLine="640" w:firstLineChars="200"/>
        <w:rPr>
          <w:rFonts w:eastAsia="仿宋_GB2312"/>
          <w:sz w:val="32"/>
          <w:szCs w:val="32"/>
        </w:rPr>
      </w:pPr>
      <w:r>
        <w:rPr>
          <w:rFonts w:hint="eastAsia" w:ascii="仿宋_GB2312" w:hAnsi="仿宋_GB2312" w:eastAsia="仿宋_GB2312" w:cs="仿宋_GB2312"/>
          <w:color w:val="000000"/>
          <w:sz w:val="32"/>
          <w:szCs w:val="32"/>
        </w:rPr>
        <w:t>2021</w:t>
      </w:r>
      <w:r>
        <w:rPr>
          <w:rFonts w:hint="eastAsia" w:ascii="Times New Roman" w:hAnsi="Times New Roman" w:eastAsia="仿宋_GB2312"/>
          <w:color w:val="000000"/>
          <w:sz w:val="32"/>
          <w:szCs w:val="32"/>
        </w:rPr>
        <w:t>年</w:t>
      </w:r>
      <w:r>
        <w:rPr>
          <w:rFonts w:hint="eastAsia" w:ascii="Times New Roman" w:hAnsi="Times New Roman" w:eastAsia="仿宋_GB2312"/>
          <w:color w:val="000000"/>
          <w:sz w:val="32"/>
          <w:szCs w:val="32"/>
          <w:lang w:val="en-US" w:eastAsia="zh-CN"/>
        </w:rPr>
        <w:t>项目预期实现的绩效目标是</w:t>
      </w:r>
      <w:r>
        <w:rPr>
          <w:rFonts w:hint="eastAsia" w:eastAsia="仿宋_GB2312"/>
          <w:color w:val="000000"/>
          <w:sz w:val="32"/>
          <w:szCs w:val="32"/>
          <w:lang w:val="en-US" w:eastAsia="zh-CN"/>
        </w:rPr>
        <w:t>：</w:t>
      </w:r>
      <w:r>
        <w:rPr>
          <w:rFonts w:hint="eastAsia" w:eastAsia="仿宋_GB2312"/>
          <w:sz w:val="32"/>
          <w:szCs w:val="32"/>
        </w:rPr>
        <w:t>2</w:t>
      </w:r>
      <w:r>
        <w:rPr>
          <w:rFonts w:eastAsia="仿宋_GB2312"/>
          <w:sz w:val="32"/>
          <w:szCs w:val="32"/>
        </w:rPr>
        <w:t>021</w:t>
      </w:r>
      <w:r>
        <w:rPr>
          <w:rFonts w:hint="eastAsia" w:eastAsia="仿宋_GB2312"/>
          <w:sz w:val="32"/>
          <w:szCs w:val="32"/>
        </w:rPr>
        <w:t>年底基本建成生活垃圾“分类流程闭环运作、督导机制长效运行、宣传发动持续深入”的管理运行体系，优化提升设施设备，实现城乡居民生活垃圾分类知晓率达98%以上，生活垃圾100%无害化处理；农村生活垃圾分类知晓率达98%以上，资源化利用率达25%以上。</w:t>
      </w:r>
    </w:p>
    <w:p>
      <w:pPr>
        <w:pStyle w:val="2"/>
        <w:ind w:firstLine="640"/>
        <w:outlineLvl w:val="1"/>
        <w:rPr>
          <w:rFonts w:ascii="楷体_GB2312" w:hAnsi="楷体_GB2312" w:eastAsia="楷体_GB2312" w:cs="楷体_GB2312"/>
          <w:sz w:val="32"/>
          <w:szCs w:val="32"/>
        </w:rPr>
      </w:pPr>
      <w:r>
        <w:rPr>
          <w:rFonts w:hint="eastAsia" w:ascii="楷体_GB2312" w:hAnsi="楷体_GB2312" w:eastAsia="楷体_GB2312" w:cs="楷体_GB2312"/>
          <w:sz w:val="32"/>
          <w:szCs w:val="32"/>
        </w:rPr>
        <w:t>（四）评价结果</w:t>
      </w:r>
    </w:p>
    <w:p>
      <w:pPr>
        <w:adjustRightInd w:val="0"/>
        <w:snapToGrid w:val="0"/>
        <w:spacing w:line="560" w:lineRule="atLeast"/>
        <w:ind w:firstLine="640" w:firstLineChars="200"/>
        <w:jc w:val="left"/>
        <w:rPr>
          <w:rFonts w:eastAsia="仿宋_GB2312"/>
          <w:sz w:val="32"/>
          <w:szCs w:val="32"/>
        </w:rPr>
      </w:pPr>
      <w:r>
        <w:rPr>
          <w:rFonts w:hint="eastAsia" w:ascii="仿宋_GB2312" w:eastAsia="仿宋_GB2312"/>
          <w:bCs/>
          <w:sz w:val="32"/>
          <w:szCs w:val="32"/>
        </w:rPr>
        <w:t>本次绩效评价以书面材料核查、</w:t>
      </w:r>
      <w:r>
        <w:rPr>
          <w:rFonts w:hint="eastAsia" w:ascii="仿宋_GB2312" w:eastAsia="仿宋_GB2312"/>
          <w:bCs/>
          <w:sz w:val="32"/>
          <w:szCs w:val="32"/>
          <w:lang w:val="en-US" w:eastAsia="zh-CN"/>
        </w:rPr>
        <w:t>现场评价</w:t>
      </w:r>
      <w:r>
        <w:rPr>
          <w:rFonts w:hint="eastAsia" w:eastAsia="仿宋_GB2312"/>
          <w:snapToGrid w:val="0"/>
          <w:kern w:val="0"/>
          <w:sz w:val="32"/>
          <w:szCs w:val="32"/>
          <w:lang w:val="en-US" w:eastAsia="zh-CN"/>
        </w:rPr>
        <w:t>及满意度调查等综合评价方法，对</w:t>
      </w:r>
      <w:r>
        <w:rPr>
          <w:rFonts w:hint="eastAsia" w:ascii="仿宋_GB2312" w:eastAsia="仿宋_GB2312"/>
          <w:bCs/>
          <w:sz w:val="32"/>
          <w:szCs w:val="32"/>
        </w:rPr>
        <w:t>广州市从化区2021年生活垃圾分类工作经费</w:t>
      </w:r>
      <w:r>
        <w:rPr>
          <w:rFonts w:hint="eastAsia" w:ascii="仿宋_GB2312" w:eastAsia="仿宋_GB2312"/>
          <w:bCs/>
          <w:sz w:val="32"/>
          <w:szCs w:val="32"/>
          <w:lang w:val="en-US" w:eastAsia="zh-CN"/>
        </w:rPr>
        <w:t>的决</w:t>
      </w:r>
      <w:r>
        <w:rPr>
          <w:rFonts w:hint="eastAsia" w:ascii="Times New Roman" w:hAnsi="Times New Roman" w:eastAsia="仿宋_GB2312" w:cs="Times New Roman"/>
          <w:color w:val="000000"/>
          <w:sz w:val="32"/>
          <w:szCs w:val="32"/>
          <w:lang w:val="en-US" w:eastAsia="zh-CN"/>
        </w:rPr>
        <w:t>策、过程、产出、效益等方面实施评价，最终项目绩效评价等级为“</w:t>
      </w:r>
      <w:r>
        <w:rPr>
          <w:rFonts w:hint="eastAsia" w:eastAsia="仿宋_GB2312" w:cs="Times New Roman"/>
          <w:color w:val="000000"/>
          <w:sz w:val="32"/>
          <w:szCs w:val="32"/>
          <w:lang w:val="en-US" w:eastAsia="zh-CN"/>
        </w:rPr>
        <w:t>良</w:t>
      </w:r>
      <w:r>
        <w:rPr>
          <w:rFonts w:hint="eastAsia" w:ascii="Times New Roman" w:hAnsi="Times New Roman" w:eastAsia="仿宋_GB2312" w:cs="Times New Roman"/>
          <w:color w:val="000000"/>
          <w:sz w:val="32"/>
          <w:szCs w:val="32"/>
          <w:lang w:val="en-US" w:eastAsia="zh-CN"/>
        </w:rPr>
        <w:t>”。</w:t>
      </w:r>
    </w:p>
    <w:p>
      <w:pPr>
        <w:bidi w:val="0"/>
        <w:ind w:firstLine="640" w:firstLineChars="200"/>
        <w:rPr>
          <w:rFonts w:hint="eastAsia" w:ascii="黑体" w:hAnsi="黑体" w:eastAsia="黑体" w:cs="黑体"/>
          <w:sz w:val="32"/>
          <w:szCs w:val="32"/>
        </w:rPr>
      </w:pPr>
      <w:r>
        <w:rPr>
          <w:rFonts w:hint="eastAsia" w:ascii="黑体" w:hAnsi="黑体" w:eastAsia="黑体" w:cs="黑体"/>
          <w:sz w:val="32"/>
          <w:szCs w:val="32"/>
        </w:rPr>
        <w:t>二、项目绩效</w:t>
      </w:r>
    </w:p>
    <w:p>
      <w:pPr>
        <w:bidi w:val="0"/>
        <w:ind w:firstLine="640" w:firstLineChars="200"/>
        <w:rPr>
          <w:rFonts w:hint="eastAsia" w:ascii="楷体" w:hAnsi="楷体" w:eastAsia="楷体" w:cs="楷体"/>
          <w:b w:val="0"/>
          <w:bCs/>
          <w:sz w:val="32"/>
          <w:szCs w:val="32"/>
        </w:rPr>
      </w:pPr>
      <w:bookmarkStart w:id="8" w:name="_Toc113460383"/>
      <w:r>
        <w:rPr>
          <w:rFonts w:hint="eastAsia" w:ascii="楷体" w:hAnsi="楷体" w:eastAsia="楷体" w:cs="楷体"/>
          <w:sz w:val="32"/>
          <w:szCs w:val="32"/>
        </w:rPr>
        <w:t>（一）完善垃圾分类设施，系</w:t>
      </w:r>
      <w:r>
        <w:rPr>
          <w:rFonts w:hint="eastAsia" w:ascii="楷体" w:hAnsi="楷体" w:eastAsia="楷体" w:cs="楷体"/>
          <w:b w:val="0"/>
          <w:bCs/>
          <w:sz w:val="32"/>
          <w:szCs w:val="32"/>
        </w:rPr>
        <w:t>统科学升级投放点</w:t>
      </w:r>
      <w:bookmarkEnd w:id="8"/>
    </w:p>
    <w:p>
      <w:pPr>
        <w:ind w:firstLine="640" w:firstLineChars="200"/>
        <w:rPr>
          <w:rFonts w:eastAsia="仿宋_GB2312"/>
          <w:sz w:val="32"/>
          <w:szCs w:val="32"/>
        </w:rPr>
      </w:pPr>
      <w:r>
        <w:rPr>
          <w:rFonts w:hint="eastAsia" w:eastAsia="仿宋_GB2312"/>
          <w:sz w:val="32"/>
          <w:szCs w:val="32"/>
        </w:rPr>
        <w:t>从化区将分类投放点建设与“我为群众办实事”实践活动相结合，聚焦群众身边事、烦心事，积极开展生活垃圾分类投放点建设升级工作，2021年依据投放点优化提升“七要素”，建设升级208个分类投放点。</w:t>
      </w:r>
    </w:p>
    <w:p>
      <w:pPr>
        <w:bidi w:val="0"/>
        <w:ind w:firstLine="640" w:firstLineChars="200"/>
        <w:rPr>
          <w:rFonts w:hint="eastAsia" w:ascii="楷体" w:hAnsi="楷体" w:eastAsia="楷体" w:cs="楷体"/>
          <w:sz w:val="32"/>
          <w:szCs w:val="32"/>
        </w:rPr>
      </w:pPr>
      <w:bookmarkStart w:id="9" w:name="_Toc113460384"/>
      <w:r>
        <w:rPr>
          <w:rFonts w:hint="eastAsia" w:ascii="楷体" w:hAnsi="楷体" w:eastAsia="楷体" w:cs="楷体"/>
          <w:sz w:val="32"/>
          <w:szCs w:val="32"/>
        </w:rPr>
        <w:t>（二）配齐新型分类设施，可回收物回收处理有新进展</w:t>
      </w:r>
      <w:bookmarkEnd w:id="9"/>
    </w:p>
    <w:p>
      <w:pPr>
        <w:ind w:firstLine="640" w:firstLineChars="200"/>
        <w:rPr>
          <w:rFonts w:eastAsia="仿宋_GB2312"/>
          <w:sz w:val="32"/>
          <w:szCs w:val="32"/>
        </w:rPr>
      </w:pPr>
      <w:r>
        <w:rPr>
          <w:rFonts w:hint="eastAsia" w:eastAsia="仿宋_GB2312"/>
          <w:sz w:val="32"/>
          <w:szCs w:val="32"/>
        </w:rPr>
        <w:t>在广泛征求群众意见的基础上，积极探索改造与环境相适应、外表更美观的垃圾分类星级投放点，升级改造200个区级星级分类投放点(2021年市级任务指标36个，区级主动加码154个)，提升市民群众分类投放意愿，发挥服务、宣传、督导、带动功能，把垃圾分类工作带到千家万户。</w:t>
      </w:r>
    </w:p>
    <w:p>
      <w:pPr>
        <w:ind w:firstLine="640" w:firstLineChars="200"/>
        <w:rPr>
          <w:rFonts w:eastAsia="仿宋_GB2312"/>
          <w:sz w:val="32"/>
          <w:szCs w:val="32"/>
        </w:rPr>
      </w:pPr>
      <w:r>
        <w:rPr>
          <w:rFonts w:hint="eastAsia" w:eastAsia="仿宋_GB2312"/>
          <w:sz w:val="32"/>
          <w:szCs w:val="32"/>
        </w:rPr>
        <w:t>购置8台多功能智能化回收机，对可回收物实行“定点投放、智能回收”模式；不断充实分类收运力量，优化垃圾收运线路，购置300台垃圾分类电动三轮车，规范收运作业，落实“专桶转运，专车专运”。</w:t>
      </w:r>
    </w:p>
    <w:p>
      <w:pPr>
        <w:bidi w:val="0"/>
        <w:ind w:firstLine="640" w:firstLineChars="200"/>
        <w:rPr>
          <w:rFonts w:hint="eastAsia" w:ascii="楷体" w:hAnsi="楷体" w:eastAsia="楷体" w:cs="楷体"/>
          <w:sz w:val="32"/>
          <w:szCs w:val="32"/>
        </w:rPr>
      </w:pPr>
      <w:bookmarkStart w:id="10" w:name="_Toc113460385"/>
      <w:r>
        <w:rPr>
          <w:rFonts w:hint="eastAsia" w:ascii="楷体" w:hAnsi="楷体" w:eastAsia="楷体" w:cs="楷体"/>
          <w:sz w:val="32"/>
          <w:szCs w:val="32"/>
        </w:rPr>
        <w:t>（三）打造样板村，示范引领，精心培育典型推进</w:t>
      </w:r>
      <w:bookmarkEnd w:id="10"/>
    </w:p>
    <w:p>
      <w:pPr>
        <w:ind w:firstLine="640" w:firstLineChars="200"/>
        <w:rPr>
          <w:rFonts w:eastAsia="仿宋_GB2312"/>
          <w:sz w:val="32"/>
          <w:szCs w:val="32"/>
        </w:rPr>
      </w:pPr>
      <w:r>
        <w:rPr>
          <w:rFonts w:hint="eastAsia" w:eastAsia="仿宋_GB2312"/>
          <w:sz w:val="32"/>
          <w:szCs w:val="32"/>
        </w:rPr>
        <w:t>从化区把农村生活垃圾分类纳入实施乡村振兴战略、美丽乡村建设和人居环境整治内容，因地制宜打造“环保驿站+宣教室”“厨余垃圾就地循环利用”等模式，提升村民垃圾分类意识。成功打造46个样板村，购置4台厨余垃圾就地处理机，完善具有从化特色的“一个驿站+二级管理+三个回收机制+四类分类设施+五个保障机制”的农村生活垃圾分类12345模式。</w:t>
      </w:r>
    </w:p>
    <w:p>
      <w:pPr>
        <w:bidi w:val="0"/>
        <w:ind w:firstLine="640" w:firstLineChars="200"/>
        <w:rPr>
          <w:rFonts w:hint="eastAsia" w:ascii="楷体" w:hAnsi="楷体" w:eastAsia="楷体" w:cs="楷体"/>
          <w:sz w:val="32"/>
          <w:szCs w:val="32"/>
        </w:rPr>
      </w:pPr>
      <w:bookmarkStart w:id="11" w:name="_Toc113460386"/>
      <w:r>
        <w:rPr>
          <w:rFonts w:hint="eastAsia" w:ascii="楷体" w:hAnsi="楷体" w:eastAsia="楷体" w:cs="楷体"/>
          <w:sz w:val="32"/>
          <w:szCs w:val="32"/>
        </w:rPr>
        <w:t>（四）坚持示范带动，深化宣传引导</w:t>
      </w:r>
      <w:bookmarkEnd w:id="11"/>
    </w:p>
    <w:p>
      <w:pPr>
        <w:ind w:firstLine="640" w:firstLineChars="200"/>
        <w:rPr>
          <w:rFonts w:eastAsia="仿宋_GB2312"/>
          <w:sz w:val="32"/>
          <w:szCs w:val="32"/>
        </w:rPr>
      </w:pPr>
      <w:r>
        <w:rPr>
          <w:rFonts w:hint="eastAsia" w:eastAsia="仿宋_GB2312"/>
          <w:sz w:val="32"/>
          <w:szCs w:val="32"/>
        </w:rPr>
        <w:t>为提升居民环保意识、文明意识，养成良好的分类习惯，从化区开展系列宣传活动：</w:t>
      </w:r>
    </w:p>
    <w:p>
      <w:pPr>
        <w:ind w:firstLine="640" w:firstLineChars="200"/>
        <w:rPr>
          <w:rFonts w:eastAsia="仿宋_GB2312"/>
          <w:sz w:val="32"/>
          <w:szCs w:val="32"/>
        </w:rPr>
      </w:pPr>
      <w:r>
        <w:rPr>
          <w:rFonts w:hint="eastAsia" w:eastAsia="仿宋_GB2312"/>
          <w:sz w:val="32"/>
          <w:szCs w:val="32"/>
        </w:rPr>
        <w:t>（1）配合市城管执法局举办“垃圾分类你我他，美丽乡村靠大家”“一区一特色，垃圾分类公交巡游”活动。</w:t>
      </w:r>
    </w:p>
    <w:p>
      <w:pPr>
        <w:ind w:firstLine="640" w:firstLineChars="200"/>
        <w:rPr>
          <w:rFonts w:eastAsia="仿宋_GB2312"/>
          <w:sz w:val="32"/>
          <w:szCs w:val="32"/>
        </w:rPr>
      </w:pPr>
      <w:r>
        <w:rPr>
          <w:rFonts w:hint="eastAsia" w:eastAsia="仿宋_GB2312"/>
          <w:sz w:val="32"/>
          <w:szCs w:val="32"/>
        </w:rPr>
        <w:t>（2）对小区居民采取“志愿者入户宣传”的形式，宣传生活垃圾分类知识，2021年志愿者上门宣传达62.7万人次，月均宣传覆盖率达31.52%</w:t>
      </w:r>
    </w:p>
    <w:p>
      <w:pPr>
        <w:ind w:firstLine="640" w:firstLineChars="200"/>
        <w:rPr>
          <w:rFonts w:eastAsia="仿宋_GB2312"/>
          <w:sz w:val="32"/>
          <w:szCs w:val="32"/>
        </w:rPr>
      </w:pPr>
      <w:r>
        <w:rPr>
          <w:rFonts w:hint="eastAsia" w:eastAsia="仿宋_GB2312"/>
          <w:sz w:val="32"/>
          <w:szCs w:val="32"/>
        </w:rPr>
        <w:t>（3）举办“生态从化·分类同行”生活垃圾分类主题系列活动。累计举办线下活动9次，开展线上直播7次，活动参与者达130万余人次。其中“知识竞赛+现场嘉年华”活动的“线上+线下”比赛模式，绘画手工艺作品展的“比赛+展览”互动模式，小主持大赛的“学校+家庭”交流模式，受到了社会各界的广泛好评。</w:t>
      </w:r>
    </w:p>
    <w:p>
      <w:pPr>
        <w:bidi w:val="0"/>
        <w:ind w:firstLine="640" w:firstLineChars="200"/>
        <w:rPr>
          <w:rFonts w:hint="eastAsia" w:ascii="黑体" w:hAnsi="黑体" w:eastAsia="黑体" w:cs="黑体"/>
          <w:sz w:val="32"/>
          <w:szCs w:val="32"/>
        </w:rPr>
      </w:pPr>
      <w:r>
        <w:rPr>
          <w:rFonts w:hint="eastAsia" w:ascii="黑体" w:hAnsi="黑体" w:eastAsia="黑体" w:cs="黑体"/>
          <w:sz w:val="32"/>
          <w:szCs w:val="32"/>
        </w:rPr>
        <w:t>三、存在问题</w:t>
      </w:r>
    </w:p>
    <w:p>
      <w:pPr>
        <w:bidi w:val="0"/>
        <w:ind w:firstLine="640" w:firstLineChars="200"/>
        <w:rPr>
          <w:rFonts w:hint="eastAsia" w:ascii="楷体" w:hAnsi="楷体" w:eastAsia="楷体" w:cs="楷体"/>
          <w:sz w:val="32"/>
          <w:szCs w:val="32"/>
        </w:rPr>
      </w:pPr>
      <w:bookmarkStart w:id="12" w:name="_Toc113460388"/>
      <w:r>
        <w:rPr>
          <w:rFonts w:hint="eastAsia" w:ascii="楷体" w:hAnsi="楷体" w:eastAsia="楷体" w:cs="楷体"/>
          <w:sz w:val="32"/>
          <w:szCs w:val="32"/>
        </w:rPr>
        <w:t>（一）投放点管理与养护较差</w:t>
      </w:r>
      <w:bookmarkEnd w:id="12"/>
    </w:p>
    <w:p>
      <w:pPr>
        <w:ind w:firstLine="640" w:firstLineChars="200"/>
        <w:rPr>
          <w:rFonts w:eastAsia="仿宋_GB2312"/>
          <w:sz w:val="32"/>
          <w:szCs w:val="32"/>
        </w:rPr>
      </w:pPr>
      <w:r>
        <w:rPr>
          <w:rFonts w:hint="eastAsia" w:eastAsia="仿宋_GB2312"/>
          <w:sz w:val="32"/>
          <w:szCs w:val="32"/>
        </w:rPr>
        <w:t>部分分类投放点未按时开放、无人守桶保洁、点外设桶、垃圾满溢落地、垃圾混投、未按分类模式配置分类收集容器问题反复出现。</w:t>
      </w:r>
    </w:p>
    <w:p>
      <w:pPr>
        <w:bidi w:val="0"/>
        <w:ind w:firstLine="640" w:firstLineChars="200"/>
        <w:rPr>
          <w:rFonts w:hint="eastAsia" w:ascii="楷体" w:hAnsi="楷体" w:eastAsia="楷体" w:cs="楷体"/>
          <w:sz w:val="32"/>
          <w:szCs w:val="32"/>
        </w:rPr>
      </w:pPr>
      <w:bookmarkStart w:id="13" w:name="_Toc113460389"/>
      <w:r>
        <w:rPr>
          <w:rFonts w:hint="eastAsia" w:ascii="楷体" w:hAnsi="楷体" w:eastAsia="楷体" w:cs="楷体"/>
          <w:sz w:val="32"/>
          <w:szCs w:val="32"/>
        </w:rPr>
        <w:t>（二）行政执法力度较弱</w:t>
      </w:r>
      <w:bookmarkEnd w:id="13"/>
    </w:p>
    <w:p>
      <w:pPr>
        <w:ind w:firstLine="640" w:firstLineChars="200"/>
        <w:rPr>
          <w:rFonts w:hint="eastAsia" w:ascii="楷体" w:hAnsi="楷体" w:eastAsia="楷体" w:cs="楷体"/>
          <w:sz w:val="32"/>
          <w:szCs w:val="32"/>
        </w:rPr>
      </w:pPr>
      <w:r>
        <w:rPr>
          <w:rFonts w:hint="eastAsia" w:eastAsia="仿宋_GB2312"/>
          <w:sz w:val="32"/>
          <w:szCs w:val="32"/>
        </w:rPr>
        <w:t>每月生活垃圾分类专项执法行动以教育限改为主，立案处罚数量少，对存在问题多、整改不力的居住小区、经营场所无法以执法检查促成生活垃圾分类工作水平的提高。</w:t>
      </w:r>
      <w:bookmarkStart w:id="14" w:name="_Toc113460390"/>
    </w:p>
    <w:p>
      <w:pPr>
        <w:bidi w:val="0"/>
        <w:ind w:firstLine="640" w:firstLineChars="200"/>
        <w:rPr>
          <w:rFonts w:hint="eastAsia" w:ascii="楷体" w:hAnsi="楷体" w:eastAsia="楷体" w:cs="楷体"/>
          <w:sz w:val="32"/>
          <w:szCs w:val="32"/>
        </w:rPr>
      </w:pPr>
      <w:r>
        <w:rPr>
          <w:rFonts w:hint="eastAsia" w:ascii="楷体" w:hAnsi="楷体" w:eastAsia="楷体" w:cs="楷体"/>
          <w:sz w:val="32"/>
          <w:szCs w:val="32"/>
        </w:rPr>
        <w:t>（三）宣传力度有待加强</w:t>
      </w:r>
      <w:bookmarkEnd w:id="14"/>
    </w:p>
    <w:p>
      <w:pPr>
        <w:ind w:firstLine="640" w:firstLineChars="200"/>
        <w:rPr>
          <w:rFonts w:eastAsia="仿宋_GB2312"/>
          <w:sz w:val="32"/>
          <w:szCs w:val="32"/>
        </w:rPr>
      </w:pPr>
      <w:r>
        <w:rPr>
          <w:rFonts w:hint="eastAsia" w:eastAsia="仿宋_GB2312"/>
          <w:sz w:val="32"/>
          <w:szCs w:val="32"/>
        </w:rPr>
        <w:t>各镇街“志愿者入户宣传”、“全民行动日”等活动相关法律制度宣传不到位，台账资料不完善；党员站桶督导流于形式，守桶保洁员制度未严格落实到位，未能发挥监督指导居民分类投放作用。</w:t>
      </w:r>
    </w:p>
    <w:p>
      <w:pPr>
        <w:bidi w:val="0"/>
        <w:ind w:firstLine="640" w:firstLineChars="200"/>
        <w:rPr>
          <w:rFonts w:hint="eastAsia" w:ascii="楷体" w:hAnsi="楷体" w:eastAsia="楷体" w:cs="楷体"/>
          <w:sz w:val="32"/>
          <w:szCs w:val="32"/>
        </w:rPr>
      </w:pPr>
      <w:bookmarkStart w:id="15" w:name="_Toc113460391"/>
      <w:r>
        <w:rPr>
          <w:rFonts w:hint="eastAsia" w:ascii="楷体" w:hAnsi="楷体" w:eastAsia="楷体" w:cs="楷体"/>
          <w:sz w:val="32"/>
          <w:szCs w:val="32"/>
        </w:rPr>
        <w:t>（四）宣传硬件配置有待完善</w:t>
      </w:r>
      <w:bookmarkEnd w:id="15"/>
    </w:p>
    <w:p>
      <w:pPr>
        <w:ind w:firstLine="640" w:firstLineChars="200"/>
        <w:rPr>
          <w:rFonts w:eastAsia="仿宋_GB2312"/>
          <w:sz w:val="32"/>
          <w:szCs w:val="32"/>
        </w:rPr>
      </w:pPr>
      <w:r>
        <w:rPr>
          <w:rFonts w:hint="eastAsia" w:eastAsia="仿宋_GB2312"/>
          <w:sz w:val="32"/>
          <w:szCs w:val="32"/>
        </w:rPr>
        <w:t>针对垃圾分类各投放点进行现场抽查，发现部分垃圾分类宣传栏等设施并未及时建设，建设区域与站点区域存在较远距离等情况。</w:t>
      </w:r>
    </w:p>
    <w:p>
      <w:pPr>
        <w:ind w:firstLine="640" w:firstLineChars="200"/>
        <w:outlineLvl w:val="0"/>
        <w:rPr>
          <w:rFonts w:ascii="黑体" w:hAnsi="黑体" w:eastAsia="黑体"/>
          <w:sz w:val="32"/>
          <w:szCs w:val="32"/>
        </w:rPr>
      </w:pPr>
      <w:r>
        <w:rPr>
          <w:rFonts w:hint="eastAsia" w:ascii="黑体" w:hAnsi="黑体" w:eastAsia="黑体"/>
          <w:sz w:val="32"/>
          <w:szCs w:val="32"/>
        </w:rPr>
        <w:t>四、对策或建议</w:t>
      </w:r>
    </w:p>
    <w:p>
      <w:pPr>
        <w:bidi w:val="0"/>
        <w:ind w:firstLine="640" w:firstLineChars="200"/>
        <w:rPr>
          <w:rFonts w:hint="eastAsia" w:ascii="楷体" w:hAnsi="楷体" w:eastAsia="楷体" w:cs="楷体"/>
          <w:sz w:val="32"/>
          <w:szCs w:val="32"/>
        </w:rPr>
      </w:pPr>
      <w:bookmarkStart w:id="16" w:name="_Toc113460393"/>
      <w:r>
        <w:rPr>
          <w:rFonts w:hint="eastAsia" w:ascii="楷体" w:hAnsi="楷体" w:eastAsia="楷体" w:cs="楷体"/>
          <w:sz w:val="32"/>
          <w:szCs w:val="32"/>
        </w:rPr>
        <w:t>（一）落实人员保障以及加强维护管养</w:t>
      </w:r>
      <w:bookmarkEnd w:id="16"/>
    </w:p>
    <w:p>
      <w:pPr>
        <w:ind w:firstLine="640" w:firstLineChars="200"/>
        <w:rPr>
          <w:rFonts w:eastAsia="仿宋_GB2312"/>
          <w:sz w:val="32"/>
          <w:szCs w:val="32"/>
        </w:rPr>
      </w:pPr>
      <w:r>
        <w:rPr>
          <w:rFonts w:hint="eastAsia" w:eastAsia="仿宋_GB2312"/>
          <w:sz w:val="32"/>
          <w:szCs w:val="32"/>
        </w:rPr>
        <w:t>组织各镇(街)巩固垃圾分类工作管理队伍建设，解决垃圾落地、不分类投放问题；组织村(居)干部排班巡查，每日不少于3次，杜绝无人发现、管理、协调、解决的问题；安排区环卫所加强保洁员履行职责情况的监督管理，及时调整收运时间和人员，完善奖惩机制，提高保洁员工作积极性。</w:t>
      </w:r>
    </w:p>
    <w:p>
      <w:pPr>
        <w:ind w:firstLine="640" w:firstLineChars="200"/>
        <w:rPr>
          <w:rFonts w:hint="eastAsia" w:ascii="楷体" w:hAnsi="楷体" w:eastAsia="楷体" w:cs="楷体"/>
          <w:sz w:val="32"/>
          <w:szCs w:val="32"/>
        </w:rPr>
      </w:pPr>
      <w:r>
        <w:rPr>
          <w:rFonts w:hint="eastAsia" w:eastAsia="仿宋_GB2312"/>
          <w:sz w:val="32"/>
          <w:szCs w:val="32"/>
        </w:rPr>
        <w:t>加强对第三方检查发现问题的整改力度，组织镇街安排专人处理，确保按时按质完成整改；定期自检分类设施，及时发现并整改投放点设施损坏、管养不到位、未分类收运问题；安排区级第三方检查公司针对问题进行抽检，每日进行通报，不断提高投放点管养维护水平。</w:t>
      </w:r>
      <w:bookmarkStart w:id="17" w:name="_Toc113460394"/>
    </w:p>
    <w:p>
      <w:pPr>
        <w:bidi w:val="0"/>
        <w:ind w:firstLine="640" w:firstLineChars="200"/>
        <w:rPr>
          <w:rFonts w:hint="eastAsia" w:ascii="楷体" w:hAnsi="楷体" w:eastAsia="楷体" w:cs="楷体"/>
          <w:sz w:val="32"/>
          <w:szCs w:val="32"/>
        </w:rPr>
      </w:pPr>
      <w:r>
        <w:rPr>
          <w:rFonts w:hint="eastAsia" w:ascii="楷体" w:hAnsi="楷体" w:eastAsia="楷体" w:cs="楷体"/>
          <w:sz w:val="32"/>
          <w:szCs w:val="32"/>
        </w:rPr>
        <w:t>（二）加大执法力度，严格开展督导检查</w:t>
      </w:r>
      <w:bookmarkEnd w:id="17"/>
    </w:p>
    <w:p>
      <w:pPr>
        <w:ind w:firstLine="640" w:firstLineChars="200"/>
        <w:rPr>
          <w:rFonts w:eastAsia="仿宋_GB2312"/>
          <w:sz w:val="32"/>
          <w:szCs w:val="32"/>
        </w:rPr>
      </w:pPr>
      <w:r>
        <w:rPr>
          <w:rFonts w:hint="eastAsia" w:eastAsia="仿宋_GB2312"/>
          <w:sz w:val="32"/>
          <w:szCs w:val="32"/>
        </w:rPr>
        <w:t>由区城管执法局牵头各镇(街)，定期在全区范围内开展专项执法行动；组织各行业主管部门根据各自职能每月开展2次专项联合执法行动，并组织新闻媒体全程跟踪报道，形成良好的垃圾分类社会氛围，起到处罚一起教育一片的作用。</w:t>
      </w:r>
    </w:p>
    <w:p>
      <w:pPr>
        <w:bidi w:val="0"/>
        <w:ind w:firstLine="640" w:firstLineChars="200"/>
        <w:rPr>
          <w:rFonts w:hint="eastAsia" w:ascii="楷体" w:hAnsi="楷体" w:eastAsia="楷体" w:cs="楷体"/>
          <w:sz w:val="32"/>
          <w:szCs w:val="32"/>
        </w:rPr>
      </w:pPr>
      <w:bookmarkStart w:id="18" w:name="_Toc113460395"/>
      <w:r>
        <w:rPr>
          <w:rFonts w:hint="eastAsia" w:ascii="楷体" w:hAnsi="楷体" w:eastAsia="楷体" w:cs="楷体"/>
          <w:sz w:val="32"/>
          <w:szCs w:val="32"/>
        </w:rPr>
        <w:t>（三）深化政策宣导，营造全民参与氛围</w:t>
      </w:r>
      <w:bookmarkEnd w:id="18"/>
    </w:p>
    <w:p>
      <w:pPr>
        <w:ind w:firstLine="640" w:firstLineChars="200"/>
        <w:rPr>
          <w:rFonts w:eastAsia="仿宋_GB2312"/>
          <w:sz w:val="32"/>
          <w:szCs w:val="32"/>
        </w:rPr>
      </w:pPr>
      <w:r>
        <w:rPr>
          <w:rFonts w:hint="eastAsia" w:eastAsia="仿宋_GB2312"/>
          <w:sz w:val="32"/>
          <w:szCs w:val="32"/>
        </w:rPr>
        <w:t>持续发挥四支生活垃圾分类宣传队伍宣传引导作用。镇街级志愿者队伍要继续开展“志愿者入户宣传”、“进社区、进乡村、进校园、进企业、进机关”等宣传活动；党员站桶宣传队伍要深入各村(居)，充分发挥党员干部的先锋模范作用，指导居民进行分类投放；“全民行动日”宣传队伍要积极开展进社区宣传活动，引导居民自觉参与生活垃圾分类；各楼栋居民自治站桶监督队伍要充分发挥业委会、物业服务企业组织协调作用，发动居民以家庭为主体参与垃圾分类督导宣传工作。</w:t>
      </w:r>
    </w:p>
    <w:p>
      <w:pPr>
        <w:bidi w:val="0"/>
        <w:ind w:firstLine="640" w:firstLineChars="200"/>
        <w:rPr>
          <w:rFonts w:hint="eastAsia" w:ascii="楷体" w:hAnsi="楷体" w:eastAsia="楷体" w:cs="楷体"/>
          <w:sz w:val="32"/>
          <w:szCs w:val="32"/>
        </w:rPr>
      </w:pPr>
      <w:bookmarkStart w:id="19" w:name="_Toc113460396"/>
      <w:r>
        <w:rPr>
          <w:rFonts w:hint="eastAsia" w:ascii="楷体" w:hAnsi="楷体" w:eastAsia="楷体" w:cs="楷体"/>
          <w:sz w:val="32"/>
          <w:szCs w:val="32"/>
        </w:rPr>
        <w:t>（四）进一步完善宣传硬件配置</w:t>
      </w:r>
      <w:bookmarkEnd w:id="19"/>
    </w:p>
    <w:p>
      <w:pPr>
        <w:ind w:firstLine="640" w:firstLineChars="200"/>
        <w:rPr>
          <w:rFonts w:eastAsia="仿宋_GB2312"/>
          <w:sz w:val="32"/>
          <w:szCs w:val="32"/>
        </w:rPr>
      </w:pPr>
      <w:r>
        <w:rPr>
          <w:rFonts w:hint="eastAsia" w:eastAsia="仿宋_GB2312"/>
          <w:sz w:val="32"/>
          <w:szCs w:val="32"/>
        </w:rPr>
        <w:t>作为一个整体的服务系统，宣传栏等设施并不是孤立存在的，而是和周边投放点相互关联、相互影响。对垃圾分类宣传栏等设施未进行及时建设以及建设区域与站点区域存在较远距离，会导致分析改进效率方向的片面性，服务单位应制定各宣传点位的优化策略，合理设计建设宣传栏。</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5E96CCB-994D-44A2-AE66-227B80698CA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F03CF2A6-09E2-49AF-AC58-CC74EAA2579D}"/>
  </w:font>
  <w:font w:name="方正小标宋_GBK">
    <w:panose1 w:val="03000509000000000000"/>
    <w:charset w:val="86"/>
    <w:family w:val="script"/>
    <w:pitch w:val="default"/>
    <w:sig w:usb0="00000001" w:usb1="080E0000" w:usb2="00000000" w:usb3="00000000" w:csb0="00040000" w:csb1="00000000"/>
    <w:embedRegular r:id="rId3" w:fontKey="{2CF40357-0BE4-49F7-A42B-8079513ACA19}"/>
  </w:font>
  <w:font w:name="仿宋_GB2312">
    <w:panose1 w:val="02010609030101010101"/>
    <w:charset w:val="86"/>
    <w:family w:val="modern"/>
    <w:pitch w:val="default"/>
    <w:sig w:usb0="00000001" w:usb1="080E0000" w:usb2="00000000" w:usb3="00000000" w:csb0="00040000" w:csb1="00000000"/>
    <w:embedRegular r:id="rId4" w:fontKey="{F599D019-B869-44E0-A3E7-F14F6185641A}"/>
  </w:font>
  <w:font w:name="楷体_GB2312">
    <w:panose1 w:val="02010609030101010101"/>
    <w:charset w:val="86"/>
    <w:family w:val="modern"/>
    <w:pitch w:val="default"/>
    <w:sig w:usb0="00000001" w:usb1="080E0000" w:usb2="00000000" w:usb3="00000000" w:csb0="00040000" w:csb1="00000000"/>
    <w:embedRegular r:id="rId5" w:fontKey="{3C416F3C-2E3F-41E8-A016-544EEFD2D87E}"/>
  </w:font>
  <w:font w:name="楷体">
    <w:panose1 w:val="02010609060101010101"/>
    <w:charset w:val="86"/>
    <w:family w:val="auto"/>
    <w:pitch w:val="default"/>
    <w:sig w:usb0="800002BF" w:usb1="38CF7CFA" w:usb2="00000016" w:usb3="00000000" w:csb0="00040001" w:csb1="00000000"/>
    <w:embedRegular r:id="rId6" w:fontKey="{0F730D11-43E0-40B6-BAEB-57443FA8D4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E2ZTA1ZTZhOTBjNWU4NTM2Zjg2MDY4MjAyODM4OTgifQ=="/>
  </w:docVars>
  <w:rsids>
    <w:rsidRoot w:val="00FB54F8"/>
    <w:rsid w:val="00354280"/>
    <w:rsid w:val="004A4168"/>
    <w:rsid w:val="00530DC9"/>
    <w:rsid w:val="00565548"/>
    <w:rsid w:val="005B4E9E"/>
    <w:rsid w:val="00620594"/>
    <w:rsid w:val="007F1EE3"/>
    <w:rsid w:val="00953651"/>
    <w:rsid w:val="00C83A5F"/>
    <w:rsid w:val="00D12537"/>
    <w:rsid w:val="00F17E03"/>
    <w:rsid w:val="00F77A48"/>
    <w:rsid w:val="00FB54F8"/>
    <w:rsid w:val="0AF67B2D"/>
    <w:rsid w:val="12CC274A"/>
    <w:rsid w:val="257F08E6"/>
    <w:rsid w:val="28157AA5"/>
    <w:rsid w:val="34652261"/>
    <w:rsid w:val="41CD3F26"/>
    <w:rsid w:val="724731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link w:val="12"/>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next w:val="3"/>
    <w:unhideWhenUsed/>
    <w:qFormat/>
    <w:uiPriority w:val="99"/>
    <w:pPr>
      <w:ind w:firstLine="420" w:firstLineChars="200"/>
    </w:pPr>
  </w:style>
  <w:style w:type="paragraph" w:styleId="3">
    <w:name w:val="toc 4"/>
    <w:basedOn w:val="1"/>
    <w:next w:val="1"/>
    <w:semiHidden/>
    <w:unhideWhenUsed/>
    <w:qFormat/>
    <w:uiPriority w:val="39"/>
    <w:pPr>
      <w:ind w:left="1260" w:leftChars="600"/>
    </w:p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qFormat/>
    <w:uiPriority w:val="99"/>
    <w:rPr>
      <w:sz w:val="18"/>
      <w:szCs w:val="18"/>
    </w:rPr>
  </w:style>
  <w:style w:type="character" w:customStyle="1" w:styleId="10">
    <w:name w:val="页脚 字符"/>
    <w:basedOn w:val="8"/>
    <w:link w:val="5"/>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标题 2 字符"/>
    <w:basedOn w:val="8"/>
    <w:link w:val="4"/>
    <w:qFormat/>
    <w:uiPriority w:val="0"/>
    <w:rPr>
      <w:rFonts w:ascii="Arial" w:hAnsi="Arial" w:eastAsia="黑体" w:cs="Times New Roman"/>
      <w:b/>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420</Words>
  <Characters>2399</Characters>
  <Lines>19</Lines>
  <Paragraphs>5</Paragraphs>
  <TotalTime>7</TotalTime>
  <ScaleCrop>false</ScaleCrop>
  <LinksUpToDate>false</LinksUpToDate>
  <CharactersWithSpaces>2814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2022-09-11T04:10:00Z</dcterms:created>
  <dc:creator>苏 浩</dc:creator>
  <cp:lastModifiedBy>区财政局</cp:lastModifiedBy>
  <dcterms:modified xsi:type="dcterms:W3CDTF">2022-10-08T10:21:27Z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DD1BF74D30884AF59302F3C6720251BC</vt:lpwstr>
  </property>
</Properties>
</file>