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heme="majorEastAsia" w:hAnsiTheme="majorEastAsia" w:eastAsiaTheme="majorEastAsia"/>
          <w:b/>
          <w:bCs/>
          <w:sz w:val="44"/>
          <w:szCs w:val="44"/>
        </w:rPr>
      </w:pPr>
      <w:bookmarkStart w:id="0" w:name="_Toc14365"/>
      <w:r>
        <w:rPr>
          <w:rFonts w:hint="eastAsia" w:asciiTheme="majorEastAsia" w:hAnsiTheme="majorEastAsia" w:eastAsiaTheme="majorEastAsia"/>
          <w:b/>
          <w:bCs/>
          <w:sz w:val="44"/>
          <w:szCs w:val="44"/>
        </w:rPr>
        <w:t>2021年广州市从化区街口街道办事处部门整体支出绩效评价简要报告</w:t>
      </w:r>
      <w:bookmarkEnd w:id="0"/>
    </w:p>
    <w:p>
      <w:pPr>
        <w:ind w:firstLine="0" w:firstLineChars="0"/>
        <w:jc w:val="center"/>
        <w:rPr>
          <w:rFonts w:hint="eastAsia" w:asciiTheme="majorEastAsia" w:hAnsiTheme="majorEastAsia" w:eastAsiaTheme="majorEastAsia"/>
          <w:b/>
          <w:bCs/>
          <w:sz w:val="44"/>
          <w:szCs w:val="44"/>
        </w:rPr>
      </w:pPr>
    </w:p>
    <w:p>
      <w:pPr>
        <w:ind w:firstLine="640"/>
        <w:jc w:val="center"/>
      </w:pPr>
      <w:r>
        <w:rPr>
          <w:rFonts w:hint="eastAsia"/>
        </w:rPr>
        <w:t>广东诚安信会计师事务所（特殊</w:t>
      </w:r>
      <w:bookmarkStart w:id="13" w:name="_GoBack"/>
      <w:bookmarkEnd w:id="13"/>
      <w:r>
        <w:rPr>
          <w:rFonts w:hint="eastAsia"/>
        </w:rPr>
        <w:t>普通合伙）</w:t>
      </w:r>
    </w:p>
    <w:p>
      <w:pPr>
        <w:ind w:firstLine="640"/>
      </w:pPr>
    </w:p>
    <w:p>
      <w:pPr>
        <w:pStyle w:val="2"/>
        <w:numPr>
          <w:ilvl w:val="0"/>
          <w:numId w:val="1"/>
        </w:numPr>
        <w:ind w:firstLineChars="0"/>
      </w:pPr>
      <w:r>
        <w:rPr>
          <w:rFonts w:hint="eastAsia"/>
        </w:rPr>
        <w:t>评价概况</w:t>
      </w:r>
    </w:p>
    <w:p>
      <w:pPr>
        <w:ind w:firstLine="640"/>
      </w:pPr>
      <w:r>
        <w:rPr>
          <w:rFonts w:hint="eastAsia"/>
        </w:rPr>
        <w:t>受广州市从化区财政局的委托，广东诚安信会计师事务所（特殊普通合伙）对广州市从化区街口街道办事处实施了部门整体绩效评价，形成评价报告。</w:t>
      </w:r>
    </w:p>
    <w:p>
      <w:pPr>
        <w:ind w:firstLine="640"/>
      </w:pPr>
      <w:r>
        <w:rPr>
          <w:rFonts w:hint="eastAsia"/>
        </w:rPr>
        <w:t>经过对广州市从化区街口街道办事处2021年度部门整体支出绩效评价指标逐一打分，该项目绩效累计得83.50分。</w:t>
      </w:r>
    </w:p>
    <w:p>
      <w:pPr>
        <w:pStyle w:val="3"/>
        <w:ind w:firstLine="640"/>
      </w:pPr>
      <w:r>
        <w:rPr>
          <w:rFonts w:hint="eastAsia"/>
        </w:rPr>
        <w:t>（一）部门概况</w:t>
      </w:r>
    </w:p>
    <w:p>
      <w:pPr>
        <w:ind w:firstLine="640"/>
      </w:pPr>
      <w:r>
        <w:rPr>
          <w:rFonts w:hint="eastAsia"/>
        </w:rPr>
        <w:t>2021年该预算部门的主要工作包括统筹负责辖区内的公共服务工作、综合治理工作、综合执法工作，完善基层社区治理体系、指导涉农事务等。</w:t>
      </w:r>
    </w:p>
    <w:p>
      <w:pPr>
        <w:ind w:firstLine="640"/>
      </w:pPr>
      <w:r>
        <w:rPr>
          <w:rFonts w:hint="eastAsia"/>
        </w:rPr>
        <w:t>该预算部门的机构设置包括：本级单位：广州市从化区街口街道办事处，下属单位：广州市从化区街口街综合服务中心、广州市从化区街口街综合保障中心、广州市从化区街口街退役军人服务站、广州市从化区街口街农业农村服务中心、广州市从化区街口街社会治理服务中心。街本部下设7个党政机构：党政综合办公室（人大工委办公室）、党建工作办公室（组织人事办公室）、公共服务办公室（党群服务中心）、综合治理办公室、综合行政执法办公室（综合行政执法队）、经济发展办公室（农业农村办公室）、规划建设办公室（社区建设办公室）。</w:t>
      </w:r>
    </w:p>
    <w:p>
      <w:pPr>
        <w:pStyle w:val="3"/>
        <w:ind w:firstLine="640"/>
      </w:pPr>
      <w:r>
        <w:rPr>
          <w:rFonts w:hint="eastAsia"/>
        </w:rPr>
        <w:t>（二）部门资金情况</w:t>
      </w:r>
    </w:p>
    <w:p>
      <w:pPr>
        <w:ind w:firstLine="640"/>
      </w:pPr>
      <w:r>
        <w:rPr>
          <w:rFonts w:hint="eastAsia"/>
        </w:rPr>
        <w:t>2021年度广州市从化区街口街道办事处收入决算数为19,987.42万元，年初结转和结余决算数8,004.25万元，支出决算数为19,758.45万元，预算完成率为70.59%。基本支出3,912.79万元，占总支出33.00%。其中：人员经费3,498.86万元，日常公用经费 413.93万元。项目支出7,999.11万元，占总支出67.00%。</w:t>
      </w:r>
    </w:p>
    <w:p>
      <w:pPr>
        <w:pStyle w:val="2"/>
        <w:ind w:firstLine="640"/>
      </w:pPr>
      <w:r>
        <w:rPr>
          <w:rFonts w:hint="eastAsia"/>
        </w:rPr>
        <w:t>二、绩效目标</w:t>
      </w:r>
    </w:p>
    <w:p>
      <w:pPr>
        <w:ind w:firstLine="640"/>
      </w:pPr>
      <w:r>
        <w:rPr>
          <w:rFonts w:hint="eastAsia"/>
        </w:rPr>
        <w:t>2021年度部门的绩效目标为：2021年，街口街道办事处将继续坚持以习近平新时代中国特色社会主义思想为指导，深入学习贯彻习近平总书记关于促进区域协调发展，加快形成以国内大循环为主体、国内国际双循环相互促进的新发展格局的重要论述，认真贯彻省委十二届十一次全会、市委十一届十二次全会以及区委一届十二次全会精神，对标从化区“十四五”规划有关要求，坚定信心，克服困难，慎终如始抓好疫情防控，坚决做好“六稳”工作、落实“六保”任务，全力以赴推进完成各项工作。</w:t>
      </w:r>
    </w:p>
    <w:p>
      <w:pPr>
        <w:ind w:firstLine="640"/>
      </w:pPr>
      <w:r>
        <w:rPr>
          <w:rFonts w:hint="eastAsia"/>
        </w:rPr>
        <w:t>本次绩效评价指标体系共设置履职效能指标13个</w:t>
      </w:r>
      <w:r>
        <w:t>以考核该项目2021年度的绩效情况</w:t>
      </w:r>
      <w:r>
        <w:rPr>
          <w:rFonts w:hint="eastAsia"/>
        </w:rPr>
        <w:t>，其中产出指标9个，效益指标4个。</w:t>
      </w:r>
    </w:p>
    <w:p>
      <w:pPr>
        <w:ind w:firstLine="640"/>
      </w:pPr>
      <w:r>
        <w:rPr>
          <w:rFonts w:hint="eastAsia"/>
        </w:rPr>
        <w:t>经查验，部门绩效指标完成情况如下：</w:t>
      </w:r>
    </w:p>
    <w:tbl>
      <w:tblPr>
        <w:tblStyle w:val="7"/>
        <w:tblW w:w="8180" w:type="dxa"/>
        <w:tblInd w:w="0" w:type="dxa"/>
        <w:tblLayout w:type="fixed"/>
        <w:tblCellMar>
          <w:top w:w="0" w:type="dxa"/>
          <w:left w:w="108" w:type="dxa"/>
          <w:bottom w:w="0" w:type="dxa"/>
          <w:right w:w="108" w:type="dxa"/>
        </w:tblCellMar>
      </w:tblPr>
      <w:tblGrid>
        <w:gridCol w:w="2660"/>
        <w:gridCol w:w="2560"/>
        <w:gridCol w:w="2960"/>
      </w:tblGrid>
      <w:tr>
        <w:tblPrEx>
          <w:tblLayout w:type="fixed"/>
          <w:tblCellMar>
            <w:top w:w="0" w:type="dxa"/>
            <w:left w:w="108" w:type="dxa"/>
            <w:bottom w:w="0" w:type="dxa"/>
            <w:right w:w="108" w:type="dxa"/>
          </w:tblCellMar>
        </w:tblPrEx>
        <w:trPr>
          <w:trHeight w:val="560" w:hRule="atLeast"/>
        </w:trPr>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指标名称</w:t>
            </w:r>
          </w:p>
        </w:tc>
        <w:tc>
          <w:tcPr>
            <w:tcW w:w="25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目标值</w:t>
            </w:r>
          </w:p>
        </w:tc>
        <w:tc>
          <w:tcPr>
            <w:tcW w:w="29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实现完成值</w:t>
            </w:r>
          </w:p>
        </w:tc>
      </w:tr>
      <w:tr>
        <w:tblPrEx>
          <w:tblLayout w:type="fixed"/>
          <w:tblCellMar>
            <w:top w:w="0" w:type="dxa"/>
            <w:left w:w="108" w:type="dxa"/>
            <w:bottom w:w="0" w:type="dxa"/>
            <w:right w:w="108" w:type="dxa"/>
          </w:tblCellMar>
        </w:tblPrEx>
        <w:trPr>
          <w:trHeight w:val="52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低保人员生活保障覆盖率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2021年度低保人员总数303人，2021年年度实际保障低保303人</w:t>
            </w:r>
          </w:p>
        </w:tc>
      </w:tr>
      <w:tr>
        <w:tblPrEx>
          <w:tblLayout w:type="fixed"/>
          <w:tblCellMar>
            <w:top w:w="0" w:type="dxa"/>
            <w:left w:w="108" w:type="dxa"/>
            <w:bottom w:w="0" w:type="dxa"/>
            <w:right w:w="108" w:type="dxa"/>
          </w:tblCellMar>
        </w:tblPrEx>
        <w:trPr>
          <w:trHeight w:val="78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居家养老及日间托老服务人次数完成率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2021年度提出申请并符合资格的人次数为921，实际提供服务人次数为921</w:t>
            </w:r>
          </w:p>
        </w:tc>
      </w:tr>
      <w:tr>
        <w:tblPrEx>
          <w:tblLayout w:type="fixed"/>
          <w:tblCellMar>
            <w:top w:w="0" w:type="dxa"/>
            <w:left w:w="108" w:type="dxa"/>
            <w:bottom w:w="0" w:type="dxa"/>
            <w:right w:w="108" w:type="dxa"/>
          </w:tblCellMar>
        </w:tblPrEx>
        <w:trPr>
          <w:trHeight w:val="52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社区专职人员工资发放覆盖率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发放覆盖率100%。</w:t>
            </w:r>
          </w:p>
        </w:tc>
      </w:tr>
      <w:tr>
        <w:tblPrEx>
          <w:tblLayout w:type="fixed"/>
          <w:tblCellMar>
            <w:top w:w="0" w:type="dxa"/>
            <w:left w:w="108" w:type="dxa"/>
            <w:bottom w:w="0" w:type="dxa"/>
            <w:right w:w="108" w:type="dxa"/>
          </w:tblCellMar>
        </w:tblPrEx>
        <w:trPr>
          <w:trHeight w:val="52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社区专职人员年度考核完成率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考核工作有开展，但是考核结果的构成未明确。</w:t>
            </w:r>
          </w:p>
        </w:tc>
      </w:tr>
      <w:tr>
        <w:tblPrEx>
          <w:tblLayout w:type="fixed"/>
          <w:tblCellMar>
            <w:top w:w="0" w:type="dxa"/>
            <w:left w:w="108" w:type="dxa"/>
            <w:bottom w:w="0" w:type="dxa"/>
            <w:right w:w="108" w:type="dxa"/>
          </w:tblCellMar>
        </w:tblPrEx>
        <w:trPr>
          <w:trHeight w:val="78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网格事件结案率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95%。</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2021年度发生网格事件21668件，已办结的网格事件21668件，结案率100%。</w:t>
            </w:r>
          </w:p>
        </w:tc>
      </w:tr>
      <w:tr>
        <w:tblPrEx>
          <w:tblLayout w:type="fixed"/>
          <w:tblCellMar>
            <w:top w:w="0" w:type="dxa"/>
            <w:left w:w="108" w:type="dxa"/>
            <w:bottom w:w="0" w:type="dxa"/>
            <w:right w:w="108" w:type="dxa"/>
          </w:tblCellMar>
        </w:tblPrEx>
        <w:trPr>
          <w:trHeight w:val="52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发现卫生黑点或被通报卫生问题及时整改率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发现卫生黑点及时整改率100%。</w:t>
            </w:r>
          </w:p>
        </w:tc>
      </w:tr>
      <w:tr>
        <w:tblPrEx>
          <w:tblLayout w:type="fixed"/>
          <w:tblCellMar>
            <w:top w:w="0" w:type="dxa"/>
            <w:left w:w="108" w:type="dxa"/>
            <w:bottom w:w="0" w:type="dxa"/>
            <w:right w:w="108" w:type="dxa"/>
          </w:tblCellMar>
        </w:tblPrEx>
        <w:trPr>
          <w:trHeight w:val="104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居家养老中心服务质量</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考核居家养老服务的工作质量</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居家养老服务人员资质符合工作要求,但是存在管理制度建设不够完善、中心场地和布局有待完善的情况。</w:t>
            </w:r>
          </w:p>
        </w:tc>
      </w:tr>
      <w:tr>
        <w:tblPrEx>
          <w:tblLayout w:type="fixed"/>
          <w:tblCellMar>
            <w:top w:w="0" w:type="dxa"/>
            <w:left w:w="108" w:type="dxa"/>
            <w:bottom w:w="0" w:type="dxa"/>
            <w:right w:w="108" w:type="dxa"/>
          </w:tblCellMar>
        </w:tblPrEx>
        <w:trPr>
          <w:trHeight w:val="28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环卫人员出勤率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考核环卫人员工作到岗情况</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出勤率100%。</w:t>
            </w:r>
          </w:p>
        </w:tc>
      </w:tr>
      <w:tr>
        <w:tblPrEx>
          <w:tblLayout w:type="fixed"/>
          <w:tblCellMar>
            <w:top w:w="0" w:type="dxa"/>
            <w:left w:w="108" w:type="dxa"/>
            <w:bottom w:w="0" w:type="dxa"/>
            <w:right w:w="108" w:type="dxa"/>
          </w:tblCellMar>
        </w:tblPrEx>
        <w:trPr>
          <w:trHeight w:val="28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群众投诉、信访及时处理率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群众投诉、信访及时处理率100%</w:t>
            </w:r>
          </w:p>
        </w:tc>
      </w:tr>
      <w:tr>
        <w:tblPrEx>
          <w:tblLayout w:type="fixed"/>
          <w:tblCellMar>
            <w:top w:w="0" w:type="dxa"/>
            <w:left w:w="108" w:type="dxa"/>
            <w:bottom w:w="0" w:type="dxa"/>
            <w:right w:w="108" w:type="dxa"/>
          </w:tblCellMar>
        </w:tblPrEx>
        <w:trPr>
          <w:trHeight w:val="104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安全生产专项检查情况</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考核安全生产专项检查效果</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单位有进行安全生产检查及针对相关企业责令进行整改，并对相关整改情况进行复查，但未见复查结果描述</w:t>
            </w:r>
          </w:p>
        </w:tc>
      </w:tr>
      <w:tr>
        <w:tblPrEx>
          <w:tblLayout w:type="fixed"/>
          <w:tblCellMar>
            <w:top w:w="0" w:type="dxa"/>
            <w:left w:w="108" w:type="dxa"/>
            <w:bottom w:w="0" w:type="dxa"/>
            <w:right w:w="108" w:type="dxa"/>
          </w:tblCellMar>
        </w:tblPrEx>
        <w:trPr>
          <w:trHeight w:val="52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重大安全事故发生次数</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0次。</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2021年该单位辖区内未发生重大安全事故。</w:t>
            </w:r>
          </w:p>
        </w:tc>
      </w:tr>
      <w:tr>
        <w:tblPrEx>
          <w:tblLayout w:type="fixed"/>
          <w:tblCellMar>
            <w:top w:w="0" w:type="dxa"/>
            <w:left w:w="108" w:type="dxa"/>
            <w:bottom w:w="0" w:type="dxa"/>
            <w:right w:w="108" w:type="dxa"/>
          </w:tblCellMar>
        </w:tblPrEx>
        <w:trPr>
          <w:trHeight w:val="52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长寿保健金保障覆盖率</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2021年长寿保健金发放完成率100%。</w:t>
            </w:r>
          </w:p>
        </w:tc>
      </w:tr>
      <w:tr>
        <w:tblPrEx>
          <w:tblLayout w:type="fixed"/>
          <w:tblCellMar>
            <w:top w:w="0" w:type="dxa"/>
            <w:left w:w="108" w:type="dxa"/>
            <w:bottom w:w="0" w:type="dxa"/>
            <w:right w:w="108" w:type="dxa"/>
          </w:tblCellMar>
        </w:tblPrEx>
        <w:trPr>
          <w:trHeight w:val="780" w:hRule="atLeast"/>
        </w:trPr>
        <w:tc>
          <w:tcPr>
            <w:tcW w:w="266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公众服务满意度</w:t>
            </w:r>
          </w:p>
        </w:tc>
        <w:tc>
          <w:tcPr>
            <w:tcW w:w="25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2021年社会综合满意度评分目标值为80分以上。</w:t>
            </w:r>
          </w:p>
        </w:tc>
        <w:tc>
          <w:tcPr>
            <w:tcW w:w="2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2021年度政务中心好差评系统共收到8960次评价，其中好评8959次，好评率99.98%。</w:t>
            </w:r>
          </w:p>
        </w:tc>
      </w:tr>
    </w:tbl>
    <w:p>
      <w:pPr>
        <w:ind w:firstLine="640"/>
      </w:pPr>
    </w:p>
    <w:p>
      <w:pPr>
        <w:pStyle w:val="2"/>
        <w:ind w:firstLine="640"/>
      </w:pPr>
      <w:r>
        <w:rPr>
          <w:rFonts w:hint="eastAsia"/>
        </w:rPr>
        <w:t>三、主要绩效</w:t>
      </w:r>
    </w:p>
    <w:p>
      <w:pPr>
        <w:ind w:firstLine="640"/>
      </w:pPr>
      <w:r>
        <w:rPr>
          <w:rFonts w:hint="eastAsia"/>
        </w:rPr>
        <w:t>在2021年度内，低保人员生活保障覆盖率、社区专职人员工资发放覆盖率、网格事件结案率和发现卫生黑点或被通报卫生问题及时整改率均达到了100%，长寿保健金保障全面覆盖，环卫工人全勤。2021年度辖区内未发生重大安全事故；以及收到群众的投诉、信访能及时解决处理，社会公众和服务对象满意度高，整体上反映了部门对社区服务工作完成出色。</w:t>
      </w:r>
    </w:p>
    <w:p>
      <w:pPr>
        <w:pStyle w:val="2"/>
        <w:ind w:firstLine="640"/>
      </w:pPr>
      <w:bookmarkStart w:id="1" w:name="_Toc19585"/>
      <w:r>
        <w:rPr>
          <w:rFonts w:hint="eastAsia"/>
        </w:rPr>
        <w:t>四</w:t>
      </w:r>
      <w:r>
        <w:t>、存在问题或不足</w:t>
      </w:r>
      <w:bookmarkEnd w:id="1"/>
    </w:p>
    <w:p>
      <w:pPr>
        <w:pStyle w:val="3"/>
        <w:ind w:firstLine="640"/>
      </w:pPr>
      <w:bookmarkStart w:id="2" w:name="_Toc2424"/>
      <w:r>
        <w:rPr>
          <w:rFonts w:hint="eastAsia"/>
        </w:rPr>
        <w:t>（一）绩效管理上有欠缺</w:t>
      </w:r>
      <w:bookmarkEnd w:id="2"/>
    </w:p>
    <w:p>
      <w:pPr>
        <w:ind w:firstLine="640"/>
      </w:pPr>
      <w:r>
        <w:rPr>
          <w:rFonts w:hint="eastAsia"/>
        </w:rPr>
        <w:t>该部门按要求开展部门整体支出绩效自评，且针对具体项目均展开了绩效自评，但存在相关佐证材料充分性不足的情况。该单位提交了年中绩效运行监控表并及时进行整改，履行了良好的绩效监控程序，但未对自评结果较差的项目进行深入分析及说明原因，自评表和自评报告中未体现具体整改措施和解决办法的效果；绩效管理制度建设工作未完成。总体来说，该部门在绩效管理上有欠缺。</w:t>
      </w:r>
    </w:p>
    <w:p>
      <w:pPr>
        <w:pStyle w:val="3"/>
        <w:ind w:firstLine="640"/>
      </w:pPr>
      <w:bookmarkStart w:id="3" w:name="_Toc12904"/>
      <w:r>
        <w:rPr>
          <w:rFonts w:hint="eastAsia"/>
        </w:rPr>
        <w:t>（二）安全生产专项检查工作仍有提升空间</w:t>
      </w:r>
      <w:bookmarkEnd w:id="3"/>
    </w:p>
    <w:p>
      <w:pPr>
        <w:ind w:firstLine="640"/>
      </w:pPr>
      <w:r>
        <w:t>根据安全生产巡查记录，</w:t>
      </w:r>
      <w:r>
        <w:rPr>
          <w:rFonts w:hint="eastAsia"/>
        </w:rPr>
        <w:t>该部门</w:t>
      </w:r>
      <w:r>
        <w:t>有进行安全生产检查及针对相关企业责令进行整改</w:t>
      </w:r>
      <w:r>
        <w:rPr>
          <w:rFonts w:hint="eastAsia"/>
        </w:rPr>
        <w:t>，</w:t>
      </w:r>
      <w:r>
        <w:t>但未见安全生产检查汇总台账，无法确认是否所有企业均完成安全生产检查及整改</w:t>
      </w:r>
      <w:r>
        <w:rPr>
          <w:rFonts w:hint="eastAsia"/>
        </w:rPr>
        <w:t>。</w:t>
      </w:r>
    </w:p>
    <w:p>
      <w:pPr>
        <w:pStyle w:val="3"/>
        <w:ind w:firstLine="640"/>
      </w:pPr>
      <w:bookmarkStart w:id="4" w:name="_Toc3918"/>
      <w:r>
        <w:rPr>
          <w:rFonts w:hint="eastAsia"/>
        </w:rPr>
        <w:t>（三）居家养老服务工作仍有提升空间</w:t>
      </w:r>
      <w:bookmarkEnd w:id="4"/>
    </w:p>
    <w:p>
      <w:pPr>
        <w:ind w:firstLine="640"/>
      </w:pPr>
      <w:r>
        <w:rPr>
          <w:rFonts w:hint="eastAsia"/>
        </w:rPr>
        <w:t>根据《广州市社区居家养老服务评估报告》，居家养老中心选址交通便利，但是存在管理制度建设不够完善、中心场地和布局有待完善的情况。</w:t>
      </w:r>
    </w:p>
    <w:p>
      <w:pPr>
        <w:pStyle w:val="3"/>
        <w:ind w:firstLine="640"/>
      </w:pPr>
      <w:r>
        <w:rPr>
          <w:rFonts w:hint="eastAsia"/>
        </w:rPr>
        <w:t>（四）</w:t>
      </w:r>
      <w:bookmarkStart w:id="5" w:name="_Toc14230"/>
      <w:r>
        <w:rPr>
          <w:rFonts w:hint="eastAsia"/>
        </w:rPr>
        <w:t>社区专职人员年度考核工作仍有提升空间</w:t>
      </w:r>
      <w:bookmarkEnd w:id="5"/>
    </w:p>
    <w:p>
      <w:pPr>
        <w:ind w:firstLine="640"/>
      </w:pPr>
      <w:bookmarkStart w:id="6" w:name="_Hlk113963994"/>
      <w:r>
        <w:rPr>
          <w:rFonts w:hint="eastAsia"/>
        </w:rPr>
        <w:t>社区专职人员的考核工作按照《街口街社区专职工作人员年度考核方案》执行，但该方案考核标准仍需进一步完善。比如：“优秀”的基本标准：“是德、能、勤、绩、廉表现突出，全面履行岗位职责、高质量完成聘用合同规定的工作任务，取得显著成绩”，该方案未阐述何为表现突出，何为高质量，何为显著成绩</w:t>
      </w:r>
      <w:bookmarkEnd w:id="6"/>
      <w:r>
        <w:rPr>
          <w:rFonts w:hint="eastAsia"/>
        </w:rPr>
        <w:t>。</w:t>
      </w:r>
    </w:p>
    <w:p>
      <w:pPr>
        <w:ind w:firstLine="640"/>
      </w:pPr>
      <w:r>
        <w:rPr>
          <w:rFonts w:hint="eastAsia"/>
        </w:rPr>
        <w:t>考核评分由部门考评、各村（社区）干部互评、村（居）民（党员）代表和驻村居街道干部评议三部分组成，但未显示最终考核结果如何根据这三个考评计算得出。</w:t>
      </w:r>
    </w:p>
    <w:p>
      <w:pPr>
        <w:pStyle w:val="3"/>
        <w:ind w:firstLine="640"/>
      </w:pPr>
      <w:r>
        <w:rPr>
          <w:rFonts w:hint="eastAsia"/>
        </w:rPr>
        <w:t>（五）预算管理水平有待提高</w:t>
      </w:r>
    </w:p>
    <w:p>
      <w:pPr>
        <w:ind w:firstLine="640"/>
      </w:pPr>
      <w:r>
        <w:rPr>
          <w:rFonts w:hint="eastAsia"/>
        </w:rPr>
        <w:t>单位2021年年初结转和结余8004.25万元，年末结转和结余8233.23万元，结转结余率41.34%，偏高；预算完成率70.59%，偏低。</w:t>
      </w:r>
    </w:p>
    <w:p>
      <w:pPr>
        <w:pStyle w:val="2"/>
        <w:ind w:firstLine="640"/>
      </w:pPr>
      <w:bookmarkStart w:id="7" w:name="_Toc19440"/>
      <w:r>
        <w:rPr>
          <w:rFonts w:hint="eastAsia"/>
        </w:rPr>
        <w:t>五、相关建议</w:t>
      </w:r>
      <w:bookmarkEnd w:id="7"/>
    </w:p>
    <w:p>
      <w:pPr>
        <w:pStyle w:val="3"/>
        <w:ind w:firstLine="640"/>
      </w:pPr>
      <w:bookmarkStart w:id="8" w:name="_Toc19644"/>
      <w:r>
        <w:rPr>
          <w:rFonts w:hint="eastAsia"/>
        </w:rPr>
        <w:t>（一）加强预算绩效管理工作</w:t>
      </w:r>
      <w:bookmarkEnd w:id="8"/>
    </w:p>
    <w:p>
      <w:pPr>
        <w:ind w:firstLine="640"/>
        <w:rPr>
          <w:rFonts w:hAnsi="仿宋_GB2312" w:cs="仿宋_GB2312"/>
          <w:color w:val="000000"/>
          <w:kern w:val="0"/>
          <w:szCs w:val="32"/>
        </w:rPr>
      </w:pPr>
      <w:r>
        <w:rPr>
          <w:rFonts w:hint="eastAsia" w:hAnsi="仿宋_GB2312" w:cs="仿宋_GB2312"/>
          <w:color w:val="000000"/>
          <w:kern w:val="0"/>
          <w:szCs w:val="32"/>
        </w:rPr>
        <w:t>建议单位要提高预算绩效管理工作意识，明确责任主体，高度重视，结合本部门的工作特点和绩效评价工作要求制订相关预算绩效管理办法；</w:t>
      </w:r>
    </w:p>
    <w:p>
      <w:pPr>
        <w:ind w:firstLine="640"/>
        <w:rPr>
          <w:rFonts w:hAnsi="仿宋_GB2312" w:cs="仿宋_GB2312"/>
          <w:color w:val="000000"/>
          <w:kern w:val="0"/>
          <w:szCs w:val="32"/>
        </w:rPr>
      </w:pPr>
      <w:r>
        <w:rPr>
          <w:rFonts w:hint="eastAsia" w:hAnsi="仿宋_GB2312" w:cs="仿宋_GB2312"/>
          <w:color w:val="000000"/>
          <w:kern w:val="0"/>
          <w:szCs w:val="32"/>
        </w:rPr>
        <w:t>严格按照区财政局的工作要求实施绩效监控和绩效自评工作，各个指标详细列出评分依据，做好佐证材料整理工作。</w:t>
      </w:r>
    </w:p>
    <w:p>
      <w:pPr>
        <w:ind w:firstLine="640"/>
        <w:rPr>
          <w:rFonts w:hAnsi="仿宋_GB2312" w:cs="仿宋_GB2312"/>
          <w:color w:val="000000"/>
          <w:kern w:val="0"/>
          <w:szCs w:val="32"/>
        </w:rPr>
      </w:pPr>
      <w:r>
        <w:rPr>
          <w:rFonts w:hint="eastAsia" w:hAnsi="仿宋_GB2312" w:cs="仿宋_GB2312"/>
          <w:color w:val="000000"/>
          <w:kern w:val="0"/>
          <w:szCs w:val="32"/>
        </w:rPr>
        <w:t>根据评价结果，针对绩效较差的项目详细分析原因、提出改进措施和解决办法，后续分析解决办法是否有效，为单位以后的工作提供参考。</w:t>
      </w:r>
    </w:p>
    <w:p>
      <w:pPr>
        <w:pStyle w:val="3"/>
        <w:ind w:firstLine="640"/>
      </w:pPr>
      <w:bookmarkStart w:id="9" w:name="_Toc21552"/>
      <w:r>
        <w:rPr>
          <w:rFonts w:hint="eastAsia"/>
        </w:rPr>
        <w:t>（二）继续规范化安全生产检查工作</w:t>
      </w:r>
      <w:bookmarkEnd w:id="9"/>
    </w:p>
    <w:p>
      <w:pPr>
        <w:ind w:firstLine="640"/>
      </w:pPr>
      <w:r>
        <w:tab/>
      </w:r>
      <w:r>
        <w:rPr>
          <w:rFonts w:hint="eastAsia"/>
        </w:rPr>
        <w:t>建议做好安全生产检查工作登记工作，对在监督检查中发现的安全生产违法行为及时下达整改通知书并做好复查情况登记，还应每月将检查情况进行汇总分析。</w:t>
      </w:r>
    </w:p>
    <w:p>
      <w:pPr>
        <w:pStyle w:val="3"/>
        <w:ind w:firstLine="640"/>
      </w:pPr>
      <w:bookmarkStart w:id="10" w:name="_Toc22142"/>
      <w:r>
        <w:rPr>
          <w:rFonts w:hint="eastAsia"/>
        </w:rPr>
        <w:t>（三）继续提升居家养老服务质量</w:t>
      </w:r>
      <w:bookmarkEnd w:id="10"/>
    </w:p>
    <w:p>
      <w:pPr>
        <w:ind w:firstLine="640"/>
        <w:rPr>
          <w:rFonts w:hAnsi="仿宋_GB2312" w:cs="仿宋_GB2312"/>
          <w:color w:val="000000"/>
          <w:kern w:val="0"/>
          <w:szCs w:val="32"/>
        </w:rPr>
      </w:pPr>
      <w:r>
        <w:rPr>
          <w:rFonts w:hint="eastAsia" w:hAnsi="仿宋_GB2312" w:cs="仿宋_GB2312"/>
          <w:color w:val="000000"/>
          <w:kern w:val="0"/>
          <w:szCs w:val="32"/>
        </w:rPr>
        <w:t>建议单位严格按照《广州市社区居家养老服务评估报告》的建议，与合作机构建立常态化工作会议机制，完善服务督察工作，定期抽查服务台账，加强工作的指导性；改善布局和场地设施问题，提升专业服务能力，优化服务对象回访机制。</w:t>
      </w:r>
    </w:p>
    <w:p>
      <w:pPr>
        <w:pStyle w:val="3"/>
        <w:ind w:firstLine="640"/>
      </w:pPr>
      <w:bookmarkStart w:id="11" w:name="_Toc11440"/>
      <w:r>
        <w:rPr>
          <w:rFonts w:hint="eastAsia"/>
        </w:rPr>
        <w:t>（四）加强社区专职人员年度考核工作</w:t>
      </w:r>
      <w:bookmarkEnd w:id="11"/>
    </w:p>
    <w:p>
      <w:pPr>
        <w:ind w:firstLine="640"/>
        <w:rPr>
          <w:rFonts w:hAnsi="仿宋_GB2312" w:cs="仿宋_GB2312"/>
          <w:color w:val="000000"/>
          <w:kern w:val="0"/>
          <w:szCs w:val="32"/>
        </w:rPr>
      </w:pPr>
      <w:r>
        <w:rPr>
          <w:rFonts w:hint="eastAsia" w:hAnsi="仿宋_GB2312" w:cs="仿宋_GB2312"/>
          <w:color w:val="000000"/>
          <w:kern w:val="0"/>
          <w:szCs w:val="32"/>
        </w:rPr>
        <w:t>建议细化《中共广州市从化区街口街工作委员会关于印发〈街口街社区专职工作人员年度考核工作方案（试行）〉的通知》，制定一套适用于社区居委专职工作人员工作质量的考核指标，尽量细化、量化考核工作。</w:t>
      </w:r>
    </w:p>
    <w:p>
      <w:pPr>
        <w:pStyle w:val="3"/>
        <w:ind w:firstLine="640"/>
      </w:pPr>
      <w:bookmarkStart w:id="12" w:name="_Toc15968"/>
      <w:r>
        <w:rPr>
          <w:rFonts w:hint="eastAsia"/>
        </w:rPr>
        <w:t>（五）提高预算管理水平</w:t>
      </w:r>
      <w:bookmarkEnd w:id="12"/>
    </w:p>
    <w:p>
      <w:pPr>
        <w:ind w:firstLine="640"/>
        <w:rPr>
          <w:rFonts w:hAnsi="仿宋_GB2312" w:cs="仿宋_GB2312"/>
          <w:color w:val="000000"/>
          <w:kern w:val="0"/>
          <w:szCs w:val="32"/>
        </w:rPr>
      </w:pPr>
      <w:r>
        <w:rPr>
          <w:rFonts w:hint="eastAsia" w:hAnsi="仿宋_GB2312" w:cs="仿宋_GB2312"/>
          <w:color w:val="000000"/>
          <w:kern w:val="0"/>
          <w:szCs w:val="32"/>
        </w:rPr>
        <w:t>建议单位认真做好预算管理工作，按照实际情况申报预算。切实提高预算的调控力、执行力，促使预算管理科学化、精益化，深化全面预算管理，规范预算编制，严格预算支出标准，深化细化项目</w:t>
      </w:r>
      <w:r>
        <w:rPr>
          <w:rFonts w:hint="eastAsia" w:hAnsi="仿宋_GB2312" w:cs="仿宋_GB2312"/>
          <w:color w:val="000000"/>
          <w:kern w:val="0"/>
          <w:szCs w:val="32"/>
          <w:lang w:eastAsia="zh-Hans"/>
        </w:rPr>
        <w:t>预算管理，</w:t>
      </w:r>
      <w:r>
        <w:rPr>
          <w:rFonts w:hint="eastAsia" w:hAnsi="仿宋_GB2312" w:cs="仿宋_GB2312"/>
          <w:color w:val="000000"/>
          <w:kern w:val="0"/>
          <w:szCs w:val="32"/>
        </w:rPr>
        <w:t>加强预算执行过程控制。</w:t>
      </w:r>
    </w:p>
    <w:p>
      <w:pPr>
        <w:ind w:firstLine="640"/>
      </w:pPr>
    </w:p>
    <w:p>
      <w:pPr>
        <w:ind w:firstLine="640"/>
        <w:jc w:val="righ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726443"/>
    </w:sdtPr>
    <w:sdtContent>
      <w:p>
        <w:pPr>
          <w:pStyle w:val="5"/>
          <w:ind w:firstLine="360"/>
          <w:jc w:val="center"/>
        </w:pPr>
        <w:r>
          <w:fldChar w:fldCharType="begin"/>
        </w:r>
        <w:r>
          <w:instrText xml:space="preserve">PAGE   \* MERGEFORMAT</w:instrText>
        </w:r>
        <w:r>
          <w:fldChar w:fldCharType="separate"/>
        </w:r>
        <w:r>
          <w:rPr>
            <w:lang w:val="zh-CN"/>
          </w:rPr>
          <w:t>2</w:t>
        </w:r>
        <w:r>
          <w:fldChar w:fldCharType="end"/>
        </w:r>
      </w:p>
    </w:sdtContent>
  </w:sdt>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9701C"/>
    <w:multiLevelType w:val="multilevel"/>
    <w:tmpl w:val="6379701C"/>
    <w:lvl w:ilvl="0" w:tentative="0">
      <w:start w:val="1"/>
      <w:numFmt w:val="chineseCountingThousand"/>
      <w:suff w:val="nothing"/>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E3A5C52"/>
    <w:rsid w:val="00011F4D"/>
    <w:rsid w:val="000165C4"/>
    <w:rsid w:val="0006237F"/>
    <w:rsid w:val="000C14CC"/>
    <w:rsid w:val="00174EED"/>
    <w:rsid w:val="0020566C"/>
    <w:rsid w:val="002340B9"/>
    <w:rsid w:val="002B7652"/>
    <w:rsid w:val="003D262E"/>
    <w:rsid w:val="003D4680"/>
    <w:rsid w:val="003E79A5"/>
    <w:rsid w:val="00530366"/>
    <w:rsid w:val="005745F4"/>
    <w:rsid w:val="005A664C"/>
    <w:rsid w:val="00834261"/>
    <w:rsid w:val="00846BA0"/>
    <w:rsid w:val="00B90C0D"/>
    <w:rsid w:val="00BE44E5"/>
    <w:rsid w:val="00CA7512"/>
    <w:rsid w:val="00DB7B7A"/>
    <w:rsid w:val="00DC105D"/>
    <w:rsid w:val="00E038C8"/>
    <w:rsid w:val="00E26E3F"/>
    <w:rsid w:val="00F35EBC"/>
    <w:rsid w:val="00FA1F2E"/>
    <w:rsid w:val="0146206D"/>
    <w:rsid w:val="06206B00"/>
    <w:rsid w:val="07C54AD9"/>
    <w:rsid w:val="08A6025D"/>
    <w:rsid w:val="0CF96D1F"/>
    <w:rsid w:val="0D164F00"/>
    <w:rsid w:val="0E3A5C52"/>
    <w:rsid w:val="11820A54"/>
    <w:rsid w:val="12AE057A"/>
    <w:rsid w:val="13A43F2F"/>
    <w:rsid w:val="14FC0436"/>
    <w:rsid w:val="15C44C09"/>
    <w:rsid w:val="17C84600"/>
    <w:rsid w:val="193D71F3"/>
    <w:rsid w:val="1DA90758"/>
    <w:rsid w:val="1ED16F30"/>
    <w:rsid w:val="24295C50"/>
    <w:rsid w:val="26371462"/>
    <w:rsid w:val="287C56BE"/>
    <w:rsid w:val="2A061E11"/>
    <w:rsid w:val="2C7E6A0F"/>
    <w:rsid w:val="2DFF5DDF"/>
    <w:rsid w:val="2FFB44C2"/>
    <w:rsid w:val="318311E4"/>
    <w:rsid w:val="367217D1"/>
    <w:rsid w:val="368F6178"/>
    <w:rsid w:val="3776094C"/>
    <w:rsid w:val="381501A9"/>
    <w:rsid w:val="39760F12"/>
    <w:rsid w:val="39EA114B"/>
    <w:rsid w:val="3A91750A"/>
    <w:rsid w:val="3CFA521A"/>
    <w:rsid w:val="3D607068"/>
    <w:rsid w:val="458A0FC3"/>
    <w:rsid w:val="45F11042"/>
    <w:rsid w:val="4AC9180A"/>
    <w:rsid w:val="4AF40FA1"/>
    <w:rsid w:val="56494DB0"/>
    <w:rsid w:val="570E068D"/>
    <w:rsid w:val="57DA46C2"/>
    <w:rsid w:val="585F3CF0"/>
    <w:rsid w:val="6025396A"/>
    <w:rsid w:val="60E52355"/>
    <w:rsid w:val="60F07D9B"/>
    <w:rsid w:val="61A44D62"/>
    <w:rsid w:val="64783763"/>
    <w:rsid w:val="647A6C66"/>
    <w:rsid w:val="64FC7C2F"/>
    <w:rsid w:val="671B2967"/>
    <w:rsid w:val="671C49CF"/>
    <w:rsid w:val="689165D7"/>
    <w:rsid w:val="6A5D2190"/>
    <w:rsid w:val="6B0C1333"/>
    <w:rsid w:val="6CB12B16"/>
    <w:rsid w:val="6E0E0133"/>
    <w:rsid w:val="6E5E65A2"/>
    <w:rsid w:val="6FD8534C"/>
    <w:rsid w:val="75574B28"/>
    <w:rsid w:val="75583451"/>
    <w:rsid w:val="75B92284"/>
    <w:rsid w:val="77B9619A"/>
    <w:rsid w:val="79606526"/>
    <w:rsid w:val="7AA85207"/>
    <w:rsid w:val="7C736C00"/>
    <w:rsid w:val="7DEA0036"/>
    <w:rsid w:val="7E321080"/>
    <w:rsid w:val="7EC363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jc w:val="left"/>
      <w:outlineLvl w:val="0"/>
    </w:pPr>
    <w:rPr>
      <w:rFonts w:eastAsia="黑体"/>
      <w:kern w:val="44"/>
    </w:rPr>
  </w:style>
  <w:style w:type="paragraph" w:styleId="3">
    <w:name w:val="heading 2"/>
    <w:basedOn w:val="1"/>
    <w:next w:val="1"/>
    <w:link w:val="11"/>
    <w:unhideWhenUsed/>
    <w:qFormat/>
    <w:uiPriority w:val="0"/>
    <w:pPr>
      <w:outlineLvl w:val="1"/>
    </w:pPr>
    <w:rPr>
      <w:rFonts w:eastAsia="楷体"/>
    </w:rPr>
  </w:style>
  <w:style w:type="paragraph" w:styleId="4">
    <w:name w:val="heading 3"/>
    <w:basedOn w:val="1"/>
    <w:next w:val="1"/>
    <w:unhideWhenUsed/>
    <w:qFormat/>
    <w:uiPriority w:val="0"/>
    <w:pPr>
      <w:keepNext/>
      <w:keepLines/>
      <w:outlineLvl w:val="2"/>
    </w:pPr>
    <w:rPr>
      <w:rFonts w:eastAsia="楷体"/>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14"/>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9">
    <w:name w:val="一级标题"/>
    <w:basedOn w:val="1"/>
    <w:qFormat/>
    <w:uiPriority w:val="0"/>
    <w:rPr>
      <w:rFonts w:hint="eastAsia" w:eastAsia="黑体" w:cs="黑体"/>
      <w:b/>
      <w:snapToGrid w:val="0"/>
      <w:kern w:val="0"/>
      <w:szCs w:val="32"/>
    </w:rPr>
  </w:style>
  <w:style w:type="paragraph" w:customStyle="1" w:styleId="10">
    <w:name w:val="二级标题"/>
    <w:basedOn w:val="1"/>
    <w:qFormat/>
    <w:uiPriority w:val="0"/>
    <w:rPr>
      <w:rFonts w:hint="eastAsia"/>
      <w:snapToGrid w:val="0"/>
      <w:kern w:val="0"/>
      <w:szCs w:val="32"/>
    </w:rPr>
  </w:style>
  <w:style w:type="character" w:customStyle="1" w:styleId="11">
    <w:name w:val="标题 2 字符"/>
    <w:link w:val="3"/>
    <w:qFormat/>
    <w:uiPriority w:val="0"/>
    <w:rPr>
      <w:rFonts w:ascii="Times New Roman" w:hAnsi="Times New Roman" w:eastAsia="楷体" w:cs="Times New Roman"/>
      <w:kern w:val="2"/>
      <w:sz w:val="32"/>
      <w:szCs w:val="24"/>
    </w:rPr>
  </w:style>
  <w:style w:type="paragraph" w:styleId="12">
    <w:name w:val="List Paragraph"/>
    <w:basedOn w:val="1"/>
    <w:qFormat/>
    <w:uiPriority w:val="99"/>
    <w:pPr>
      <w:ind w:firstLine="420"/>
    </w:pPr>
  </w:style>
  <w:style w:type="character" w:customStyle="1" w:styleId="13">
    <w:name w:val="页眉 字符"/>
    <w:basedOn w:val="8"/>
    <w:link w:val="6"/>
    <w:qFormat/>
    <w:uiPriority w:val="0"/>
    <w:rPr>
      <w:rFonts w:ascii="Times New Roman" w:hAnsi="Times New Roman" w:eastAsia="仿宋_GB2312" w:cs="Times New Roman"/>
      <w:kern w:val="2"/>
      <w:sz w:val="18"/>
      <w:szCs w:val="18"/>
    </w:rPr>
  </w:style>
  <w:style w:type="character" w:customStyle="1" w:styleId="14">
    <w:name w:val="页脚 字符"/>
    <w:basedOn w:val="8"/>
    <w:link w:val="5"/>
    <w:qFormat/>
    <w:uiPriority w:val="99"/>
    <w:rPr>
      <w:rFonts w:ascii="Times New Roman" w:hAnsi="Times New Roman" w:eastAsia="仿宋_GB2312" w:cs="Times New Roman"/>
      <w:kern w:val="2"/>
      <w:sz w:val="18"/>
      <w:szCs w:val="18"/>
    </w:rPr>
  </w:style>
  <w:style w:type="paragraph" w:styleId="15">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475</Words>
  <Characters>2709</Characters>
  <Lines>22</Lines>
  <Paragraphs>6</Paragraphs>
  <TotalTime>0</TotalTime>
  <ScaleCrop>false</ScaleCrop>
  <LinksUpToDate>false</LinksUpToDate>
  <CharactersWithSpaces>3178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2022-09-09T03:37:00Z</dcterms:created>
  <dc:creator>风继续吹</dc:creator>
  <cp:lastModifiedBy>周怡</cp:lastModifiedBy>
  <dcterms:modified xsi:type="dcterms:W3CDTF">2022-10-08T02:32:42Z</dcterms:modified>
  <dc:title>2021年广州市从化区街口街道办事处部门整体支出绩效评价简要报告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5683096F8D2646BE8DF3DB05110AF592</vt:lpwstr>
  </property>
</Properties>
</file>