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2</w:t>
      </w:r>
      <w:bookmarkStart w:id="0" w:name="_Hlk112586782"/>
      <w:r>
        <w:rPr>
          <w:rFonts w:hint="eastAsia" w:ascii="方正小标宋_GBK" w:hAnsi="方正小标宋_GBK" w:eastAsia="方正小标宋_GBK" w:cs="方正小标宋_GBK"/>
          <w:b w:val="0"/>
          <w:bCs w:val="0"/>
          <w:sz w:val="44"/>
          <w:szCs w:val="44"/>
        </w:rPr>
        <w:t>021年广州市从化区市场监督管理局整体支出绩效自评复核简要报告</w:t>
      </w:r>
      <w:bookmarkEnd w:id="0"/>
    </w:p>
    <w:p>
      <w:pPr>
        <w:pStyle w:val="13"/>
        <w:ind w:firstLine="640"/>
        <w:jc w:val="right"/>
        <w:rPr>
          <w:rFonts w:hint="eastAsia"/>
        </w:rPr>
      </w:pPr>
    </w:p>
    <w:p>
      <w:pPr>
        <w:pStyle w:val="13"/>
        <w:ind w:firstLine="640"/>
        <w:jc w:val="center"/>
      </w:pPr>
      <w:bookmarkStart w:id="2" w:name="_GoBack"/>
      <w:bookmarkEnd w:id="2"/>
      <w:r>
        <w:rPr>
          <w:rFonts w:hint="eastAsia"/>
        </w:rPr>
        <w:t>广东诚安信会计师事务所（特殊普通合伙）</w:t>
      </w:r>
    </w:p>
    <w:p>
      <w:pPr>
        <w:ind w:firstLine="640"/>
      </w:pPr>
    </w:p>
    <w:p>
      <w:pPr>
        <w:pStyle w:val="4"/>
        <w:ind w:firstLine="640"/>
      </w:pPr>
      <w:r>
        <w:rPr>
          <w:rFonts w:hint="eastAsia"/>
        </w:rPr>
        <w:t>一、复核概况</w:t>
      </w:r>
    </w:p>
    <w:p>
      <w:pPr>
        <w:ind w:firstLine="640"/>
      </w:pPr>
      <w:r>
        <w:rPr>
          <w:rFonts w:hint="eastAsia"/>
        </w:rPr>
        <w:t>受广州市从化区财政局的委托，广东诚安信会计师事务所（特殊普通合伙）对从化区市场监督管理局整体支出自评实施复核工作，形成复核报告。</w:t>
      </w:r>
    </w:p>
    <w:p>
      <w:pPr>
        <w:ind w:firstLine="640"/>
        <w:rPr>
          <w:rFonts w:hint="eastAsia"/>
        </w:rPr>
      </w:pPr>
      <w:r>
        <w:rPr>
          <w:rFonts w:hint="eastAsia"/>
        </w:rPr>
        <w:t>经过对广州市从化区市场监督管理局</w:t>
      </w:r>
      <w:r>
        <w:t>2021年度部门整体支出绩效自评复核评分表指标逐一打分，该项目绩效累计得</w:t>
      </w:r>
      <w:r>
        <w:rPr>
          <w:rFonts w:hint="eastAsia"/>
          <w:lang w:val="en-US" w:eastAsia="zh-CN"/>
        </w:rPr>
        <w:t>89.47</w:t>
      </w:r>
      <w:r>
        <w:t>分</w:t>
      </w:r>
      <w:r>
        <w:rPr>
          <w:rFonts w:hint="eastAsia"/>
        </w:rPr>
        <w:t>。</w:t>
      </w:r>
    </w:p>
    <w:p>
      <w:pPr>
        <w:pStyle w:val="5"/>
        <w:ind w:firstLine="640"/>
      </w:pPr>
      <w:r>
        <w:rPr>
          <w:rFonts w:hint="eastAsia"/>
        </w:rPr>
        <w:t>（一）部门概况</w:t>
      </w:r>
    </w:p>
    <w:p>
      <w:pPr>
        <w:ind w:firstLine="640"/>
      </w:pPr>
      <w:r>
        <w:rPr>
          <w:rFonts w:hint="eastAsia"/>
        </w:rPr>
        <w:t xml:space="preserve">从化区市场监督管理局主要负责对市场实施监管工作，监管对象包括食品安全、药品、医疗器械、化妆品经营和使用关节质量安全、知识产权等，维持市场秩序、统一管理计量工作、认证认可与检验检测工作等。 </w:t>
      </w:r>
    </w:p>
    <w:p>
      <w:pPr>
        <w:ind w:firstLine="640"/>
      </w:pPr>
      <w:r>
        <w:rPr>
          <w:rFonts w:hint="eastAsia"/>
        </w:rPr>
        <w:t>该预算部门为正处级，挂广州市从化区知识产权局牌子。入编制范围的下属事业单位包括：广州市从化区市场监督管理局12315中心（1个参公事业单位）、广州市从化区市场监督管理局经济信息室、广州市从化区消费者委员会办公室、广州市从化区市场监督管理局档案中心、广州市从化区食品药品检验所（4个公益一类事业单位）。</w:t>
      </w:r>
    </w:p>
    <w:p>
      <w:pPr>
        <w:pStyle w:val="5"/>
        <w:ind w:firstLine="640"/>
      </w:pPr>
      <w:r>
        <w:rPr>
          <w:rFonts w:hint="eastAsia"/>
        </w:rPr>
        <w:t>（二）部门资金情况</w:t>
      </w:r>
    </w:p>
    <w:p>
      <w:pPr>
        <w:ind w:firstLine="640"/>
      </w:pPr>
      <w:r>
        <w:rPr>
          <w:rFonts w:hint="eastAsia"/>
        </w:rPr>
        <w:t>2021年部门整体支出全年预算数12,150.36万元，年初结转和结余53.16万元。全年执行数1,2191.18万元，预算执行率达到99.90%。其中基本支出10,829.90万元，项目支出1,361.28万元。</w:t>
      </w:r>
    </w:p>
    <w:p>
      <w:pPr>
        <w:pStyle w:val="4"/>
        <w:ind w:firstLine="640"/>
      </w:pPr>
      <w:r>
        <w:rPr>
          <w:rFonts w:hint="eastAsia"/>
        </w:rPr>
        <w:t>二、绩效目标</w:t>
      </w:r>
    </w:p>
    <w:p>
      <w:pPr>
        <w:pStyle w:val="5"/>
        <w:ind w:firstLine="640"/>
      </w:pPr>
      <w:r>
        <w:rPr>
          <w:rFonts w:hint="eastAsia"/>
        </w:rPr>
        <w:t>（一）目标设置情况</w:t>
      </w:r>
    </w:p>
    <w:p>
      <w:pPr>
        <w:ind w:firstLine="640"/>
        <w:rPr>
          <w:rFonts w:ascii="Times New Roman" w:hAnsi="Times New Roman" w:cs="Times New Roman"/>
          <w:szCs w:val="24"/>
        </w:rPr>
      </w:pPr>
      <w:r>
        <w:rPr>
          <w:rFonts w:hint="eastAsia" w:ascii="Times New Roman" w:hAnsi="Times New Roman" w:cs="Times New Roman"/>
          <w:szCs w:val="24"/>
        </w:rPr>
        <w:t>根据《部门整体绩效自评表》，2021年度整体绩效目标：全面深化改革，做好后勤保障，为机构改革各项工作奠定基础；深入推进商事制度改革、食品药品监管、特种设备安全监察、消费维权等工作，推动全面质量提升和知识产权保护；加大办案力度，强化整治和执法；持续开展重点领域、重点行业、重点区域市场安全专项整治行动，进一步规范市场经营秩序。</w:t>
      </w:r>
    </w:p>
    <w:p>
      <w:pPr>
        <w:ind w:firstLine="640"/>
      </w:pPr>
      <w:r>
        <w:rPr>
          <w:rFonts w:hint="eastAsia"/>
        </w:rPr>
        <w:t>重点工作任务包括：落实食品抽检相关工作、落实特种设备监督抽查工作、2021年进口冷冻肉制品和水产品人员和产品及环境核酸检测工作、市场监管综合业务工作。</w:t>
      </w:r>
    </w:p>
    <w:p>
      <w:pPr>
        <w:pStyle w:val="5"/>
        <w:ind w:firstLine="640"/>
      </w:pPr>
      <w:r>
        <w:rPr>
          <w:rFonts w:hint="eastAsia"/>
        </w:rPr>
        <w:t>（二）目标完成情况</w:t>
      </w:r>
    </w:p>
    <w:p>
      <w:pPr>
        <w:ind w:firstLine="640"/>
      </w:pPr>
      <w:r>
        <w:t>本次</w:t>
      </w:r>
      <w:r>
        <w:rPr>
          <w:rFonts w:hint="eastAsia"/>
        </w:rPr>
        <w:t>复核指标</w:t>
      </w:r>
      <w:r>
        <w:t>体系共设置履职效能指标</w:t>
      </w:r>
      <w:r>
        <w:rPr>
          <w:rFonts w:hint="eastAsia"/>
        </w:rPr>
        <w:t>11</w:t>
      </w:r>
      <w:r>
        <w:t>个以考核该项目2021年度的绩效情况。</w:t>
      </w:r>
    </w:p>
    <w:p>
      <w:pPr>
        <w:ind w:firstLine="640"/>
      </w:pPr>
      <w:r>
        <w:rPr>
          <w:rFonts w:hint="eastAsia"/>
        </w:rPr>
        <w:t>经复核，部门绩效指标完成情况如下：</w:t>
      </w:r>
    </w:p>
    <w:tbl>
      <w:tblPr>
        <w:tblStyle w:val="11"/>
        <w:tblW w:w="8460" w:type="dxa"/>
        <w:tblInd w:w="0" w:type="dxa"/>
        <w:tblLayout w:type="fixed"/>
        <w:tblCellMar>
          <w:top w:w="0" w:type="dxa"/>
          <w:left w:w="108" w:type="dxa"/>
          <w:bottom w:w="0" w:type="dxa"/>
          <w:right w:w="108" w:type="dxa"/>
        </w:tblCellMar>
      </w:tblPr>
      <w:tblGrid>
        <w:gridCol w:w="2100"/>
        <w:gridCol w:w="1740"/>
        <w:gridCol w:w="4620"/>
      </w:tblGrid>
      <w:tr>
        <w:tblPrEx>
          <w:tblLayout w:type="fixed"/>
          <w:tblCellMar>
            <w:top w:w="0" w:type="dxa"/>
            <w:left w:w="108" w:type="dxa"/>
            <w:bottom w:w="0" w:type="dxa"/>
            <w:right w:w="108" w:type="dxa"/>
          </w:tblCellMar>
        </w:tblPrEx>
        <w:trPr>
          <w:trHeight w:val="444" w:hRule="atLeast"/>
          <w:tblHeader/>
        </w:trPr>
        <w:tc>
          <w:tcPr>
            <w:tcW w:w="21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4"/>
                <w:szCs w:val="24"/>
              </w:rPr>
            </w:pPr>
            <w:r>
              <w:rPr>
                <w:rFonts w:hint="eastAsia" w:ascii="宋体" w:hAnsi="宋体" w:eastAsia="宋体" w:cs="宋体"/>
                <w:kern w:val="0"/>
                <w:sz w:val="24"/>
                <w:szCs w:val="24"/>
              </w:rPr>
              <w:t>指标名称</w:t>
            </w:r>
          </w:p>
        </w:tc>
        <w:tc>
          <w:tcPr>
            <w:tcW w:w="174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目标值</w:t>
            </w:r>
          </w:p>
        </w:tc>
        <w:tc>
          <w:tcPr>
            <w:tcW w:w="462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4"/>
                <w:szCs w:val="24"/>
              </w:rPr>
            </w:pPr>
            <w:r>
              <w:rPr>
                <w:rFonts w:hint="eastAsia" w:ascii="宋体" w:hAnsi="宋体" w:eastAsia="宋体" w:cs="宋体"/>
                <w:kern w:val="0"/>
                <w:sz w:val="24"/>
                <w:szCs w:val="24"/>
              </w:rPr>
              <w:t>实现完成值</w:t>
            </w:r>
          </w:p>
        </w:tc>
      </w:tr>
      <w:tr>
        <w:tblPrEx>
          <w:tblLayout w:type="fixed"/>
          <w:tblCellMar>
            <w:top w:w="0" w:type="dxa"/>
            <w:left w:w="108" w:type="dxa"/>
            <w:bottom w:w="0" w:type="dxa"/>
            <w:right w:w="108" w:type="dxa"/>
          </w:tblCellMar>
        </w:tblPrEx>
        <w:trPr>
          <w:trHeight w:val="520" w:hRule="atLeast"/>
        </w:trPr>
        <w:tc>
          <w:tcPr>
            <w:tcW w:w="210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食品监督抽检完成率</w:t>
            </w:r>
          </w:p>
        </w:tc>
        <w:tc>
          <w:tcPr>
            <w:tcW w:w="174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100%</w:t>
            </w:r>
          </w:p>
        </w:tc>
        <w:tc>
          <w:tcPr>
            <w:tcW w:w="46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食品抽检计划660批次，已完成食品抽样检验660批次，完成率为100%。</w:t>
            </w:r>
          </w:p>
        </w:tc>
      </w:tr>
      <w:tr>
        <w:tblPrEx>
          <w:tblLayout w:type="fixed"/>
          <w:tblCellMar>
            <w:top w:w="0" w:type="dxa"/>
            <w:left w:w="108" w:type="dxa"/>
            <w:bottom w:w="0" w:type="dxa"/>
            <w:right w:w="108" w:type="dxa"/>
          </w:tblCellMar>
        </w:tblPrEx>
        <w:trPr>
          <w:trHeight w:val="520" w:hRule="atLeast"/>
        </w:trPr>
        <w:tc>
          <w:tcPr>
            <w:tcW w:w="210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食品监督抽检合格率</w:t>
            </w:r>
          </w:p>
        </w:tc>
        <w:tc>
          <w:tcPr>
            <w:tcW w:w="174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98%</w:t>
            </w:r>
          </w:p>
        </w:tc>
        <w:tc>
          <w:tcPr>
            <w:tcW w:w="46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已完成食品抽样检验660批次，其中8批次不合格，652批次合格，合格率98.79%。</w:t>
            </w:r>
          </w:p>
        </w:tc>
      </w:tr>
      <w:tr>
        <w:tblPrEx>
          <w:tblLayout w:type="fixed"/>
          <w:tblCellMar>
            <w:top w:w="0" w:type="dxa"/>
            <w:left w:w="108" w:type="dxa"/>
            <w:bottom w:w="0" w:type="dxa"/>
            <w:right w:w="108" w:type="dxa"/>
          </w:tblCellMar>
        </w:tblPrEx>
        <w:trPr>
          <w:trHeight w:val="520" w:hRule="atLeast"/>
        </w:trPr>
        <w:tc>
          <w:tcPr>
            <w:tcW w:w="210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监督抽检不合格产品后置处理率</w:t>
            </w:r>
          </w:p>
        </w:tc>
        <w:tc>
          <w:tcPr>
            <w:tcW w:w="174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100%</w:t>
            </w:r>
          </w:p>
        </w:tc>
        <w:tc>
          <w:tcPr>
            <w:tcW w:w="46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收到的8批次不合格报告已全部核查处置完毕，处置率为100%。</w:t>
            </w:r>
          </w:p>
        </w:tc>
      </w:tr>
      <w:tr>
        <w:tblPrEx>
          <w:tblLayout w:type="fixed"/>
          <w:tblCellMar>
            <w:top w:w="0" w:type="dxa"/>
            <w:left w:w="108" w:type="dxa"/>
            <w:bottom w:w="0" w:type="dxa"/>
            <w:right w:w="108" w:type="dxa"/>
          </w:tblCellMar>
        </w:tblPrEx>
        <w:trPr>
          <w:trHeight w:val="520" w:hRule="atLeast"/>
        </w:trPr>
        <w:tc>
          <w:tcPr>
            <w:tcW w:w="210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抽查电梯完成率</w:t>
            </w:r>
          </w:p>
        </w:tc>
        <w:tc>
          <w:tcPr>
            <w:tcW w:w="174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100%</w:t>
            </w:r>
          </w:p>
        </w:tc>
        <w:tc>
          <w:tcPr>
            <w:tcW w:w="46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计划抽查电梯600台，实际抽查电梯600台，完成率为100%。</w:t>
            </w:r>
          </w:p>
        </w:tc>
      </w:tr>
      <w:tr>
        <w:tblPrEx>
          <w:tblLayout w:type="fixed"/>
          <w:tblCellMar>
            <w:top w:w="0" w:type="dxa"/>
            <w:left w:w="108" w:type="dxa"/>
            <w:bottom w:w="0" w:type="dxa"/>
            <w:right w:w="108" w:type="dxa"/>
          </w:tblCellMar>
        </w:tblPrEx>
        <w:trPr>
          <w:trHeight w:val="520" w:hRule="atLeast"/>
        </w:trPr>
        <w:tc>
          <w:tcPr>
            <w:tcW w:w="210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抽查电梯发现问题整改率</w:t>
            </w:r>
          </w:p>
        </w:tc>
        <w:tc>
          <w:tcPr>
            <w:tcW w:w="174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100%</w:t>
            </w:r>
          </w:p>
        </w:tc>
        <w:tc>
          <w:tcPr>
            <w:tcW w:w="46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针对安全隐患，相关单位已经完整整改，隐患均已消除，整改率为100%。</w:t>
            </w:r>
          </w:p>
        </w:tc>
      </w:tr>
      <w:tr>
        <w:tblPrEx>
          <w:tblLayout w:type="fixed"/>
          <w:tblCellMar>
            <w:top w:w="0" w:type="dxa"/>
            <w:left w:w="108" w:type="dxa"/>
            <w:bottom w:w="0" w:type="dxa"/>
            <w:right w:w="108" w:type="dxa"/>
          </w:tblCellMar>
        </w:tblPrEx>
        <w:trPr>
          <w:trHeight w:val="280" w:hRule="atLeast"/>
        </w:trPr>
        <w:tc>
          <w:tcPr>
            <w:tcW w:w="210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安全事故率</w:t>
            </w:r>
          </w:p>
        </w:tc>
        <w:tc>
          <w:tcPr>
            <w:tcW w:w="174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0</w:t>
            </w:r>
          </w:p>
        </w:tc>
        <w:tc>
          <w:tcPr>
            <w:tcW w:w="46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抽检中未发生安全事故。</w:t>
            </w:r>
          </w:p>
        </w:tc>
      </w:tr>
      <w:tr>
        <w:tblPrEx>
          <w:tblLayout w:type="fixed"/>
          <w:tblCellMar>
            <w:top w:w="0" w:type="dxa"/>
            <w:left w:w="108" w:type="dxa"/>
            <w:bottom w:w="0" w:type="dxa"/>
            <w:right w:w="108" w:type="dxa"/>
          </w:tblCellMar>
        </w:tblPrEx>
        <w:trPr>
          <w:trHeight w:val="520" w:hRule="atLeast"/>
        </w:trPr>
        <w:tc>
          <w:tcPr>
            <w:tcW w:w="210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人员核酸检测覆盖率</w:t>
            </w:r>
          </w:p>
        </w:tc>
        <w:tc>
          <w:tcPr>
            <w:tcW w:w="174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95%以上</w:t>
            </w:r>
          </w:p>
        </w:tc>
        <w:tc>
          <w:tcPr>
            <w:tcW w:w="46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应采样核酸检测人员9597人次，实际核酸检测人员采样样品9597份，覆盖率为100%。</w:t>
            </w:r>
          </w:p>
        </w:tc>
      </w:tr>
      <w:tr>
        <w:tblPrEx>
          <w:tblLayout w:type="fixed"/>
          <w:tblCellMar>
            <w:top w:w="0" w:type="dxa"/>
            <w:left w:w="108" w:type="dxa"/>
            <w:bottom w:w="0" w:type="dxa"/>
            <w:right w:w="108" w:type="dxa"/>
          </w:tblCellMar>
        </w:tblPrEx>
        <w:trPr>
          <w:trHeight w:val="520" w:hRule="atLeast"/>
        </w:trPr>
        <w:tc>
          <w:tcPr>
            <w:tcW w:w="210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进口冷冻肉制品和水产品环境核酸监测覆盖率</w:t>
            </w:r>
          </w:p>
        </w:tc>
        <w:tc>
          <w:tcPr>
            <w:tcW w:w="174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95%以上</w:t>
            </w:r>
          </w:p>
        </w:tc>
        <w:tc>
          <w:tcPr>
            <w:tcW w:w="46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应采样产品产品2128份、环境3034份，实际采样产品2128份、环境3034份，，覆盖率为100%。</w:t>
            </w:r>
          </w:p>
        </w:tc>
      </w:tr>
      <w:tr>
        <w:tblPrEx>
          <w:tblLayout w:type="fixed"/>
          <w:tblCellMar>
            <w:top w:w="0" w:type="dxa"/>
            <w:left w:w="108" w:type="dxa"/>
            <w:bottom w:w="0" w:type="dxa"/>
            <w:right w:w="108" w:type="dxa"/>
          </w:tblCellMar>
        </w:tblPrEx>
        <w:trPr>
          <w:trHeight w:val="780" w:hRule="atLeast"/>
        </w:trPr>
        <w:tc>
          <w:tcPr>
            <w:tcW w:w="210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食品经营单位信息公示牌配备率</w:t>
            </w:r>
          </w:p>
        </w:tc>
        <w:tc>
          <w:tcPr>
            <w:tcW w:w="174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不低于20%</w:t>
            </w:r>
          </w:p>
        </w:tc>
        <w:tc>
          <w:tcPr>
            <w:tcW w:w="46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2020年至2021年已按照所上报缺口印制2890份公示栏，并按照餐饮服务单位在营数量发放，已实现100%覆盖。</w:t>
            </w:r>
          </w:p>
        </w:tc>
      </w:tr>
      <w:tr>
        <w:tblPrEx>
          <w:tblLayout w:type="fixed"/>
          <w:tblCellMar>
            <w:top w:w="0" w:type="dxa"/>
            <w:left w:w="108" w:type="dxa"/>
            <w:bottom w:w="0" w:type="dxa"/>
            <w:right w:w="108" w:type="dxa"/>
          </w:tblCellMar>
        </w:tblPrEx>
        <w:trPr>
          <w:trHeight w:val="280" w:hRule="atLeast"/>
        </w:trPr>
        <w:tc>
          <w:tcPr>
            <w:tcW w:w="210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食品销售安全事故率</w:t>
            </w:r>
          </w:p>
        </w:tc>
        <w:tc>
          <w:tcPr>
            <w:tcW w:w="174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0</w:t>
            </w:r>
          </w:p>
        </w:tc>
        <w:tc>
          <w:tcPr>
            <w:tcW w:w="46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辖区内未发生食品销售安全事故。</w:t>
            </w:r>
          </w:p>
        </w:tc>
      </w:tr>
      <w:tr>
        <w:tblPrEx>
          <w:tblLayout w:type="fixed"/>
          <w:tblCellMar>
            <w:top w:w="0" w:type="dxa"/>
            <w:left w:w="108" w:type="dxa"/>
            <w:bottom w:w="0" w:type="dxa"/>
            <w:right w:w="108" w:type="dxa"/>
          </w:tblCellMar>
        </w:tblPrEx>
        <w:trPr>
          <w:trHeight w:val="520" w:hRule="atLeast"/>
        </w:trPr>
        <w:tc>
          <w:tcPr>
            <w:tcW w:w="210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政务服务大厅服务对象满意率</w:t>
            </w:r>
          </w:p>
        </w:tc>
        <w:tc>
          <w:tcPr>
            <w:tcW w:w="174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不低于90%</w:t>
            </w:r>
          </w:p>
        </w:tc>
        <w:tc>
          <w:tcPr>
            <w:tcW w:w="46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政务服务大厅窗口服务对象好评率100%</w:t>
            </w:r>
          </w:p>
        </w:tc>
      </w:tr>
    </w:tbl>
    <w:p>
      <w:pPr>
        <w:pStyle w:val="2"/>
        <w:rPr>
          <w:rFonts w:hint="eastAsia"/>
        </w:rPr>
      </w:pPr>
    </w:p>
    <w:p>
      <w:pPr>
        <w:pStyle w:val="4"/>
        <w:ind w:firstLine="640"/>
      </w:pPr>
      <w:r>
        <w:rPr>
          <w:rFonts w:hint="eastAsia"/>
        </w:rPr>
        <w:t>三、存在的主要问题及建议</w:t>
      </w:r>
    </w:p>
    <w:p>
      <w:pPr>
        <w:pStyle w:val="5"/>
        <w:ind w:firstLine="640"/>
      </w:pPr>
      <w:r>
        <w:rPr>
          <w:rFonts w:hint="eastAsia"/>
        </w:rPr>
        <w:t>（一）存在问题</w:t>
      </w:r>
    </w:p>
    <w:p>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1.资产管理有待加强</w:t>
      </w:r>
    </w:p>
    <w:p>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根据单位提交的佐证材料，市场监督管理局固定资产管理规定不够完整详细，对资产处置相关的程序内容没有详细说明；根据现场资产核查情况，该局未能有效执行相关资产管理制度，部分资产的使用状态和存放地点有变更，固定资产使用率有待提高。</w:t>
      </w:r>
    </w:p>
    <w:p>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2.绩效管理工作有待加强</w:t>
      </w:r>
    </w:p>
    <w:p>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（1）</w:t>
      </w:r>
      <w:bookmarkStart w:id="1" w:name="_Hlk113629580"/>
      <w:r>
        <w:rPr>
          <w:rFonts w:hint="eastAsia" w:ascii="Times New Roman" w:hAnsi="Times New Roman" w:eastAsia="仿宋GB2312" w:cs="Times New Roman"/>
          <w:szCs w:val="24"/>
        </w:rPr>
        <w:t>绩效指标的设置未能全面覆盖部门资金使用范围，个性化指标以主要工作任务进行分类，未按照产出和效益进行分类；在具体指标设置方面，量化指标较多，缺乏社会效益指标</w:t>
      </w:r>
      <w:bookmarkEnd w:id="1"/>
      <w:r>
        <w:rPr>
          <w:rFonts w:hint="eastAsia" w:ascii="Times New Roman" w:hAnsi="Times New Roman" w:eastAsia="仿宋GB2312" w:cs="Times New Roman"/>
          <w:szCs w:val="24"/>
        </w:rPr>
        <w:t>。</w:t>
      </w:r>
    </w:p>
    <w:p>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（2）绩效自评工作不规范，《部门整体支出绩效自评表》部分指标未填写评分依据。</w:t>
      </w:r>
    </w:p>
    <w:p>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（3）未见针对绩效监控结果和绩效自评结果较差的项目的研究分析、改进方法等措施；未见绩效管理和预算编制管理的关联性。</w:t>
      </w:r>
    </w:p>
    <w:p>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3.政府采购执行率偏低</w:t>
      </w:r>
    </w:p>
    <w:p>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政府采购执行率</w:t>
      </w:r>
      <w:r>
        <w:rPr>
          <w:rFonts w:ascii="Times New Roman" w:hAnsi="Times New Roman" w:eastAsia="仿宋GB2312" w:cs="Times New Roman"/>
          <w:szCs w:val="24"/>
        </w:rPr>
        <w:t>74.30%</w:t>
      </w:r>
      <w:r>
        <w:rPr>
          <w:rFonts w:hint="eastAsia" w:ascii="Times New Roman" w:hAnsi="Times New Roman" w:eastAsia="仿宋GB2312" w:cs="Times New Roman"/>
          <w:szCs w:val="24"/>
        </w:rPr>
        <w:t>，偏低。</w:t>
      </w:r>
    </w:p>
    <w:p>
      <w:pPr>
        <w:pStyle w:val="5"/>
        <w:ind w:firstLine="640"/>
      </w:pPr>
      <w:r>
        <w:rPr>
          <w:rFonts w:hint="eastAsia"/>
        </w:rPr>
        <w:t>（二）相关建议</w:t>
      </w:r>
    </w:p>
    <w:p>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 xml:space="preserve"> 1.加强资产管理能力</w:t>
      </w:r>
    </w:p>
    <w:p>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完善资产管理规定，为资产管理具体实施提供相应的依据，并严格执行；及时更新资产台账，尤其是资产存放地点和使用情况。</w:t>
      </w:r>
    </w:p>
    <w:p>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2.提升绩效管理水平</w:t>
      </w:r>
    </w:p>
    <w:p>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绩效目标设置方面，部门整体绩效目标要尽可能涵盖部门职责和年度主要任务及资金使用方向，以便全面、明确的反映部门整体绩效工作。在具体设置绩效指标时，要全面和规范，设置相应的产出和效益指标。</w:t>
      </w:r>
    </w:p>
    <w:p>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绩效评价工作方面，建议严格按照区财政局的绩效工作要求提升绩效监控和绩效自评工作质量，做好绩效评价工作和评价结果分析工作，并根据分析结论改进项目管理工作，提升评价结果的实用性。</w:t>
      </w:r>
    </w:p>
    <w:p>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3.规范政府采购工作</w:t>
      </w:r>
    </w:p>
    <w:p>
      <w:pPr>
        <w:adjustRightInd w:val="0"/>
        <w:snapToGrid w:val="0"/>
        <w:ind w:firstLine="640"/>
      </w:pPr>
      <w:r>
        <w:rPr>
          <w:rFonts w:hint="eastAsia" w:ascii="Times New Roman" w:hAnsi="Times New Roman" w:eastAsia="仿宋GB2312" w:cs="Times New Roman"/>
          <w:szCs w:val="24"/>
        </w:rPr>
        <w:t>建议严格把控政府采购预算的追加和变更，做到除上级决策批准需要外不追加政府采购预算，除特殊原因外已批复的预算采购项目不得变更。</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仿宋_GB2312"/>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9"/>
                      <w:rPr>
                        <w:rFonts w:hint="eastAsia" w:eastAsia="仿宋_GB2312"/>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EwZWRiOTdiNmQwMDdjZmU4MzFhYTM5ZmRiZWJjMzYifQ=="/>
  </w:docVars>
  <w:rsids>
    <w:rsidRoot w:val="00A06B19"/>
    <w:rsid w:val="000F2088"/>
    <w:rsid w:val="001907BA"/>
    <w:rsid w:val="001D79C5"/>
    <w:rsid w:val="00347C1D"/>
    <w:rsid w:val="003C4247"/>
    <w:rsid w:val="00441DE4"/>
    <w:rsid w:val="004856A2"/>
    <w:rsid w:val="004F4DF3"/>
    <w:rsid w:val="005332A9"/>
    <w:rsid w:val="0055553C"/>
    <w:rsid w:val="005F184A"/>
    <w:rsid w:val="006645B0"/>
    <w:rsid w:val="007068AE"/>
    <w:rsid w:val="00763110"/>
    <w:rsid w:val="007B1725"/>
    <w:rsid w:val="007C51EF"/>
    <w:rsid w:val="007F4C7F"/>
    <w:rsid w:val="00886B5F"/>
    <w:rsid w:val="008A5FED"/>
    <w:rsid w:val="009E66E1"/>
    <w:rsid w:val="00A06B19"/>
    <w:rsid w:val="00A35628"/>
    <w:rsid w:val="00A865D1"/>
    <w:rsid w:val="00B51004"/>
    <w:rsid w:val="00CD71E2"/>
    <w:rsid w:val="00DB0171"/>
    <w:rsid w:val="00E03C30"/>
    <w:rsid w:val="00E42D33"/>
    <w:rsid w:val="00E55FDF"/>
    <w:rsid w:val="00EF6AE4"/>
    <w:rsid w:val="00F8141D"/>
    <w:rsid w:val="01C22120"/>
    <w:rsid w:val="03244971"/>
    <w:rsid w:val="066F5090"/>
    <w:rsid w:val="10A5525B"/>
    <w:rsid w:val="134B33B0"/>
    <w:rsid w:val="1A034839"/>
    <w:rsid w:val="30585564"/>
    <w:rsid w:val="43F52A4A"/>
    <w:rsid w:val="4AE574C4"/>
    <w:rsid w:val="4F75145B"/>
    <w:rsid w:val="51B87241"/>
    <w:rsid w:val="585C15CD"/>
    <w:rsid w:val="590A1802"/>
    <w:rsid w:val="77351D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qFormat="1" w:unhideWhenUsed="0" w:uiPriority="0" w:semiHidden="0"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80" w:lineRule="exact"/>
      <w:ind w:firstLine="200" w:firstLineChars="200"/>
      <w:jc w:val="both"/>
    </w:pPr>
    <w:rPr>
      <w:rFonts w:eastAsia="仿宋_GB2312" w:asciiTheme="minorHAnsi" w:hAnsiTheme="minorHAnsi" w:cstheme="minorBidi"/>
      <w:kern w:val="2"/>
      <w:sz w:val="32"/>
      <w:szCs w:val="22"/>
      <w:lang w:val="en-US" w:eastAsia="zh-CN" w:bidi="ar-SA"/>
    </w:rPr>
  </w:style>
  <w:style w:type="paragraph" w:styleId="4">
    <w:name w:val="heading 1"/>
    <w:basedOn w:val="1"/>
    <w:next w:val="1"/>
    <w:link w:val="15"/>
    <w:qFormat/>
    <w:uiPriority w:val="9"/>
    <w:pPr>
      <w:outlineLvl w:val="0"/>
    </w:pPr>
    <w:rPr>
      <w:rFonts w:eastAsia="黑体"/>
      <w:bCs/>
      <w:kern w:val="44"/>
      <w:szCs w:val="44"/>
    </w:rPr>
  </w:style>
  <w:style w:type="paragraph" w:styleId="5">
    <w:name w:val="heading 2"/>
    <w:basedOn w:val="1"/>
    <w:next w:val="1"/>
    <w:link w:val="14"/>
    <w:unhideWhenUsed/>
    <w:qFormat/>
    <w:uiPriority w:val="9"/>
    <w:pPr>
      <w:outlineLvl w:val="1"/>
    </w:pPr>
    <w:rPr>
      <w:rFonts w:eastAsia="楷体" w:asciiTheme="majorHAnsi" w:hAnsiTheme="majorHAnsi" w:cstheme="majorBidi"/>
      <w:bCs/>
      <w:szCs w:val="32"/>
    </w:rPr>
  </w:style>
  <w:style w:type="paragraph" w:styleId="6">
    <w:name w:val="heading 3"/>
    <w:basedOn w:val="1"/>
    <w:next w:val="1"/>
    <w:link w:val="17"/>
    <w:semiHidden/>
    <w:unhideWhenUsed/>
    <w:qFormat/>
    <w:uiPriority w:val="9"/>
    <w:pPr>
      <w:keepNext/>
      <w:keepLines/>
      <w:spacing w:before="260" w:after="260" w:line="416" w:lineRule="atLeast"/>
      <w:outlineLvl w:val="2"/>
    </w:pPr>
    <w:rPr>
      <w:b/>
      <w:bCs/>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next w:val="3"/>
    <w:qFormat/>
    <w:uiPriority w:val="0"/>
    <w:pPr>
      <w:ind w:firstLine="420"/>
    </w:pPr>
    <w:rPr>
      <w:rFonts w:ascii="Calibri" w:hAnsi="Calibri" w:eastAsia="宋体"/>
      <w:sz w:val="21"/>
    </w:rPr>
  </w:style>
  <w:style w:type="paragraph" w:styleId="3">
    <w:name w:val="toc 4"/>
    <w:basedOn w:val="1"/>
    <w:next w:val="1"/>
    <w:qFormat/>
    <w:uiPriority w:val="0"/>
    <w:pPr>
      <w:wordWrap w:val="0"/>
      <w:ind w:left="850"/>
    </w:pPr>
    <w:rPr>
      <w:rFonts w:ascii="Calibri" w:hAnsi="Calibri" w:cs="黑体"/>
    </w:rPr>
  </w:style>
  <w:style w:type="paragraph" w:styleId="7">
    <w:name w:val="index 8"/>
    <w:basedOn w:val="1"/>
    <w:next w:val="1"/>
    <w:qFormat/>
    <w:uiPriority w:val="0"/>
    <w:pPr>
      <w:ind w:left="2940"/>
    </w:pPr>
    <w:rPr>
      <w:rFonts w:ascii="Calibri" w:hAnsi="Calibri"/>
    </w:rPr>
  </w:style>
  <w:style w:type="paragraph" w:styleId="8">
    <w:name w:val="Body Text Indent 2"/>
    <w:basedOn w:val="1"/>
    <w:next w:val="1"/>
    <w:qFormat/>
    <w:uiPriority w:val="0"/>
    <w:pPr>
      <w:ind w:left="420" w:leftChars="200" w:firstLine="883"/>
    </w:pPr>
  </w:style>
  <w:style w:type="paragraph" w:styleId="9">
    <w:name w:val="footer"/>
    <w:basedOn w:val="1"/>
    <w:link w:val="19"/>
    <w:unhideWhenUsed/>
    <w:qFormat/>
    <w:uiPriority w:val="99"/>
    <w:pPr>
      <w:tabs>
        <w:tab w:val="center" w:pos="4153"/>
        <w:tab w:val="right" w:pos="8306"/>
      </w:tabs>
      <w:snapToGrid w:val="0"/>
      <w:spacing w:line="240" w:lineRule="atLeast"/>
      <w:jc w:val="left"/>
    </w:pPr>
    <w:rPr>
      <w:sz w:val="18"/>
      <w:szCs w:val="18"/>
    </w:rPr>
  </w:style>
  <w:style w:type="paragraph" w:styleId="10">
    <w:name w:val="header"/>
    <w:basedOn w:val="1"/>
    <w:link w:val="18"/>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13">
    <w:name w:val="No Spacing"/>
    <w:qFormat/>
    <w:uiPriority w:val="1"/>
    <w:pPr>
      <w:widowControl w:val="0"/>
      <w:spacing w:line="580" w:lineRule="exact"/>
      <w:ind w:firstLine="200" w:firstLineChars="200"/>
      <w:jc w:val="both"/>
    </w:pPr>
    <w:rPr>
      <w:rFonts w:eastAsia="仿宋_GB2312" w:asciiTheme="minorHAnsi" w:hAnsiTheme="minorHAnsi" w:cstheme="minorBidi"/>
      <w:kern w:val="2"/>
      <w:sz w:val="32"/>
      <w:szCs w:val="22"/>
      <w:lang w:val="en-US" w:eastAsia="zh-CN" w:bidi="ar-SA"/>
    </w:rPr>
  </w:style>
  <w:style w:type="character" w:customStyle="1" w:styleId="14">
    <w:name w:val="标题 2 字符"/>
    <w:basedOn w:val="12"/>
    <w:link w:val="5"/>
    <w:qFormat/>
    <w:uiPriority w:val="9"/>
    <w:rPr>
      <w:rFonts w:eastAsia="楷体" w:asciiTheme="majorHAnsi" w:hAnsiTheme="majorHAnsi" w:cstheme="majorBidi"/>
      <w:bCs/>
      <w:kern w:val="2"/>
      <w:sz w:val="32"/>
      <w:szCs w:val="32"/>
    </w:rPr>
  </w:style>
  <w:style w:type="character" w:customStyle="1" w:styleId="15">
    <w:name w:val="标题 1 字符"/>
    <w:basedOn w:val="12"/>
    <w:link w:val="4"/>
    <w:qFormat/>
    <w:uiPriority w:val="9"/>
    <w:rPr>
      <w:rFonts w:eastAsia="黑体"/>
      <w:bCs/>
      <w:kern w:val="44"/>
      <w:sz w:val="32"/>
      <w:szCs w:val="44"/>
    </w:rPr>
  </w:style>
  <w:style w:type="paragraph" w:styleId="16">
    <w:name w:val="List Paragraph"/>
    <w:basedOn w:val="1"/>
    <w:qFormat/>
    <w:uiPriority w:val="34"/>
    <w:pPr>
      <w:ind w:firstLine="420"/>
    </w:pPr>
  </w:style>
  <w:style w:type="character" w:customStyle="1" w:styleId="17">
    <w:name w:val="标题 3 字符"/>
    <w:basedOn w:val="12"/>
    <w:link w:val="6"/>
    <w:semiHidden/>
    <w:qFormat/>
    <w:uiPriority w:val="9"/>
    <w:rPr>
      <w:rFonts w:eastAsia="仿宋_GB2312"/>
      <w:b/>
      <w:bCs/>
      <w:sz w:val="32"/>
      <w:szCs w:val="32"/>
    </w:rPr>
  </w:style>
  <w:style w:type="character" w:customStyle="1" w:styleId="18">
    <w:name w:val="页眉 字符"/>
    <w:basedOn w:val="12"/>
    <w:link w:val="10"/>
    <w:qFormat/>
    <w:uiPriority w:val="99"/>
    <w:rPr>
      <w:rFonts w:eastAsia="仿宋_GB2312"/>
      <w:sz w:val="18"/>
      <w:szCs w:val="18"/>
    </w:rPr>
  </w:style>
  <w:style w:type="character" w:customStyle="1" w:styleId="19">
    <w:name w:val="页脚 字符"/>
    <w:basedOn w:val="12"/>
    <w:link w:val="9"/>
    <w:qFormat/>
    <w:uiPriority w:val="99"/>
    <w:rPr>
      <w:rFonts w:eastAsia="仿宋_GB231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327</Words>
  <Characters>1867</Characters>
  <Lines>15</Lines>
  <Paragraphs>4</Paragraphs>
  <TotalTime>0</TotalTime>
  <ScaleCrop>false</ScaleCrop>
  <LinksUpToDate>false</LinksUpToDate>
  <CharactersWithSpaces>2190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2022-09-09T06:22:00Z</dcterms:created>
  <dc:creator>Yuan Raine</dc:creator>
  <cp:lastModifiedBy>周怡</cp:lastModifiedBy>
  <dcterms:modified xsi:type="dcterms:W3CDTF">2022-12-01T03:34:07Z</dcterms:modified>
  <dc:title>2021年广州市从化区市场监督管理局整体支出绩效自评复核简要报告</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1EDE57D7D5F043689396C365385D18B2</vt:lpwstr>
  </property>
</Properties>
</file>