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bookmarkStart w:id="0" w:name="_GoBack"/>
      <w:bookmarkEnd w:id="0"/>
      <w:r>
        <w:rPr>
          <w:rFonts w:hint="eastAsia"/>
          <w:b/>
          <w:sz w:val="44"/>
          <w:szCs w:val="44"/>
        </w:rPr>
        <w:t>环境监测</w:t>
      </w:r>
      <w:r>
        <w:rPr>
          <w:rFonts w:hint="eastAsia"/>
          <w:b/>
          <w:sz w:val="44"/>
          <w:szCs w:val="44"/>
          <w:lang w:eastAsia="zh-CN"/>
        </w:rPr>
        <w:t>现场仪器</w:t>
      </w:r>
      <w:r>
        <w:rPr>
          <w:rFonts w:hint="eastAsia"/>
          <w:b/>
          <w:sz w:val="44"/>
          <w:szCs w:val="44"/>
        </w:rPr>
        <w:t>设备采购需求书</w:t>
      </w: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一、项目概况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内容</w:t>
            </w:r>
          </w:p>
        </w:tc>
        <w:tc>
          <w:tcPr>
            <w:tcW w:w="2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284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cs="宋体"/>
                <w:sz w:val="24"/>
                <w:szCs w:val="24"/>
              </w:rPr>
            </w:pPr>
            <w:r>
              <w:rPr>
                <w:rFonts w:hint="eastAsia" w:cs="宋体"/>
                <w:sz w:val="24"/>
                <w:szCs w:val="24"/>
                <w:lang w:val="en-US" w:eastAsia="zh-CN"/>
              </w:rPr>
              <w:t>废气多功能取样管</w:t>
            </w:r>
          </w:p>
        </w:tc>
        <w:tc>
          <w:tcPr>
            <w:tcW w:w="2840" w:type="dxa"/>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2支</w:t>
            </w:r>
          </w:p>
        </w:tc>
        <w:tc>
          <w:tcPr>
            <w:tcW w:w="2840" w:type="dxa"/>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共计7万元</w:t>
            </w:r>
          </w:p>
        </w:tc>
      </w:tr>
    </w:tbl>
    <w:p>
      <w:pPr>
        <w:keepNext w:val="0"/>
        <w:keepLines w:val="0"/>
        <w:widowControl w:val="0"/>
        <w:suppressLineNumbers w:val="0"/>
        <w:suppressAutoHyphens/>
        <w:bidi w:val="0"/>
        <w:spacing w:before="0" w:beforeAutospacing="0" w:after="0" w:afterAutospacing="0"/>
        <w:ind w:left="0" w:right="0"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二、服务内容</w:t>
      </w:r>
    </w:p>
    <w:p>
      <w:pPr>
        <w:suppressAutoHyphens/>
        <w:bidi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（一）废气多功能取样管要求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456"/>
        <w:gridCol w:w="418"/>
        <w:gridCol w:w="6576"/>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noWrap w:val="0"/>
            <w:vAlign w:val="center"/>
          </w:tcPr>
          <w:p>
            <w:pPr>
              <w:jc w:val="center"/>
              <w:rPr>
                <w:rFonts w:hint="eastAsia" w:ascii="宋体" w:hAnsi="宋体" w:eastAsia="宋体" w:cs="宋体"/>
                <w:b/>
                <w:sz w:val="18"/>
                <w:szCs w:val="18"/>
                <w:highlight w:val="none"/>
                <w:vertAlign w:val="baseline"/>
              </w:rPr>
            </w:pPr>
            <w:r>
              <w:rPr>
                <w:rFonts w:hint="eastAsia" w:ascii="宋体" w:hAnsi="宋体" w:cs="宋体"/>
                <w:b/>
                <w:color w:val="auto"/>
                <w:kern w:val="2"/>
                <w:sz w:val="18"/>
                <w:szCs w:val="18"/>
                <w:highlight w:val="none"/>
                <w:lang w:eastAsia="zh-CN"/>
              </w:rPr>
              <w:t>序号</w:t>
            </w:r>
          </w:p>
        </w:tc>
        <w:tc>
          <w:tcPr>
            <w:tcW w:w="456" w:type="dxa"/>
            <w:noWrap w:val="0"/>
            <w:vAlign w:val="center"/>
          </w:tcPr>
          <w:p>
            <w:pPr>
              <w:jc w:val="center"/>
              <w:rPr>
                <w:rFonts w:hint="eastAsia" w:ascii="宋体" w:hAnsi="宋体" w:eastAsia="宋体" w:cs="宋体"/>
                <w:b/>
                <w:sz w:val="18"/>
                <w:szCs w:val="18"/>
                <w:highlight w:val="none"/>
                <w:vertAlign w:val="baseline"/>
              </w:rPr>
            </w:pPr>
            <w:r>
              <w:rPr>
                <w:rFonts w:hint="eastAsia" w:ascii="宋体" w:hAnsi="宋体" w:cs="宋体"/>
                <w:b/>
                <w:color w:val="auto"/>
                <w:kern w:val="2"/>
                <w:sz w:val="18"/>
                <w:szCs w:val="18"/>
                <w:highlight w:val="none"/>
                <w:lang w:eastAsia="zh-CN"/>
              </w:rPr>
              <w:t>物品名称</w:t>
            </w:r>
          </w:p>
        </w:tc>
        <w:tc>
          <w:tcPr>
            <w:tcW w:w="418" w:type="dxa"/>
            <w:noWrap w:val="0"/>
            <w:vAlign w:val="center"/>
          </w:tcPr>
          <w:p>
            <w:pPr>
              <w:jc w:val="center"/>
              <w:rPr>
                <w:rFonts w:hint="eastAsia" w:ascii="宋体" w:hAnsi="宋体" w:eastAsia="宋体" w:cs="宋体"/>
                <w:b/>
                <w:sz w:val="18"/>
                <w:szCs w:val="18"/>
                <w:highlight w:val="none"/>
                <w:vertAlign w:val="baseline"/>
              </w:rPr>
            </w:pPr>
            <w:r>
              <w:rPr>
                <w:rFonts w:hint="eastAsia" w:ascii="宋体" w:hAnsi="宋体" w:cs="宋体"/>
                <w:b/>
                <w:color w:val="auto"/>
                <w:kern w:val="2"/>
                <w:sz w:val="18"/>
                <w:szCs w:val="18"/>
                <w:highlight w:val="none"/>
                <w:lang w:eastAsia="zh-CN"/>
              </w:rPr>
              <w:t>数量</w:t>
            </w:r>
          </w:p>
        </w:tc>
        <w:tc>
          <w:tcPr>
            <w:tcW w:w="6576" w:type="dxa"/>
            <w:noWrap w:val="0"/>
            <w:vAlign w:val="center"/>
          </w:tcPr>
          <w:p>
            <w:pPr>
              <w:jc w:val="center"/>
              <w:rPr>
                <w:rFonts w:hint="eastAsia" w:ascii="宋体" w:hAnsi="宋体" w:eastAsia="宋体" w:cs="宋体"/>
                <w:b/>
                <w:sz w:val="18"/>
                <w:szCs w:val="18"/>
                <w:highlight w:val="none"/>
                <w:vertAlign w:val="baseline"/>
              </w:rPr>
            </w:pPr>
            <w:r>
              <w:rPr>
                <w:rFonts w:hint="eastAsia" w:ascii="宋体" w:hAnsi="宋体" w:cs="宋体"/>
                <w:b/>
                <w:color w:val="auto"/>
                <w:kern w:val="2"/>
                <w:sz w:val="18"/>
                <w:szCs w:val="18"/>
                <w:highlight w:val="none"/>
                <w:lang w:eastAsia="zh-CN"/>
              </w:rPr>
              <w:t>技术参数</w:t>
            </w:r>
          </w:p>
        </w:tc>
        <w:tc>
          <w:tcPr>
            <w:tcW w:w="665" w:type="dxa"/>
            <w:noWrap w:val="0"/>
            <w:vAlign w:val="center"/>
          </w:tcPr>
          <w:p>
            <w:pPr>
              <w:jc w:val="center"/>
              <w:rPr>
                <w:rFonts w:hint="eastAsia" w:ascii="宋体" w:hAnsi="宋体" w:eastAsia="宋体" w:cs="宋体"/>
                <w:b/>
                <w:sz w:val="18"/>
                <w:szCs w:val="18"/>
                <w:highlight w:val="none"/>
                <w:vertAlign w:val="baseline"/>
              </w:rPr>
            </w:pPr>
            <w:r>
              <w:rPr>
                <w:rFonts w:hint="eastAsia" w:ascii="宋体" w:hAnsi="宋体" w:cs="宋体"/>
                <w:b/>
                <w:color w:val="auto"/>
                <w:kern w:val="2"/>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40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Calibri" w:hAnsi="Calibri" w:eastAsia="宋体" w:cs="宋体"/>
                <w:sz w:val="21"/>
                <w:szCs w:val="21"/>
                <w:vertAlign w:val="baseline"/>
                <w:lang w:val="en-US" w:eastAsia="zh-CN"/>
              </w:rPr>
            </w:pPr>
            <w:r>
              <w:rPr>
                <w:rFonts w:hint="eastAsia" w:ascii="Calibri" w:hAnsi="Calibri" w:eastAsia="宋体" w:cs="宋体"/>
                <w:sz w:val="21"/>
                <w:szCs w:val="21"/>
                <w:vertAlign w:val="baseline"/>
                <w:lang w:val="en-US" w:eastAsia="zh-CN"/>
              </w:rPr>
              <w:t>1</w:t>
            </w:r>
          </w:p>
        </w:tc>
        <w:tc>
          <w:tcPr>
            <w:tcW w:w="456" w:type="dxa"/>
            <w:noWrap w:val="0"/>
            <w:vAlign w:val="center"/>
          </w:tcPr>
          <w:p>
            <w:pPr>
              <w:jc w:val="center"/>
              <w:textAlignment w:val="center"/>
              <w:rPr>
                <w:rFonts w:hint="eastAsia" w:ascii="Calibri" w:hAnsi="Calibri" w:eastAsia="宋体" w:cs="宋体"/>
                <w:color w:val="auto"/>
                <w:kern w:val="2"/>
                <w:sz w:val="21"/>
                <w:szCs w:val="21"/>
                <w:highlight w:val="none"/>
                <w:lang w:val="en-US" w:eastAsia="zh-CN" w:bidi="ar-SA"/>
              </w:rPr>
            </w:pPr>
            <w:r>
              <w:rPr>
                <w:rFonts w:hint="eastAsia" w:cs="宋体"/>
                <w:sz w:val="21"/>
                <w:szCs w:val="21"/>
                <w:lang w:val="en-US" w:eastAsia="zh-CN"/>
              </w:rPr>
              <w:t>废气多功能取样管</w:t>
            </w:r>
          </w:p>
        </w:tc>
        <w:tc>
          <w:tcPr>
            <w:tcW w:w="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Calibri" w:hAnsi="Calibri" w:eastAsia="宋体" w:cs="宋体"/>
                <w:sz w:val="21"/>
                <w:szCs w:val="21"/>
                <w:vertAlign w:val="baseline"/>
                <w:lang w:val="en-US" w:eastAsia="zh-CN"/>
              </w:rPr>
            </w:pPr>
            <w:r>
              <w:rPr>
                <w:rFonts w:hint="eastAsia" w:cs="宋体"/>
                <w:sz w:val="21"/>
                <w:szCs w:val="21"/>
                <w:vertAlign w:val="baseline"/>
                <w:lang w:val="en-US" w:eastAsia="zh-CN"/>
              </w:rPr>
              <w:t>2</w:t>
            </w:r>
          </w:p>
        </w:tc>
        <w:tc>
          <w:tcPr>
            <w:tcW w:w="6576" w:type="dxa"/>
            <w:noWrap w:val="0"/>
            <w:vAlign w:val="top"/>
          </w:tcPr>
          <w:p>
            <w:pPr>
              <w:autoSpaceDE w:val="0"/>
              <w:autoSpaceDN w:val="0"/>
              <w:spacing w:line="400" w:lineRule="exact"/>
              <w:jc w:val="left"/>
              <w:rPr>
                <w:rFonts w:hint="eastAsia" w:ascii="微软雅黑" w:hAnsi="微软雅黑" w:eastAsia="微软雅黑"/>
                <w:color w:val="000000"/>
                <w:sz w:val="22"/>
              </w:rPr>
            </w:pPr>
            <w:r>
              <w:rPr>
                <w:rFonts w:hint="eastAsia" w:ascii="微软雅黑" w:hAnsi="微软雅黑" w:eastAsia="微软雅黑"/>
                <w:color w:val="000000"/>
                <w:sz w:val="22"/>
                <w:lang w:val="en-US" w:eastAsia="zh-CN"/>
              </w:rPr>
              <w:t>仪器用途：用于固定污染源排放物中氯化氢、硫酸雾、铬酸雾、氟化物、氟化氢、溴化氢等污染物的采集</w:t>
            </w:r>
          </w:p>
          <w:p>
            <w:pPr>
              <w:spacing w:line="200" w:lineRule="exact"/>
              <w:ind w:firstLine="240" w:firstLineChars="100"/>
              <w:rPr>
                <w:rFonts w:ascii="微软雅黑" w:hAnsi="微软雅黑" w:eastAsia="微软雅黑"/>
                <w:b/>
                <w:color w:val="FFFFFF"/>
                <w:sz w:val="24"/>
                <w:szCs w:val="24"/>
                <w:shd w:val="clear" w:color="auto" w:fill="C3001E"/>
              </w:rPr>
            </w:pPr>
          </w:p>
          <w:tbl>
            <w:tblPr>
              <w:tblStyle w:val="5"/>
              <w:tblW w:w="999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tcBorders>
                    <w:right w:val="single" w:color="auto" w:sz="4" w:space="0"/>
                  </w:tcBorders>
                  <w:shd w:val="clear" w:color="auto" w:fill="auto"/>
                </w:tcPr>
                <w:p>
                  <w:pPr>
                    <w:autoSpaceDE w:val="0"/>
                    <w:autoSpaceDN w:val="0"/>
                    <w:spacing w:line="400" w:lineRule="exact"/>
                    <w:jc w:val="left"/>
                    <w:rPr>
                      <w:rFonts w:ascii="微软雅黑" w:hAnsi="微软雅黑" w:eastAsia="微软雅黑"/>
                      <w:b/>
                      <w:color w:val="auto"/>
                      <w:szCs w:val="24"/>
                      <w:highlight w:val="none"/>
                    </w:rPr>
                  </w:pPr>
                  <w:r>
                    <w:rPr>
                      <w:rFonts w:hint="eastAsia" w:ascii="微软雅黑" w:hAnsi="微软雅黑" w:eastAsia="微软雅黑"/>
                      <w:b/>
                      <w:color w:val="auto"/>
                      <w:sz w:val="24"/>
                      <w:szCs w:val="24"/>
                      <w:highlight w:val="none"/>
                    </w:rPr>
                    <w:t>主要参数</w:t>
                  </w:r>
                </w:p>
              </w:tc>
              <w:tc>
                <w:tcPr>
                  <w:tcW w:w="8244" w:type="dxa"/>
                  <w:tcBorders>
                    <w:left w:val="single" w:color="auto" w:sz="4" w:space="0"/>
                    <w:right w:val="single" w:color="auto" w:sz="4" w:space="0"/>
                  </w:tcBorders>
                  <w:shd w:val="clear" w:color="auto" w:fill="auto"/>
                </w:tcPr>
                <w:p>
                  <w:pPr>
                    <w:autoSpaceDE w:val="0"/>
                    <w:autoSpaceDN w:val="0"/>
                    <w:spacing w:line="400" w:lineRule="exact"/>
                    <w:jc w:val="left"/>
                    <w:rPr>
                      <w:rFonts w:ascii="微软雅黑" w:hAnsi="微软雅黑" w:eastAsia="微软雅黑"/>
                      <w:b/>
                      <w:color w:val="auto"/>
                      <w:szCs w:val="24"/>
                      <w:highlight w:val="none"/>
                    </w:rPr>
                  </w:pPr>
                  <w:r>
                    <w:rPr>
                      <w:rFonts w:hint="eastAsia" w:ascii="微软雅黑" w:hAnsi="微软雅黑" w:eastAsia="微软雅黑"/>
                      <w:b/>
                      <w:color w:val="auto"/>
                      <w:sz w:val="24"/>
                      <w:szCs w:val="24"/>
                      <w:highlight w:val="none"/>
                    </w:rPr>
                    <w:t>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55" w:type="dxa"/>
                  <w:tcBorders>
                    <w:right w:val="single" w:color="auto" w:sz="4" w:space="0"/>
                  </w:tcBorders>
                  <w:vAlign w:val="center"/>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加热温度</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(100~160）℃可</w:t>
                  </w:r>
                  <w:r>
                    <w:rPr>
                      <w:rFonts w:hint="eastAsia" w:ascii="微软雅黑" w:hAnsi="微软雅黑" w:eastAsia="微软雅黑"/>
                      <w:color w:val="000000"/>
                      <w:sz w:val="22"/>
                      <w:lang w:eastAsia="zh-CN"/>
                    </w:rPr>
                    <w:t>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工作电源</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AC(220±22)V，50Hz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气流管线材质</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采样嘴型号</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Φ4.5、Φ6、Φ7、Φ8、Φ10、Φ12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皮托管系数</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0.84±0.01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滤膜规格</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Φ47mm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滤筒型号</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3#</w:t>
                  </w:r>
                  <w:r>
                    <w:rPr>
                      <w:rFonts w:hint="eastAsia" w:ascii="微软雅黑" w:hAnsi="微软雅黑" w:eastAsia="微软雅黑"/>
                      <w:sz w:val="22"/>
                    </w:rPr>
                    <w:t>（φ28×70）</w:t>
                  </w:r>
                  <w:r>
                    <w:rPr>
                      <w:rFonts w:hint="eastAsia" w:ascii="微软雅黑" w:hAnsi="微软雅黑" w:eastAsia="微软雅黑"/>
                      <w:color w:val="000000"/>
                      <w:sz w:val="22"/>
                    </w:rPr>
                    <w:t>滤筒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取样管长度</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有效1.3</w:t>
                  </w:r>
                  <w:r>
                    <w:rPr>
                      <w:rFonts w:ascii="微软雅黑" w:hAnsi="微软雅黑" w:eastAsia="微软雅黑"/>
                      <w:color w:val="000000"/>
                      <w:sz w:val="22"/>
                    </w:rPr>
                    <w:t>m</w:t>
                  </w:r>
                  <w:r>
                    <w:rPr>
                      <w:rFonts w:hint="eastAsia" w:ascii="微软雅黑" w:hAnsi="微软雅黑" w:eastAsia="微软雅黑"/>
                      <w:color w:val="000000"/>
                      <w:sz w:val="22"/>
                    </w:rPr>
                    <w:t>，总长1.72</w:t>
                  </w:r>
                  <w:r>
                    <w:rPr>
                      <w:rFonts w:ascii="微软雅黑" w:hAnsi="微软雅黑" w:eastAsia="微软雅黑"/>
                      <w:color w:val="000000"/>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测孔直径要求</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≥Φ70mm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55" w:type="dxa"/>
                  <w:tcBorders>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取样管耐温</w:t>
                  </w:r>
                </w:p>
              </w:tc>
              <w:tc>
                <w:tcPr>
                  <w:tcW w:w="8244" w:type="dxa"/>
                  <w:tcBorders>
                    <w:left w:val="single" w:color="auto" w:sz="4" w:space="0"/>
                    <w:right w:val="single" w:color="auto" w:sz="4" w:space="0"/>
                  </w:tcBorders>
                </w:tcPr>
                <w:p>
                  <w:pPr>
                    <w:autoSpaceDE w:val="0"/>
                    <w:autoSpaceDN w:val="0"/>
                    <w:spacing w:line="400" w:lineRule="exact"/>
                    <w:jc w:val="left"/>
                    <w:rPr>
                      <w:rFonts w:ascii="微软雅黑" w:hAnsi="微软雅黑" w:eastAsia="微软雅黑"/>
                      <w:color w:val="000000"/>
                      <w:sz w:val="22"/>
                    </w:rPr>
                  </w:pPr>
                  <w:r>
                    <w:rPr>
                      <w:rFonts w:hint="eastAsia" w:ascii="微软雅黑" w:hAnsi="微软雅黑" w:eastAsia="微软雅黑"/>
                      <w:color w:val="000000"/>
                      <w:sz w:val="22"/>
                    </w:rPr>
                    <w:t>≤200℃</w:t>
                  </w:r>
                </w:p>
              </w:tc>
            </w:tr>
          </w:tbl>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ascii="微软雅黑" w:hAnsi="微软雅黑" w:eastAsia="微软雅黑"/>
                <w:color w:val="000000"/>
                <w:sz w:val="22"/>
                <w:lang w:val="en-US" w:eastAsia="zh-CN"/>
              </w:rPr>
            </w:pPr>
            <w:r>
              <w:rPr>
                <w:rFonts w:hint="eastAsia" w:ascii="微软雅黑" w:hAnsi="微软雅黑" w:eastAsia="微软雅黑"/>
                <w:color w:val="000000"/>
                <w:sz w:val="22"/>
                <w:lang w:val="en-US" w:eastAsia="zh-CN"/>
              </w:rPr>
              <w:t>其他要求：能够与崂应3012H型自动烟尘/气测试仪配套使用。</w:t>
            </w:r>
          </w:p>
        </w:tc>
        <w:tc>
          <w:tcPr>
            <w:tcW w:w="66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CESI仿宋-GB18030" w:hAnsi="CESI仿宋-GB18030" w:eastAsia="CESI仿宋-GB18030" w:cs="CESI仿宋-GB18030"/>
                <w:sz w:val="32"/>
                <w:szCs w:val="32"/>
                <w:vertAlign w:val="baseline"/>
              </w:rPr>
            </w:pPr>
          </w:p>
        </w:tc>
      </w:tr>
    </w:tbl>
    <w:p>
      <w:pPr>
        <w:spacing w:line="360" w:lineRule="auto"/>
        <w:rPr>
          <w:rFonts w:hint="eastAsia" w:ascii="宋体" w:hAnsi="宋体" w:eastAsia="宋体" w:cs="宋体"/>
          <w:sz w:val="24"/>
          <w:szCs w:val="24"/>
        </w:rPr>
      </w:pPr>
    </w:p>
    <w:p>
      <w:pPr>
        <w:pStyle w:val="9"/>
        <w:numPr>
          <w:ilvl w:val="0"/>
          <w:numId w:val="1"/>
        </w:numPr>
        <w:spacing w:line="360" w:lineRule="auto"/>
        <w:ind w:leftChars="0" w:firstLine="320" w:firstLineChars="1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配件要求：</w:t>
      </w:r>
    </w:p>
    <w:p>
      <w:pPr>
        <w:pStyle w:val="9"/>
        <w:numPr>
          <w:ilvl w:val="0"/>
          <w:numId w:val="0"/>
        </w:numPr>
        <w:spacing w:line="360" w:lineRule="auto"/>
        <w:ind w:leftChars="100" w:firstLine="320" w:firstLineChars="1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配套有吸收瓶样品箱、多种适用不同采样情况的吸收瓶</w:t>
      </w:r>
    </w:p>
    <w:p>
      <w:pPr>
        <w:pStyle w:val="9"/>
        <w:numPr>
          <w:ilvl w:val="0"/>
          <w:numId w:val="0"/>
        </w:numPr>
        <w:spacing w:line="360" w:lineRule="auto"/>
        <w:ind w:leftChars="1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（三）执行标准：</w:t>
      </w:r>
    </w:p>
    <w:p>
      <w:pPr>
        <w:pStyle w:val="9"/>
        <w:numPr>
          <w:ilvl w:val="0"/>
          <w:numId w:val="0"/>
        </w:numPr>
        <w:spacing w:line="360" w:lineRule="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HJ67-2001大气固定污染源 氟化物的测定 离子选择电极法</w:t>
      </w:r>
    </w:p>
    <w:p>
      <w:pPr>
        <w:pStyle w:val="9"/>
        <w:numPr>
          <w:ilvl w:val="0"/>
          <w:numId w:val="0"/>
        </w:numPr>
        <w:spacing w:line="360" w:lineRule="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HJ544-2016固定污染源废气 硫酸雾的测定 离子色谱法</w:t>
      </w:r>
    </w:p>
    <w:p>
      <w:pPr>
        <w:pStyle w:val="9"/>
        <w:numPr>
          <w:ilvl w:val="0"/>
          <w:numId w:val="0"/>
        </w:numPr>
        <w:spacing w:line="360" w:lineRule="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HJ548-2016固定污染源废气 氯化氢的测定 硝酸银容量法</w:t>
      </w:r>
    </w:p>
    <w:p>
      <w:pPr>
        <w:pStyle w:val="9"/>
        <w:numPr>
          <w:ilvl w:val="0"/>
          <w:numId w:val="0"/>
        </w:numPr>
        <w:spacing w:line="360" w:lineRule="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HJ549-2016环境空气和废气 氯化氢的测定 离子色谱法</w:t>
      </w:r>
    </w:p>
    <w:p>
      <w:pPr>
        <w:pStyle w:val="9"/>
        <w:numPr>
          <w:ilvl w:val="0"/>
          <w:numId w:val="0"/>
        </w:numPr>
        <w:spacing w:line="360" w:lineRule="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HJ688-2019固定污染源废气 氟化氢的测定离子色谱法</w:t>
      </w:r>
    </w:p>
    <w:p>
      <w:pPr>
        <w:pStyle w:val="9"/>
        <w:numPr>
          <w:ilvl w:val="0"/>
          <w:numId w:val="0"/>
        </w:numPr>
        <w:spacing w:line="360" w:lineRule="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HJ1040-2019固定污染源废气 溴化氢的测定离子色谱法</w:t>
      </w:r>
    </w:p>
    <w:p>
      <w:pPr>
        <w:keepNext w:val="0"/>
        <w:keepLines w:val="0"/>
        <w:widowControl w:val="0"/>
        <w:suppressLineNumbers w:val="0"/>
        <w:suppressAutoHyphens/>
        <w:bidi w:val="0"/>
        <w:spacing w:before="0" w:beforeAutospacing="0" w:after="0" w:afterAutospacing="0"/>
        <w:ind w:left="0" w:right="0"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三、服务要求</w:t>
      </w:r>
    </w:p>
    <w:p>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1.本项预算需包括以上所有内容的改造费用、系统集成费用、包装、仓储、运输、保险、安装及验收合格之前及保修期发生的所有含税费用。</w:t>
      </w:r>
    </w:p>
    <w:p>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2.供应方应提供现场培训，最少培训2人熟练使用。</w:t>
      </w:r>
    </w:p>
    <w:p>
      <w:pPr>
        <w:keepNext w:val="0"/>
        <w:keepLines w:val="0"/>
        <w:widowControl w:val="0"/>
        <w:suppressLineNumbers w:val="0"/>
        <w:suppressAutoHyphens/>
        <w:bidi w:val="0"/>
        <w:spacing w:before="0" w:beforeAutospacing="0" w:after="0" w:afterAutospacing="0"/>
        <w:ind w:left="0" w:right="0"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四、验收要求</w:t>
      </w:r>
    </w:p>
    <w:p>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公开的宣传资料和生产厂商官方网站宣传内容的标准要求。（4）产品为全新未使用过的原厂合格正品（包括零部件），表面无划损、无任何缺陷隐患。</w:t>
      </w:r>
    </w:p>
    <w:p>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2.验收费用：由供应商负责，安排专人上门协助验收并开展现场培训。</w:t>
      </w:r>
    </w:p>
    <w:p>
      <w:pPr>
        <w:spacing w:line="560" w:lineRule="exact"/>
        <w:ind w:firstLine="640" w:firstLineChars="200"/>
        <w:rPr>
          <w:rFonts w:hint="eastAsia" w:eastAsia="黑体"/>
          <w:sz w:val="32"/>
          <w:szCs w:val="32"/>
        </w:rPr>
      </w:pPr>
      <w:r>
        <w:rPr>
          <w:rFonts w:hint="eastAsia" w:eastAsia="黑体"/>
          <w:sz w:val="32"/>
          <w:szCs w:val="32"/>
          <w:lang w:eastAsia="zh-CN"/>
        </w:rPr>
        <w:t>五</w:t>
      </w:r>
      <w:r>
        <w:rPr>
          <w:rFonts w:hint="eastAsia" w:eastAsia="黑体"/>
          <w:sz w:val="32"/>
          <w:szCs w:val="32"/>
        </w:rPr>
        <w:t>、交货时间、方式及地点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（一）交货时间</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以合同约定为准，一般为合同签订后</w:t>
      </w:r>
      <w:r>
        <w:rPr>
          <w:rFonts w:hint="eastAsia" w:ascii="仿宋_GB2312" w:hAnsi="宋体" w:eastAsia="仿宋_GB2312"/>
          <w:sz w:val="32"/>
          <w:szCs w:val="32"/>
          <w:lang w:val="en-US" w:eastAsia="zh-CN"/>
        </w:rPr>
        <w:t>10个工作日以内</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（二）交货方式</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送货上门</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（三）交货地点</w:t>
      </w:r>
    </w:p>
    <w:p>
      <w:pPr>
        <w:spacing w:line="600" w:lineRule="exact"/>
        <w:ind w:firstLine="640" w:firstLineChars="200"/>
        <w:rPr>
          <w:rFonts w:hint="eastAsia"/>
          <w:lang w:val="en-US" w:eastAsia="zh-CN"/>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从化</w:t>
      </w:r>
      <w:r>
        <w:rPr>
          <w:rFonts w:hint="eastAsia" w:ascii="仿宋_GB2312" w:hAnsi="方正小标宋简体" w:eastAsia="仿宋_GB2312" w:cs="方正小标宋简体"/>
          <w:sz w:val="32"/>
          <w:szCs w:val="32"/>
        </w:rPr>
        <w:t>环境监测站</w:t>
      </w:r>
      <w:r>
        <w:rPr>
          <w:rFonts w:hint="eastAsia" w:ascii="仿宋_GB2312" w:hAnsi="宋体" w:eastAsia="仿宋_GB2312" w:cs="仿宋"/>
          <w:color w:val="000000"/>
          <w:kern w:val="0"/>
          <w:sz w:val="32"/>
          <w:szCs w:val="32"/>
        </w:rPr>
        <w:t>——广州市</w:t>
      </w:r>
      <w:r>
        <w:rPr>
          <w:rFonts w:hint="eastAsia" w:ascii="仿宋_GB2312" w:hAnsi="宋体" w:eastAsia="仿宋_GB2312" w:cs="仿宋"/>
          <w:color w:val="000000"/>
          <w:kern w:val="0"/>
          <w:sz w:val="32"/>
          <w:szCs w:val="32"/>
          <w:lang w:eastAsia="zh-CN"/>
        </w:rPr>
        <w:t>从化</w:t>
      </w:r>
      <w:r>
        <w:rPr>
          <w:rFonts w:hint="eastAsia" w:ascii="仿宋_GB2312" w:hAnsi="宋体" w:eastAsia="仿宋_GB2312" w:cs="仿宋"/>
          <w:color w:val="000000"/>
          <w:kern w:val="0"/>
          <w:sz w:val="32"/>
          <w:szCs w:val="32"/>
        </w:rPr>
        <w:t>区</w:t>
      </w:r>
      <w:r>
        <w:rPr>
          <w:rFonts w:hint="eastAsia" w:ascii="仿宋_GB2312" w:hAnsi="宋体" w:eastAsia="仿宋_GB2312" w:cs="仿宋"/>
          <w:color w:val="000000"/>
          <w:kern w:val="0"/>
          <w:sz w:val="32"/>
          <w:szCs w:val="32"/>
          <w:lang w:eastAsia="zh-CN"/>
        </w:rPr>
        <w:t>从城大道</w:t>
      </w:r>
      <w:r>
        <w:rPr>
          <w:rFonts w:hint="eastAsia" w:ascii="仿宋_GB2312" w:hAnsi="宋体" w:eastAsia="仿宋_GB2312" w:cs="仿宋"/>
          <w:color w:val="000000"/>
          <w:kern w:val="0"/>
          <w:sz w:val="32"/>
          <w:szCs w:val="32"/>
          <w:lang w:val="en-US" w:eastAsia="zh-CN"/>
        </w:rPr>
        <w:t>3</w:t>
      </w:r>
      <w:r>
        <w:rPr>
          <w:rFonts w:hint="eastAsia" w:ascii="仿宋_GB2312" w:hAnsi="宋体" w:eastAsia="仿宋_GB2312" w:cs="仿宋"/>
          <w:color w:val="000000"/>
          <w:kern w:val="0"/>
          <w:sz w:val="32"/>
          <w:szCs w:val="32"/>
        </w:rPr>
        <w:t>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CESI仿宋-GB18030">
    <w:panose1 w:val="02000500000000000000"/>
    <w:charset w:val="86"/>
    <w:family w:val="auto"/>
    <w:pitch w:val="default"/>
    <w:sig w:usb0="A00002BF" w:usb1="38C7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9FA7"/>
    <w:multiLevelType w:val="singleLevel"/>
    <w:tmpl w:val="DF9E9F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72F01"/>
    <w:rsid w:val="2D6E65EC"/>
    <w:rsid w:val="3C372F01"/>
    <w:rsid w:val="4D790A4A"/>
    <w:rsid w:val="6F67BF19"/>
    <w:rsid w:val="C5BEFE49"/>
    <w:rsid w:val="ED1FDA7E"/>
    <w:rsid w:val="F87D40F1"/>
    <w:rsid w:val="FBFF231B"/>
    <w:rsid w:val="FFE0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next w:val="4"/>
    <w:qFormat/>
    <w:uiPriority w:val="0"/>
    <w:pPr>
      <w:ind w:firstLine="420" w:firstLineChars="100"/>
    </w:pPr>
  </w:style>
  <w:style w:type="paragraph" w:customStyle="1" w:styleId="4">
    <w:name w:val="样式 正文首行缩进 + 首行缩进:  1 字符"/>
    <w:basedOn w:val="1"/>
    <w:next w:val="1"/>
    <w:qFormat/>
    <w:uiPriority w:val="0"/>
    <w:pPr>
      <w:spacing w:line="360" w:lineRule="auto"/>
      <w:ind w:firstLine="200" w:firstLineChars="200"/>
    </w:pPr>
    <w:rPr>
      <w:rFonts w:cs="宋体"/>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adjustRightInd w:val="0"/>
      <w:snapToGrid w:val="0"/>
      <w:spacing w:line="360" w:lineRule="auto"/>
      <w:ind w:firstLine="200" w:firstLineChars="200"/>
    </w:pPr>
    <w:rPr>
      <w:rFonts w:ascii="Calibri" w:hAnsi="Calibri" w:eastAsia="宋体" w:cs="Times New Roman"/>
      <w:sz w:val="24"/>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2024-11-29T00:43:00Z</dcterms:created>
  <dc:creator>Miss Mayට</dc:creator>
  <cp:lastModifiedBy>梁肇峰</cp:lastModifiedBy>
  <dcterms:modified xsi:type="dcterms:W3CDTF">2025-03-17T10:03:23Z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D3C92916A26B4003B002DFEA68465886_11</vt:lpwstr>
  </property>
</Properties>
</file>