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36"/>
          <w:szCs w:val="36"/>
        </w:rPr>
      </w:pPr>
      <w:bookmarkStart w:id="0" w:name="_Toc29926"/>
      <w:bookmarkStart w:id="1" w:name="_Toc23012"/>
      <w:bookmarkStart w:id="2" w:name="_Toc2922"/>
      <w:bookmarkStart w:id="3" w:name="_Toc29576"/>
      <w:bookmarkStart w:id="4" w:name="_Toc1425"/>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从化区医疗卫生和疾控机构基础设施建设及</w:t>
      </w:r>
      <w:bookmarkEnd w:id="0"/>
      <w:bookmarkEnd w:id="1"/>
      <w:bookmarkEnd w:id="2"/>
      <w:bookmarkEnd w:id="3"/>
      <w:bookmarkEnd w:id="4"/>
      <w:bookmarkStart w:id="5" w:name="_Toc6562"/>
      <w:bookmarkStart w:id="6" w:name="_Toc23878"/>
      <w:bookmarkStart w:id="7" w:name="_Toc28056"/>
      <w:bookmarkStart w:id="8" w:name="_Toc31181"/>
      <w:bookmarkStart w:id="9" w:name="_Toc19663"/>
      <w:r>
        <w:rPr>
          <w:rFonts w:hint="eastAsia" w:ascii="方正小标宋_GBK" w:hAnsi="方正小标宋_GBK" w:eastAsia="方正小标宋_GBK" w:cs="方正小标宋_GBK"/>
          <w:sz w:val="44"/>
          <w:szCs w:val="44"/>
        </w:rPr>
        <w:t>医疗设备设施购置项目绩效评价</w:t>
      </w:r>
      <w:r>
        <w:rPr>
          <w:rFonts w:hint="eastAsia" w:ascii="方正小标宋_GBK" w:hAnsi="方正小标宋_GBK" w:eastAsia="方正小标宋_GBK" w:cs="方正小标宋_GBK"/>
          <w:sz w:val="44"/>
          <w:szCs w:val="44"/>
          <w:lang w:val="en-US" w:eastAsia="zh-CN"/>
        </w:rPr>
        <w:t>简要</w:t>
      </w:r>
      <w:r>
        <w:rPr>
          <w:rFonts w:hint="eastAsia" w:ascii="方正小标宋_GBK" w:hAnsi="方正小标宋_GBK" w:eastAsia="方正小标宋_GBK" w:cs="方正小标宋_GBK"/>
          <w:sz w:val="44"/>
          <w:szCs w:val="44"/>
        </w:rPr>
        <w:t>报告</w:t>
      </w:r>
      <w:bookmarkEnd w:id="5"/>
      <w:bookmarkEnd w:id="6"/>
      <w:bookmarkEnd w:id="7"/>
      <w:bookmarkEnd w:id="8"/>
      <w:bookmarkEnd w:id="9"/>
    </w:p>
    <w:p>
      <w:pPr>
        <w:pStyle w:val="2"/>
        <w:ind w:left="0" w:leftChars="0" w:firstLine="0" w:firstLineChars="0"/>
        <w:jc w:val="center"/>
        <w:rPr>
          <w:rFonts w:hint="eastAsia" w:ascii="仿宋_GB2312" w:hAnsi="仿宋_GB2312" w:eastAsia="仿宋_GB2312" w:cs="仿宋_GB2312"/>
          <w:b w:val="0"/>
          <w:bCs/>
          <w:kern w:val="0"/>
          <w:sz w:val="32"/>
          <w:szCs w:val="32"/>
          <w:lang w:val="en-US" w:eastAsia="zh-CN"/>
        </w:rPr>
      </w:pPr>
      <w:r>
        <w:rPr>
          <w:rFonts w:hint="eastAsia" w:ascii="仿宋_GB2312" w:hAnsi="仿宋_GB2312" w:eastAsia="仿宋_GB2312" w:cs="仿宋_GB2312"/>
          <w:b w:val="0"/>
          <w:bCs/>
          <w:kern w:val="0"/>
          <w:sz w:val="32"/>
          <w:szCs w:val="32"/>
          <w:lang w:val="en-US" w:eastAsia="zh-CN"/>
        </w:rPr>
        <w:t>天津中审联有限责任会计师事务所</w:t>
      </w:r>
    </w:p>
    <w:p>
      <w:pPr>
        <w:rPr>
          <w:rFonts w:hint="eastAsia" w:ascii="仿宋_GB2312" w:hAnsi="仿宋_GB2312" w:eastAsia="仿宋_GB2312" w:cs="仿宋_GB2312"/>
          <w:sz w:val="32"/>
          <w:szCs w:val="32"/>
        </w:rPr>
      </w:pPr>
    </w:p>
    <w:p>
      <w:pPr>
        <w:bidi w:val="0"/>
        <w:ind w:firstLine="640" w:firstLineChars="200"/>
        <w:rPr>
          <w:rFonts w:hint="eastAsia" w:ascii="黑体" w:hAnsi="黑体" w:eastAsia="黑体" w:cs="黑体"/>
          <w:sz w:val="32"/>
          <w:szCs w:val="32"/>
        </w:rPr>
      </w:pPr>
      <w:r>
        <w:rPr>
          <w:rFonts w:hint="eastAsia" w:ascii="黑体" w:hAnsi="黑体" w:eastAsia="黑体" w:cs="黑体"/>
          <w:sz w:val="32"/>
          <w:szCs w:val="32"/>
        </w:rPr>
        <w:t>一、评价概述</w:t>
      </w:r>
    </w:p>
    <w:p>
      <w:pPr>
        <w:bidi w:val="0"/>
        <w:ind w:firstLine="640" w:firstLineChars="200"/>
        <w:rPr>
          <w:rFonts w:hint="eastAsia" w:ascii="楷体" w:hAnsi="楷体" w:eastAsia="楷体" w:cs="楷体"/>
          <w:sz w:val="32"/>
          <w:szCs w:val="32"/>
          <w:lang w:val="en-US" w:eastAsia="zh-CN"/>
        </w:rPr>
      </w:pPr>
      <w:bookmarkStart w:id="10" w:name="_Toc16004"/>
      <w:bookmarkStart w:id="11" w:name="_Toc5191"/>
      <w:bookmarkStart w:id="12" w:name="_Toc20273"/>
      <w:r>
        <w:rPr>
          <w:rFonts w:hint="eastAsia" w:ascii="楷体" w:hAnsi="楷体" w:eastAsia="楷体" w:cs="楷体"/>
          <w:sz w:val="32"/>
          <w:szCs w:val="32"/>
        </w:rPr>
        <w:t>（一）项目</w:t>
      </w:r>
      <w:bookmarkEnd w:id="10"/>
      <w:bookmarkEnd w:id="11"/>
      <w:bookmarkEnd w:id="12"/>
      <w:r>
        <w:rPr>
          <w:rFonts w:hint="eastAsia" w:ascii="楷体" w:hAnsi="楷体" w:eastAsia="楷体" w:cs="楷体"/>
          <w:sz w:val="32"/>
          <w:szCs w:val="32"/>
          <w:lang w:val="en-US" w:eastAsia="zh-CN"/>
        </w:rPr>
        <w:t>基本情况</w:t>
      </w:r>
    </w:p>
    <w:p>
      <w:pPr>
        <w:ind w:firstLine="640" w:firstLineChars="200"/>
        <w:jc w:val="left"/>
        <w:outlineLvl w:val="0"/>
        <w:rPr>
          <w:rFonts w:hint="eastAsia" w:ascii="楷体" w:hAnsi="楷体" w:eastAsia="楷体" w:cs="楷体"/>
          <w:sz w:val="32"/>
          <w:szCs w:val="32"/>
          <w:lang w:val="en-US" w:eastAsia="zh-CN"/>
        </w:rPr>
      </w:pPr>
      <w:r>
        <w:rPr>
          <w:rFonts w:hint="eastAsia" w:eastAsia="仿宋_GB2312"/>
          <w:color w:val="000000"/>
          <w:sz w:val="32"/>
          <w:szCs w:val="32"/>
          <w:lang w:val="en-US" w:eastAsia="zh-CN"/>
        </w:rPr>
        <w:t>受</w:t>
      </w:r>
      <w:r>
        <w:rPr>
          <w:rFonts w:hint="eastAsia" w:eastAsia="仿宋_GB2312"/>
          <w:color w:val="000000"/>
          <w:sz w:val="32"/>
          <w:szCs w:val="32"/>
        </w:rPr>
        <w:t>广州市从化区</w:t>
      </w:r>
      <w:r>
        <w:rPr>
          <w:rFonts w:hint="eastAsia" w:eastAsia="仿宋_GB2312"/>
          <w:color w:val="000000"/>
          <w:sz w:val="32"/>
          <w:szCs w:val="32"/>
          <w:lang w:val="en-US" w:eastAsia="zh-CN"/>
        </w:rPr>
        <w:t>财政局委托，我所对</w:t>
      </w:r>
      <w:r>
        <w:rPr>
          <w:rFonts w:hint="eastAsia" w:ascii="仿宋_GB2312" w:hAnsi="仿宋_GB2312" w:eastAsia="仿宋_GB2312" w:cs="仿宋_GB2312"/>
          <w:sz w:val="32"/>
          <w:szCs w:val="32"/>
          <w:lang w:eastAsia="zh-CN"/>
        </w:rPr>
        <w:t>广州市从化区</w:t>
      </w:r>
      <w:r>
        <w:rPr>
          <w:rFonts w:hint="eastAsia" w:ascii="仿宋_GB2312" w:hAnsi="仿宋_GB2312" w:eastAsia="仿宋_GB2312" w:cs="仿宋_GB2312"/>
          <w:sz w:val="32"/>
          <w:szCs w:val="32"/>
          <w:lang w:val="en-US" w:eastAsia="zh-CN"/>
        </w:rPr>
        <w:t>卫生健康局（</w:t>
      </w:r>
      <w:r>
        <w:rPr>
          <w:rFonts w:hint="eastAsia" w:ascii="仿宋_GB2312" w:hAnsi="仿宋_GB2312" w:eastAsia="仿宋_GB2312" w:cs="仿宋_GB2312"/>
          <w:sz w:val="32"/>
          <w:szCs w:val="32"/>
          <w:lang w:eastAsia="zh-CN"/>
        </w:rPr>
        <w:t>以下简称“</w:t>
      </w:r>
      <w:r>
        <w:rPr>
          <w:rFonts w:hint="eastAsia" w:ascii="仿宋_GB2312" w:hAnsi="仿宋_GB2312" w:eastAsia="仿宋_GB2312" w:cs="仿宋_GB2312"/>
          <w:sz w:val="32"/>
          <w:szCs w:val="32"/>
          <w:lang w:val="en-US" w:eastAsia="zh-CN"/>
        </w:rPr>
        <w:t>从化卫健局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）的“</w:t>
      </w:r>
      <w:r>
        <w:rPr>
          <w:rFonts w:hint="eastAsia" w:eastAsia="仿宋_GB2312"/>
          <w:color w:val="000000"/>
          <w:sz w:val="32"/>
          <w:szCs w:val="32"/>
        </w:rPr>
        <w:t>从化区医疗卫生和疾控机构基础设施建设及医疗设备设施购置</w:t>
      </w:r>
      <w:r>
        <w:rPr>
          <w:rFonts w:hint="eastAsia" w:ascii="仿宋_GB2312" w:hAnsi="仿宋_GB2312" w:eastAsia="仿宋_GB2312" w:cs="仿宋_GB2312"/>
          <w:sz w:val="32"/>
          <w:szCs w:val="32"/>
          <w:lang w:val="en-US" w:eastAsia="zh-CN"/>
        </w:rPr>
        <w:t>”</w:t>
      </w:r>
      <w:r>
        <w:rPr>
          <w:rFonts w:hint="eastAsia" w:eastAsia="仿宋_GB2312"/>
          <w:color w:val="000000"/>
          <w:sz w:val="32"/>
          <w:szCs w:val="32"/>
        </w:rPr>
        <w:t>项目</w:t>
      </w:r>
      <w:r>
        <w:rPr>
          <w:rFonts w:hint="eastAsia" w:ascii="仿宋_GB2312" w:hAnsi="仿宋_GB2312" w:eastAsia="仿宋_GB2312" w:cs="仿宋_GB2312"/>
          <w:sz w:val="32"/>
          <w:szCs w:val="32"/>
          <w:lang w:eastAsia="zh-CN"/>
        </w:rPr>
        <w:t>实施了</w:t>
      </w:r>
      <w:r>
        <w:rPr>
          <w:rFonts w:hint="eastAsia" w:ascii="仿宋_GB2312" w:hAnsi="仿宋_GB2312" w:eastAsia="仿宋_GB2312" w:cs="仿宋_GB2312"/>
          <w:sz w:val="32"/>
          <w:szCs w:val="32"/>
          <w:lang w:val="en-US" w:eastAsia="zh-CN"/>
        </w:rPr>
        <w:t>第三方</w:t>
      </w:r>
      <w:r>
        <w:rPr>
          <w:rFonts w:hint="eastAsia" w:ascii="仿宋_GB2312" w:hAnsi="仿宋_GB2312" w:eastAsia="仿宋_GB2312" w:cs="仿宋_GB2312"/>
          <w:sz w:val="32"/>
          <w:szCs w:val="32"/>
          <w:lang w:eastAsia="zh-CN"/>
        </w:rPr>
        <w:t>绩效评价，形成评价报告。</w:t>
      </w:r>
      <w:r>
        <w:rPr>
          <w:rFonts w:hint="eastAsia" w:ascii="仿宋_GB2312" w:hAnsi="仿宋_GB2312" w:eastAsia="仿宋_GB2312" w:cs="仿宋_GB2312"/>
          <w:sz w:val="32"/>
          <w:szCs w:val="32"/>
          <w:lang w:val="en-US" w:eastAsia="zh-CN"/>
        </w:rPr>
        <w:t>从化卫健局</w:t>
      </w:r>
      <w:r>
        <w:rPr>
          <w:rFonts w:hint="eastAsia" w:ascii="仿宋_GB2312" w:eastAsia="仿宋_GB2312"/>
          <w:bCs/>
          <w:sz w:val="32"/>
          <w:szCs w:val="32"/>
        </w:rPr>
        <w:t>根据《从化区人民政府办公室关于印发从化区关于完善公共卫生救治体系和疾病防控应急体系建设实施方案的通知》（从府办函〔2020〕251号）的通知要求，向发改部门申报了“从化区医疗卫生和疾控机构基础设施建设及医疗设备设施购置项目”专项债券项目，计划利用3年时间补齐公共卫生救治体系和应急防控能力短板，提升疾病诊治能力。项目共包含7个子项目，打包申请发行政府专项债券，项目总投资金额为21,986.64万元，拟申请发行政府专项债券金额14,000万元；发行安排为2020年申请发行5,000万元，2021年申请发行5,000</w:t>
      </w:r>
      <w:bookmarkStart w:id="42" w:name="_GoBack"/>
      <w:bookmarkEnd w:id="42"/>
      <w:r>
        <w:rPr>
          <w:rFonts w:hint="eastAsia" w:ascii="仿宋_GB2312" w:eastAsia="仿宋_GB2312"/>
          <w:bCs/>
          <w:sz w:val="32"/>
          <w:szCs w:val="32"/>
        </w:rPr>
        <w:t>万元，2022年申请发行4,000万元。</w:t>
      </w:r>
    </w:p>
    <w:p>
      <w:pPr>
        <w:numPr>
          <w:ilvl w:val="0"/>
          <w:numId w:val="0"/>
        </w:numPr>
        <w:bidi w:val="0"/>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（二）项目资金情况</w:t>
      </w:r>
    </w:p>
    <w:p>
      <w:pPr>
        <w:pStyle w:val="2"/>
        <w:ind w:left="0" w:leftChars="0" w:firstLine="660" w:firstLineChars="200"/>
        <w:rPr>
          <w:rFonts w:hint="default" w:eastAsia="仿宋"/>
          <w:lang w:val="en-US" w:eastAsia="zh-CN"/>
        </w:rPr>
      </w:pPr>
      <w:r>
        <w:rPr>
          <w:rFonts w:hint="eastAsia"/>
          <w:lang w:val="en-US" w:eastAsia="zh-CN"/>
        </w:rPr>
        <w:t>2021年度项目共申请政府专项债券资金</w:t>
      </w:r>
      <w:r>
        <w:rPr>
          <w:rFonts w:hint="eastAsia" w:ascii="仿宋_GB2312" w:eastAsia="仿宋_GB2312"/>
          <w:bCs/>
          <w:sz w:val="32"/>
          <w:szCs w:val="32"/>
        </w:rPr>
        <w:t>5,000</w:t>
      </w:r>
      <w:r>
        <w:rPr>
          <w:rFonts w:hint="eastAsia"/>
          <w:lang w:val="en-US" w:eastAsia="zh-CN"/>
        </w:rPr>
        <w:t>万元，实际发行并拨付到位的政府专项债券资金</w:t>
      </w:r>
      <w:r>
        <w:rPr>
          <w:rFonts w:hint="eastAsia" w:ascii="仿宋_GB2312" w:eastAsia="仿宋_GB2312"/>
          <w:bCs/>
          <w:sz w:val="32"/>
          <w:szCs w:val="32"/>
        </w:rPr>
        <w:t>5,000</w:t>
      </w:r>
      <w:r>
        <w:rPr>
          <w:rFonts w:hint="eastAsia"/>
          <w:lang w:val="en-US" w:eastAsia="zh-CN"/>
        </w:rPr>
        <w:t>万元，已使用政府专项债券资金</w:t>
      </w:r>
      <w:r>
        <w:rPr>
          <w:rFonts w:hint="eastAsia" w:ascii="仿宋_GB2312" w:eastAsia="仿宋_GB2312"/>
          <w:bCs/>
          <w:sz w:val="32"/>
          <w:szCs w:val="32"/>
        </w:rPr>
        <w:t>5,000</w:t>
      </w:r>
      <w:r>
        <w:rPr>
          <w:rFonts w:hint="eastAsia"/>
          <w:lang w:val="en-US" w:eastAsia="zh-CN"/>
        </w:rPr>
        <w:t>万元，预算执行率100%。预算编制存在额度测算依据不够充分，子项目之间资金调剂使用频繁的现象。</w:t>
      </w:r>
    </w:p>
    <w:p>
      <w:pPr>
        <w:bidi w:val="0"/>
        <w:ind w:firstLine="640" w:firstLineChars="200"/>
        <w:rPr>
          <w:rFonts w:hint="eastAsia" w:ascii="楷体" w:hAnsi="楷体" w:eastAsia="楷体" w:cs="楷体"/>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三</w:t>
      </w:r>
      <w:r>
        <w:rPr>
          <w:rFonts w:hint="eastAsia" w:ascii="楷体" w:hAnsi="楷体" w:eastAsia="楷体" w:cs="楷体"/>
          <w:sz w:val="32"/>
          <w:szCs w:val="32"/>
        </w:rPr>
        <w:t>）项目</w:t>
      </w:r>
      <w:r>
        <w:rPr>
          <w:rFonts w:hint="eastAsia" w:ascii="楷体" w:hAnsi="楷体" w:eastAsia="楷体" w:cs="楷体"/>
          <w:sz w:val="32"/>
          <w:szCs w:val="32"/>
          <w:lang w:val="en-US" w:eastAsia="zh-CN"/>
        </w:rPr>
        <w:t>绩效</w:t>
      </w:r>
      <w:r>
        <w:rPr>
          <w:rFonts w:hint="eastAsia" w:ascii="楷体" w:hAnsi="楷体" w:eastAsia="楷体" w:cs="楷体"/>
          <w:sz w:val="32"/>
          <w:szCs w:val="32"/>
        </w:rPr>
        <w:t>目标</w:t>
      </w:r>
    </w:p>
    <w:p>
      <w:pPr>
        <w:pStyle w:val="2"/>
        <w:spacing w:line="560" w:lineRule="atLeast"/>
        <w:ind w:firstLine="640"/>
        <w:rPr>
          <w:rFonts w:hint="default" w:ascii="Times New Roman" w:hAnsi="Times New Roman" w:eastAsia="仿宋_GB2312"/>
          <w:color w:val="000000"/>
          <w:sz w:val="32"/>
          <w:szCs w:val="32"/>
          <w:lang w:val="en-US" w:eastAsia="zh-CN"/>
        </w:rPr>
      </w:pPr>
      <w:r>
        <w:rPr>
          <w:rFonts w:hint="eastAsia" w:ascii="仿宋_GB2312" w:hAnsi="仿宋_GB2312" w:eastAsia="仿宋_GB2312" w:cs="仿宋_GB2312"/>
          <w:color w:val="000000"/>
          <w:sz w:val="32"/>
          <w:szCs w:val="32"/>
        </w:rPr>
        <w:t>2021</w:t>
      </w:r>
      <w:r>
        <w:rPr>
          <w:rFonts w:hint="eastAsia" w:ascii="Times New Roman" w:hAnsi="Times New Roman" w:eastAsia="仿宋_GB2312"/>
          <w:color w:val="000000"/>
          <w:sz w:val="32"/>
          <w:szCs w:val="32"/>
        </w:rPr>
        <w:t>年</w:t>
      </w:r>
      <w:r>
        <w:rPr>
          <w:rFonts w:hint="eastAsia" w:ascii="Times New Roman" w:hAnsi="Times New Roman" w:eastAsia="仿宋_GB2312"/>
          <w:color w:val="000000"/>
          <w:sz w:val="32"/>
          <w:szCs w:val="32"/>
          <w:lang w:val="en-US" w:eastAsia="zh-CN"/>
        </w:rPr>
        <w:t>项目预期实现的绩效目标是：</w:t>
      </w:r>
      <w:r>
        <w:rPr>
          <w:rFonts w:hint="eastAsia" w:ascii="仿宋_GB2312" w:hAnsi="仿宋_GB2312" w:eastAsia="仿宋_GB2312" w:cs="仿宋_GB2312"/>
          <w:sz w:val="32"/>
          <w:szCs w:val="32"/>
        </w:rPr>
        <w:t>完善14间区属医疗卫生机构基础设施建设和更新购置公共卫生应急医疗设施设备，完善医疗卫生应急救治体系，提高医疗救治设施水平，有效地提升我区重大疫情疾病诊治能力；推进区疾控中心标准化体系建设，加强疾病预防实验室能力建设，提升疾病预防控制水平；完善公共卫生监测预警体系建设，强化信息化管理。</w:t>
      </w:r>
      <w:r>
        <w:rPr>
          <w:rFonts w:hint="eastAsia" w:ascii="Times New Roman" w:hAnsi="Times New Roman" w:eastAsia="仿宋_GB2312"/>
          <w:color w:val="000000"/>
          <w:sz w:val="32"/>
          <w:szCs w:val="32"/>
          <w:lang w:val="en-US" w:eastAsia="zh-CN"/>
        </w:rPr>
        <w:t>绩效目标与相关政策文件保持一致，符合管理规范，合理性较强，与实际工作内容相匹配。</w:t>
      </w:r>
    </w:p>
    <w:p>
      <w:pPr>
        <w:bidi w:val="0"/>
        <w:ind w:firstLine="640" w:firstLineChars="200"/>
        <w:rPr>
          <w:rFonts w:hint="default" w:ascii="楷体" w:hAnsi="楷体" w:eastAsia="楷体" w:cs="楷体"/>
          <w:sz w:val="32"/>
          <w:szCs w:val="32"/>
          <w:lang w:val="en-US" w:eastAsia="zh-CN"/>
        </w:rPr>
      </w:pPr>
      <w:bookmarkStart w:id="13" w:name="_Toc18034"/>
      <w:bookmarkStart w:id="14" w:name="_Toc26805"/>
      <w:bookmarkStart w:id="15" w:name="_Toc12417"/>
      <w:bookmarkStart w:id="16" w:name="_Toc15552"/>
      <w:bookmarkStart w:id="17" w:name="_Toc26387"/>
      <w:bookmarkStart w:id="18" w:name="_Toc14283"/>
      <w:r>
        <w:rPr>
          <w:rFonts w:hint="eastAsia" w:ascii="楷体" w:hAnsi="楷体" w:eastAsia="楷体" w:cs="楷体"/>
          <w:sz w:val="32"/>
          <w:szCs w:val="32"/>
        </w:rPr>
        <w:t>（</w:t>
      </w:r>
      <w:r>
        <w:rPr>
          <w:rFonts w:hint="eastAsia" w:ascii="楷体" w:hAnsi="楷体" w:eastAsia="楷体" w:cs="楷体"/>
          <w:sz w:val="32"/>
          <w:szCs w:val="32"/>
          <w:lang w:val="en-US" w:eastAsia="zh-CN"/>
        </w:rPr>
        <w:t>四</w:t>
      </w:r>
      <w:r>
        <w:rPr>
          <w:rFonts w:hint="eastAsia" w:ascii="楷体" w:hAnsi="楷体" w:eastAsia="楷体" w:cs="楷体"/>
          <w:sz w:val="32"/>
          <w:szCs w:val="32"/>
        </w:rPr>
        <w:t>）</w:t>
      </w:r>
      <w:bookmarkEnd w:id="13"/>
      <w:bookmarkEnd w:id="14"/>
      <w:r>
        <w:rPr>
          <w:rFonts w:hint="eastAsia" w:ascii="楷体" w:hAnsi="楷体" w:eastAsia="楷体" w:cs="楷体"/>
          <w:sz w:val="32"/>
          <w:szCs w:val="32"/>
          <w:lang w:val="en-US" w:eastAsia="zh-CN"/>
        </w:rPr>
        <w:t>评价结果</w:t>
      </w:r>
    </w:p>
    <w:p>
      <w:pPr>
        <w:topLinePunct/>
        <w:spacing w:line="560" w:lineRule="atLeast"/>
        <w:ind w:firstLine="668" w:firstLineChars="209"/>
        <w:rPr>
          <w:rFonts w:ascii="仿宋_GB2312" w:hAnsi="仿宋_GB2312" w:eastAsia="仿宋_GB2312" w:cs="仿宋_GB2312"/>
          <w:snapToGrid w:val="0"/>
          <w:kern w:val="0"/>
          <w:sz w:val="32"/>
          <w:szCs w:val="32"/>
        </w:rPr>
      </w:pPr>
      <w:r>
        <w:rPr>
          <w:rFonts w:hint="eastAsia" w:ascii="仿宋_GB2312" w:eastAsia="仿宋_GB2312"/>
          <w:bCs/>
          <w:sz w:val="32"/>
          <w:szCs w:val="32"/>
        </w:rPr>
        <w:t>本次绩效评价以书面材料核查、</w:t>
      </w:r>
      <w:r>
        <w:rPr>
          <w:rFonts w:hint="eastAsia" w:ascii="仿宋_GB2312" w:eastAsia="仿宋_GB2312"/>
          <w:bCs/>
          <w:sz w:val="32"/>
          <w:szCs w:val="32"/>
          <w:lang w:val="en-US" w:eastAsia="zh-CN"/>
        </w:rPr>
        <w:t>现场评价</w:t>
      </w:r>
      <w:r>
        <w:rPr>
          <w:rFonts w:hint="eastAsia" w:eastAsia="仿宋_GB2312"/>
          <w:snapToGrid w:val="0"/>
          <w:kern w:val="0"/>
          <w:sz w:val="32"/>
          <w:szCs w:val="32"/>
          <w:lang w:val="en-US" w:eastAsia="zh-CN"/>
        </w:rPr>
        <w:t>及满意度调查等综合评价方法，对</w:t>
      </w:r>
      <w:r>
        <w:rPr>
          <w:rFonts w:hint="eastAsia" w:ascii="仿宋_GB2312" w:eastAsia="仿宋_GB2312"/>
          <w:bCs/>
          <w:sz w:val="32"/>
          <w:szCs w:val="32"/>
        </w:rPr>
        <w:t>从化区医疗卫生和疾控机构基础设施建设及医疗设备设施购置</w:t>
      </w:r>
      <w:r>
        <w:rPr>
          <w:rFonts w:hint="eastAsia" w:ascii="Times New Roman" w:hAnsi="Times New Roman" w:eastAsia="仿宋_GB2312" w:cs="Times New Roman"/>
          <w:color w:val="000000"/>
          <w:sz w:val="32"/>
          <w:szCs w:val="32"/>
          <w:lang w:val="en-US" w:eastAsia="zh-CN"/>
        </w:rPr>
        <w:t>项目的决策、过程、产出、效益等方面实施评价，最终项目绩效评价等级为“</w:t>
      </w:r>
      <w:r>
        <w:rPr>
          <w:rFonts w:hint="eastAsia" w:eastAsia="仿宋_GB2312" w:cs="Times New Roman"/>
          <w:color w:val="000000"/>
          <w:sz w:val="32"/>
          <w:szCs w:val="32"/>
          <w:lang w:val="en-US" w:eastAsia="zh-CN"/>
        </w:rPr>
        <w:t>良</w:t>
      </w:r>
      <w:r>
        <w:rPr>
          <w:rFonts w:hint="eastAsia" w:ascii="Times New Roman" w:hAnsi="Times New Roman" w:eastAsia="仿宋_GB2312" w:cs="Times New Roman"/>
          <w:color w:val="000000"/>
          <w:sz w:val="32"/>
          <w:szCs w:val="32"/>
          <w:lang w:val="en-US" w:eastAsia="zh-CN"/>
        </w:rPr>
        <w:t>”。</w:t>
      </w:r>
      <w:bookmarkEnd w:id="15"/>
      <w:bookmarkEnd w:id="16"/>
      <w:bookmarkEnd w:id="17"/>
      <w:bookmarkEnd w:id="18"/>
    </w:p>
    <w:p>
      <w:pPr>
        <w:numPr>
          <w:ilvl w:val="0"/>
          <w:numId w:val="0"/>
        </w:numPr>
        <w:bidi w:val="0"/>
        <w:ind w:firstLine="640" w:firstLineChars="200"/>
        <w:rPr>
          <w:rFonts w:hint="eastAsia" w:ascii="黑体" w:hAnsi="黑体" w:eastAsia="黑体" w:cs="黑体"/>
          <w:sz w:val="32"/>
          <w:szCs w:val="32"/>
          <w:lang w:val="en-US" w:eastAsia="zh-CN"/>
        </w:rPr>
      </w:pPr>
      <w:bookmarkStart w:id="19" w:name="_Toc12425"/>
      <w:bookmarkStart w:id="20" w:name="_Toc24037"/>
      <w:bookmarkStart w:id="21" w:name="_Toc9534"/>
      <w:bookmarkStart w:id="22" w:name="_Toc32133"/>
      <w:bookmarkStart w:id="23" w:name="_Toc27461"/>
    </w:p>
    <w:p>
      <w:pPr>
        <w:numPr>
          <w:ilvl w:val="0"/>
          <w:numId w:val="0"/>
        </w:numPr>
        <w:bidi w:val="0"/>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项目绩效</w:t>
      </w:r>
      <w:bookmarkEnd w:id="19"/>
      <w:bookmarkEnd w:id="20"/>
      <w:bookmarkEnd w:id="21"/>
    </w:p>
    <w:p>
      <w:pPr>
        <w:bidi w:val="0"/>
        <w:ind w:firstLine="640" w:firstLineChars="200"/>
        <w:rPr>
          <w:rFonts w:hint="eastAsia" w:ascii="楷体" w:hAnsi="楷体" w:eastAsia="楷体" w:cs="楷体"/>
          <w:sz w:val="32"/>
          <w:szCs w:val="32"/>
        </w:rPr>
      </w:pPr>
      <w:r>
        <w:rPr>
          <w:rFonts w:hint="eastAsia" w:ascii="楷体" w:hAnsi="楷体" w:eastAsia="楷体" w:cs="楷体"/>
          <w:sz w:val="32"/>
          <w:szCs w:val="32"/>
        </w:rPr>
        <w:t>（一）补齐公共卫生救治体系和应急防控能力短板，提升疾病诊治能力</w:t>
      </w:r>
      <w:bookmarkEnd w:id="22"/>
      <w:bookmarkEnd w:id="23"/>
    </w:p>
    <w:p>
      <w:pPr>
        <w:pStyle w:val="2"/>
        <w:ind w:firstLine="640"/>
        <w:rPr>
          <w:rFonts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从化区卫生健康局作为从化区医疗卫生事业主管部门，贯彻落实了习近平总书记的重要讲话和重要指示批示精神，总结了抗击新冠肺炎疫情经验，并根据区委、区政府的有关部署，结合从化区医疗、卫生事业实际情况，向发改部门申报了“从化区医疗卫生和疾控机构基础设施建设及医疗设备设施购置项目”专项债券项目。项目实施后，区中医医院、区妇幼保健院和14间区属医疗卫生机构的基础设施建设及医疗设备设施得到了建设与完善，公共卫生救治体系和应急防控设施设备购置得到了很好的经费保障，疾病预防控制中心实验室等进行了标准化建设；项目的有序推进补齐了从化区应急救治短板，完善了公共卫生救治体系和应急防控设施设备，提升了疾病诊治能力。</w:t>
      </w:r>
    </w:p>
    <w:p>
      <w:pPr>
        <w:bidi w:val="0"/>
        <w:ind w:firstLine="640" w:firstLineChars="200"/>
        <w:rPr>
          <w:rFonts w:hint="eastAsia" w:ascii="楷体" w:hAnsi="楷体" w:eastAsia="楷体" w:cs="楷体"/>
          <w:sz w:val="32"/>
          <w:szCs w:val="32"/>
        </w:rPr>
      </w:pPr>
      <w:bookmarkStart w:id="24" w:name="_Toc12738"/>
      <w:bookmarkStart w:id="25" w:name="_Toc15313"/>
      <w:r>
        <w:rPr>
          <w:rFonts w:hint="eastAsia" w:ascii="楷体" w:hAnsi="楷体" w:eastAsia="楷体" w:cs="楷体"/>
          <w:sz w:val="32"/>
          <w:szCs w:val="32"/>
        </w:rPr>
        <w:t>（二）符合医疗卫生事业发展需要，具有较好的经济社会效益</w:t>
      </w:r>
      <w:bookmarkEnd w:id="24"/>
      <w:bookmarkEnd w:id="25"/>
    </w:p>
    <w:p>
      <w:pPr>
        <w:spacing w:line="560" w:lineRule="atLeast"/>
        <w:ind w:firstLine="640" w:firstLineChars="200"/>
        <w:rPr>
          <w:rFonts w:eastAsia="仿宋_GB2312"/>
          <w:snapToGrid w:val="0"/>
          <w:kern w:val="0"/>
          <w:sz w:val="32"/>
          <w:szCs w:val="32"/>
        </w:rPr>
      </w:pPr>
      <w:r>
        <w:rPr>
          <w:rFonts w:hint="eastAsia" w:eastAsia="仿宋_GB2312"/>
          <w:snapToGrid w:val="0"/>
          <w:kern w:val="0"/>
          <w:sz w:val="32"/>
          <w:szCs w:val="32"/>
        </w:rPr>
        <w:t>项目的建设符合广州市和从化区医药卫生体制改革的要求和基层医疗卫生服务体系建设的规划，有利于进一步加快广州市基层医疗卫生服务体系的建设，缓解当地居民求医问药难的问题，为群众提供安全、有效、方便、价廉的医疗卫生服务。项目的开展不仅能扩大当地医疗服务范围、增加就诊和住院的容纳量、提高综合服务质量、进一步完善城乡基层医疗卫生服务体系，而且从根本上迎合了从化区医疗卫生事业发展需要，同时也是当地医疗卫生事业发展的强心剂，大大促进当地医院综合服务能力升级的步伐，为辖区及周边常住和流动人口提供了优质的医卫服务。项目的实施具有较好的经济社会效益，2021年从化区医疗收入对比2020年医疗收人提升比率为8.38%。</w:t>
      </w:r>
    </w:p>
    <w:p>
      <w:pPr>
        <w:bidi w:val="0"/>
        <w:ind w:firstLine="640" w:firstLineChars="200"/>
        <w:rPr>
          <w:rFonts w:hint="eastAsia" w:ascii="黑体" w:hAnsi="黑体" w:eastAsia="黑体" w:cs="黑体"/>
          <w:sz w:val="32"/>
          <w:szCs w:val="32"/>
        </w:rPr>
      </w:pPr>
      <w:bookmarkStart w:id="26" w:name="_Toc54"/>
      <w:bookmarkStart w:id="27" w:name="_Toc25836"/>
      <w:bookmarkStart w:id="28" w:name="_Toc12544"/>
      <w:bookmarkStart w:id="29" w:name="_Toc25775"/>
      <w:bookmarkStart w:id="30" w:name="_Toc6566"/>
      <w:r>
        <w:rPr>
          <w:rFonts w:hint="eastAsia" w:ascii="黑体" w:hAnsi="黑体" w:eastAsia="黑体" w:cs="黑体"/>
          <w:sz w:val="32"/>
          <w:szCs w:val="32"/>
          <w:lang w:val="en-US" w:eastAsia="zh-CN"/>
        </w:rPr>
        <w:t>三</w:t>
      </w:r>
      <w:r>
        <w:rPr>
          <w:rFonts w:hint="eastAsia" w:ascii="黑体" w:hAnsi="黑体" w:eastAsia="黑体" w:cs="黑体"/>
          <w:sz w:val="32"/>
          <w:szCs w:val="32"/>
        </w:rPr>
        <w:t>、存在问题</w:t>
      </w:r>
      <w:bookmarkEnd w:id="26"/>
      <w:bookmarkEnd w:id="27"/>
      <w:bookmarkEnd w:id="28"/>
    </w:p>
    <w:p>
      <w:pPr>
        <w:bidi w:val="0"/>
        <w:ind w:firstLine="640" w:firstLineChars="200"/>
        <w:rPr>
          <w:rFonts w:hint="eastAsia" w:ascii="楷体" w:hAnsi="楷体" w:eastAsia="楷体" w:cs="楷体"/>
          <w:sz w:val="32"/>
          <w:szCs w:val="32"/>
        </w:rPr>
      </w:pPr>
      <w:r>
        <w:rPr>
          <w:rFonts w:hint="eastAsia" w:ascii="楷体" w:hAnsi="楷体" w:eastAsia="楷体" w:cs="楷体"/>
          <w:sz w:val="32"/>
          <w:szCs w:val="32"/>
        </w:rPr>
        <w:t>（一）绩效指标设置不够精细</w:t>
      </w:r>
      <w:bookmarkEnd w:id="29"/>
      <w:bookmarkEnd w:id="30"/>
    </w:p>
    <w:p>
      <w:pPr>
        <w:spacing w:line="560" w:lineRule="atLeast"/>
        <w:ind w:firstLine="640" w:firstLineChars="200"/>
        <w:rPr>
          <w:rFonts w:hint="eastAsia" w:ascii="仿宋_GB2312" w:hAnsi="黑体" w:eastAsia="仿宋_GB2312" w:cs="仿宋_GB2312"/>
          <w:sz w:val="32"/>
          <w:szCs w:val="32"/>
          <w:lang w:eastAsia="zh-CN"/>
        </w:rPr>
      </w:pPr>
      <w:r>
        <w:rPr>
          <w:rFonts w:hint="eastAsia" w:eastAsia="仿宋_GB2312"/>
          <w:snapToGrid w:val="0"/>
          <w:kern w:val="0"/>
          <w:sz w:val="32"/>
          <w:szCs w:val="32"/>
        </w:rPr>
        <w:t>项目单位绩效管理工作方面重视程度不够，设置的绩效指标不能事前量化并将绩效目标细化分解为具体的绩效指标，也无法反映出与项目目标任务相对应</w:t>
      </w:r>
      <w:r>
        <w:rPr>
          <w:rFonts w:hint="eastAsia" w:eastAsia="仿宋_GB2312"/>
          <w:snapToGrid w:val="0"/>
          <w:kern w:val="0"/>
          <w:sz w:val="32"/>
          <w:szCs w:val="32"/>
          <w:lang w:eastAsia="zh-CN"/>
        </w:rPr>
        <w:t>。</w:t>
      </w:r>
      <w:r>
        <w:rPr>
          <w:rFonts w:hint="eastAsia" w:ascii="仿宋_GB2312" w:hAnsi="仿宋_GB2312" w:eastAsia="仿宋_GB2312" w:cs="仿宋_GB2312"/>
          <w:snapToGrid w:val="0"/>
          <w:kern w:val="0"/>
          <w:sz w:val="32"/>
          <w:szCs w:val="32"/>
          <w:lang w:val="en-US" w:eastAsia="zh-CN"/>
        </w:rPr>
        <w:t>如绩效申报表中设置的工程竣工完成率指标，考核标准为完成比率大于85%即为合格，未明确本年度应开展工程具体数量，实际应完成数量，不能做到量化、具体。</w:t>
      </w:r>
    </w:p>
    <w:p>
      <w:pPr>
        <w:bidi w:val="0"/>
        <w:ind w:firstLine="640" w:firstLineChars="200"/>
        <w:rPr>
          <w:rFonts w:hint="eastAsia" w:ascii="楷体" w:hAnsi="楷体" w:eastAsia="楷体" w:cs="楷体"/>
          <w:sz w:val="32"/>
          <w:szCs w:val="32"/>
        </w:rPr>
      </w:pPr>
      <w:bookmarkStart w:id="31" w:name="_Toc11976"/>
      <w:r>
        <w:rPr>
          <w:rFonts w:hint="eastAsia" w:ascii="楷体" w:hAnsi="楷体" w:eastAsia="楷体" w:cs="楷体"/>
          <w:sz w:val="32"/>
          <w:szCs w:val="32"/>
        </w:rPr>
        <w:t>（二）政府专项债券资金安排未充分考虑项目实际所需</w:t>
      </w:r>
      <w:bookmarkEnd w:id="31"/>
    </w:p>
    <w:p>
      <w:pPr>
        <w:pStyle w:val="2"/>
        <w:ind w:firstLine="640"/>
      </w:pPr>
      <w:r>
        <w:rPr>
          <w:rFonts w:hint="eastAsia" w:eastAsia="仿宋_GB2312"/>
          <w:snapToGrid w:val="0"/>
          <w:kern w:val="0"/>
          <w:sz w:val="32"/>
          <w:szCs w:val="32"/>
        </w:rPr>
        <w:t>项目无社会资本投入，配套资金均来自于财政性资金。</w:t>
      </w:r>
      <w:r>
        <w:rPr>
          <w:rFonts w:hint="eastAsia" w:ascii="仿宋_GB2312" w:hAnsi="仿宋_GB2312" w:eastAsia="仿宋_GB2312" w:cs="仿宋_GB2312"/>
          <w:snapToGrid w:val="0"/>
          <w:kern w:val="0"/>
          <w:sz w:val="32"/>
          <w:szCs w:val="32"/>
          <w:lang w:val="en-US" w:eastAsia="zh-CN"/>
        </w:rPr>
        <w:t>申请发行专项债券的7个子项目对应申请的专项债券资金在实际使用中存在某子项实际不需要使用政府专项债券资金和其他子项超额使用政府专项债券资金的情况，政府专项债券资金在各子项目间调剂使用较频繁，比如子项目-从化区城郊街明珠社区卫生服务中心项目申请发行政府专项债券资金800万元，累计使用债券资金仅30.14万元，该子项目申请发行的政府专项债券资金额度已调剂至其他子项目使用。</w:t>
      </w:r>
    </w:p>
    <w:p>
      <w:pPr>
        <w:bidi w:val="0"/>
        <w:ind w:firstLine="640" w:firstLineChars="200"/>
        <w:rPr>
          <w:rFonts w:hint="eastAsia" w:ascii="楷体" w:hAnsi="楷体" w:eastAsia="楷体" w:cs="楷体"/>
          <w:sz w:val="32"/>
          <w:szCs w:val="32"/>
        </w:rPr>
      </w:pPr>
      <w:bookmarkStart w:id="32" w:name="_Toc1805"/>
      <w:bookmarkStart w:id="33" w:name="_Toc19231"/>
      <w:r>
        <w:rPr>
          <w:rFonts w:hint="eastAsia" w:ascii="楷体" w:hAnsi="楷体" w:eastAsia="楷体" w:cs="楷体"/>
          <w:sz w:val="32"/>
          <w:szCs w:val="32"/>
        </w:rPr>
        <w:t>（三）存在合同签订日期在前、中标日期在后</w:t>
      </w:r>
      <w:bookmarkEnd w:id="32"/>
      <w:r>
        <w:rPr>
          <w:rFonts w:hint="eastAsia" w:ascii="楷体" w:hAnsi="楷体" w:eastAsia="楷体" w:cs="楷体"/>
          <w:sz w:val="32"/>
          <w:szCs w:val="32"/>
        </w:rPr>
        <w:t>的事项</w:t>
      </w:r>
      <w:bookmarkEnd w:id="33"/>
    </w:p>
    <w:p>
      <w:pPr>
        <w:spacing w:line="560" w:lineRule="atLeast"/>
        <w:ind w:firstLine="640" w:firstLineChars="200"/>
        <w:rPr>
          <w:rFonts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评价组核查了项目单位提供的相关资料发现，从化区城郊街明珠社区卫生服务中心后续装修项目于2021年8月20日由招标人：广州市从化区城郊街明珠社区卫生服务中心，招标代理机构：广州穗峰建设工程监理有限公司对工程中标方：从化市第三建筑集团有限公司下发中标通知书，中标金额为14,069,979元；经查看建设工程施工合同，施工合同签订日期为2021年8月18日，合同签订日期早于施工单位中标日期。</w:t>
      </w:r>
    </w:p>
    <w:p>
      <w:pPr>
        <w:bidi w:val="0"/>
        <w:ind w:firstLine="640" w:firstLineChars="200"/>
        <w:rPr>
          <w:rFonts w:hint="eastAsia" w:ascii="黑体" w:hAnsi="黑体" w:eastAsia="黑体" w:cs="黑体"/>
          <w:sz w:val="32"/>
          <w:szCs w:val="32"/>
        </w:rPr>
      </w:pPr>
      <w:bookmarkStart w:id="34" w:name="_Toc22560"/>
      <w:bookmarkStart w:id="35" w:name="_Toc32221"/>
      <w:bookmarkStart w:id="36" w:name="_Toc6985"/>
      <w:bookmarkStart w:id="37" w:name="_Toc14238"/>
      <w:bookmarkStart w:id="38" w:name="_Toc143"/>
      <w:r>
        <w:rPr>
          <w:rFonts w:hint="eastAsia" w:ascii="黑体" w:hAnsi="黑体" w:eastAsia="黑体" w:cs="黑体"/>
          <w:sz w:val="32"/>
          <w:szCs w:val="32"/>
          <w:lang w:val="en-US" w:eastAsia="zh-CN"/>
        </w:rPr>
        <w:t>四</w:t>
      </w:r>
      <w:r>
        <w:rPr>
          <w:rFonts w:hint="eastAsia" w:ascii="黑体" w:hAnsi="黑体" w:eastAsia="黑体" w:cs="黑体"/>
          <w:sz w:val="32"/>
          <w:szCs w:val="32"/>
        </w:rPr>
        <w:t>、</w:t>
      </w:r>
      <w:r>
        <w:rPr>
          <w:rFonts w:hint="eastAsia" w:ascii="黑体" w:hAnsi="黑体" w:eastAsia="黑体" w:cs="黑体"/>
          <w:sz w:val="32"/>
          <w:szCs w:val="32"/>
          <w:lang w:val="en-US" w:eastAsia="zh-CN"/>
        </w:rPr>
        <w:t>若干</w:t>
      </w:r>
      <w:r>
        <w:rPr>
          <w:rFonts w:hint="eastAsia" w:ascii="黑体" w:hAnsi="黑体" w:eastAsia="黑体" w:cs="黑体"/>
          <w:sz w:val="32"/>
          <w:szCs w:val="32"/>
        </w:rPr>
        <w:t>建议</w:t>
      </w:r>
      <w:bookmarkEnd w:id="34"/>
      <w:bookmarkEnd w:id="35"/>
      <w:bookmarkEnd w:id="36"/>
    </w:p>
    <w:p>
      <w:pPr>
        <w:bidi w:val="0"/>
        <w:ind w:firstLine="640" w:firstLineChars="200"/>
        <w:rPr>
          <w:rFonts w:hint="eastAsia" w:ascii="楷体" w:hAnsi="楷体" w:eastAsia="楷体" w:cs="楷体"/>
          <w:sz w:val="32"/>
          <w:szCs w:val="32"/>
        </w:rPr>
      </w:pPr>
      <w:r>
        <w:rPr>
          <w:rFonts w:hint="eastAsia" w:ascii="楷体" w:hAnsi="楷体" w:eastAsia="楷体" w:cs="楷体"/>
          <w:sz w:val="32"/>
          <w:szCs w:val="32"/>
        </w:rPr>
        <w:t>（一）设置</w:t>
      </w:r>
      <w:r>
        <w:rPr>
          <w:rFonts w:hint="eastAsia" w:ascii="楷体" w:hAnsi="楷体" w:eastAsia="楷体" w:cs="楷体"/>
          <w:sz w:val="32"/>
          <w:szCs w:val="32"/>
          <w:lang w:val="en-US" w:eastAsia="zh-CN"/>
        </w:rPr>
        <w:t>清晰明确、可具体量化</w:t>
      </w:r>
      <w:r>
        <w:rPr>
          <w:rFonts w:hint="eastAsia" w:ascii="楷体" w:hAnsi="楷体" w:eastAsia="楷体" w:cs="楷体"/>
          <w:sz w:val="32"/>
          <w:szCs w:val="32"/>
        </w:rPr>
        <w:t>的绩效指标</w:t>
      </w:r>
      <w:bookmarkEnd w:id="37"/>
      <w:bookmarkEnd w:id="38"/>
    </w:p>
    <w:p>
      <w:pPr>
        <w:pStyle w:val="8"/>
        <w:ind w:firstLine="640" w:firstLineChars="200"/>
        <w:rPr>
          <w:rFonts w:hint="eastAsia" w:ascii="仿宋_GB2312" w:hAnsi="黑体" w:eastAsia="仿宋_GB2312" w:cs="仿宋_GB2312"/>
          <w:sz w:val="32"/>
          <w:szCs w:val="32"/>
        </w:rPr>
      </w:pPr>
      <w:r>
        <w:rPr>
          <w:rFonts w:hint="eastAsia" w:eastAsia="仿宋_GB2312"/>
          <w:snapToGrid w:val="0"/>
          <w:kern w:val="0"/>
          <w:sz w:val="32"/>
          <w:szCs w:val="32"/>
        </w:rPr>
        <w:t>建议项目单位为本项目设置</w:t>
      </w:r>
      <w:r>
        <w:rPr>
          <w:rFonts w:hint="eastAsia" w:eastAsia="仿宋_GB2312"/>
          <w:snapToGrid w:val="0"/>
          <w:kern w:val="0"/>
          <w:sz w:val="32"/>
          <w:szCs w:val="32"/>
          <w:lang w:val="en-US" w:eastAsia="zh-CN"/>
        </w:rPr>
        <w:t>清晰</w:t>
      </w:r>
      <w:r>
        <w:rPr>
          <w:rFonts w:hint="eastAsia" w:eastAsia="仿宋_GB2312"/>
          <w:snapToGrid w:val="0"/>
          <w:kern w:val="0"/>
          <w:sz w:val="32"/>
          <w:szCs w:val="32"/>
        </w:rPr>
        <w:t>明确</w:t>
      </w:r>
      <w:r>
        <w:rPr>
          <w:rFonts w:hint="eastAsia" w:eastAsia="仿宋_GB2312"/>
          <w:snapToGrid w:val="0"/>
          <w:kern w:val="0"/>
          <w:sz w:val="32"/>
          <w:szCs w:val="32"/>
          <w:lang w:val="en-US" w:eastAsia="zh-CN"/>
        </w:rPr>
        <w:t>可具体量化</w:t>
      </w:r>
      <w:r>
        <w:rPr>
          <w:rFonts w:hint="eastAsia" w:eastAsia="仿宋_GB2312"/>
          <w:snapToGrid w:val="0"/>
          <w:kern w:val="0"/>
          <w:sz w:val="32"/>
          <w:szCs w:val="32"/>
        </w:rPr>
        <w:t>的绩效绩效指标，便于开展项目绩效管理工作。绩效指标</w:t>
      </w:r>
      <w:r>
        <w:rPr>
          <w:rFonts w:hint="eastAsia" w:eastAsia="仿宋_GB2312"/>
          <w:snapToGrid w:val="0"/>
          <w:kern w:val="0"/>
          <w:sz w:val="32"/>
          <w:szCs w:val="32"/>
          <w:lang w:val="en-US" w:eastAsia="zh-CN"/>
        </w:rPr>
        <w:t>设置</w:t>
      </w:r>
      <w:r>
        <w:rPr>
          <w:rFonts w:hint="eastAsia" w:eastAsia="仿宋_GB2312"/>
          <w:snapToGrid w:val="0"/>
          <w:kern w:val="0"/>
          <w:sz w:val="32"/>
          <w:szCs w:val="32"/>
        </w:rPr>
        <w:t>应该全面对应项目的主要工作内容，考虑实际执行中的困难和不确定因素，深入挖掘项目开展产生</w:t>
      </w:r>
      <w:r>
        <w:rPr>
          <w:rFonts w:hint="eastAsia" w:eastAsia="仿宋_GB2312"/>
          <w:snapToGrid w:val="0"/>
          <w:kern w:val="0"/>
          <w:sz w:val="32"/>
          <w:szCs w:val="32"/>
          <w:lang w:eastAsia="zh-CN"/>
        </w:rPr>
        <w:t>的</w:t>
      </w:r>
      <w:r>
        <w:rPr>
          <w:rFonts w:hint="eastAsia" w:eastAsia="仿宋_GB2312"/>
          <w:snapToGrid w:val="0"/>
          <w:kern w:val="0"/>
          <w:sz w:val="32"/>
          <w:szCs w:val="32"/>
        </w:rPr>
        <w:t>效益情况，提高年度绩效指标设定的精准度，保障指标设置的严谨性，形成绩效目标管理与项目进展有机结合的机制，切实反映项目具体绩效成果。绩效指标设置应全面细化量化，指标值清晰、可衡量，减少设置非量化的、难以考核的绩效指标。</w:t>
      </w:r>
    </w:p>
    <w:p>
      <w:pPr>
        <w:bidi w:val="0"/>
        <w:ind w:firstLine="640" w:firstLineChars="200"/>
        <w:rPr>
          <w:rFonts w:hint="eastAsia" w:ascii="楷体" w:hAnsi="楷体" w:eastAsia="楷体" w:cs="楷体"/>
          <w:sz w:val="32"/>
          <w:szCs w:val="32"/>
        </w:rPr>
      </w:pPr>
      <w:bookmarkStart w:id="39" w:name="_Toc19296"/>
      <w:bookmarkStart w:id="40" w:name="_Toc18437"/>
      <w:r>
        <w:rPr>
          <w:rFonts w:hint="eastAsia" w:ascii="楷体" w:hAnsi="楷体" w:eastAsia="楷体" w:cs="楷体"/>
          <w:sz w:val="32"/>
          <w:szCs w:val="32"/>
        </w:rPr>
        <w:t>（二）根据项目实际申请专项债券资金支持</w:t>
      </w:r>
      <w:bookmarkEnd w:id="39"/>
    </w:p>
    <w:p>
      <w:pPr>
        <w:pStyle w:val="8"/>
        <w:numPr>
          <w:ilvl w:val="255"/>
          <w:numId w:val="0"/>
        </w:numPr>
        <w:ind w:firstLine="640" w:firstLineChars="200"/>
        <w:rPr>
          <w:rFonts w:ascii="楷体" w:hAnsi="楷体" w:eastAsia="楷体" w:cs="楷体"/>
          <w:bCs/>
        </w:rPr>
      </w:pPr>
      <w:r>
        <w:rPr>
          <w:rFonts w:hint="eastAsia" w:eastAsia="仿宋_GB2312"/>
          <w:bCs/>
          <w:snapToGrid w:val="0"/>
          <w:kern w:val="0"/>
          <w:sz w:val="32"/>
          <w:szCs w:val="32"/>
        </w:rPr>
        <w:t>建议项目单位在编制专项债券申请发行文件前应根据项目立项批复、相关党政会议纪要中对项目资金来源的安排，并通过对本地区地方政府债务限额，申请发行专项债券项目的性质</w:t>
      </w:r>
      <w:r>
        <w:rPr>
          <w:rFonts w:hint="eastAsia" w:ascii="仿宋_GB2312" w:hAnsi="黑体" w:eastAsia="仿宋_GB2312" w:cs="仿宋_GB2312"/>
          <w:bCs/>
          <w:sz w:val="32"/>
          <w:szCs w:val="32"/>
        </w:rPr>
        <w:t>、所需资金保障、项目实施计划等方面进行充分的收集资料与调查、论证；做到严谨、规范的编制符合项目实际所需的资金预算与专项债券申请发行文件，落实项目资金安排与资金到位时间，减少专项债券资金在各子项目间内部调剂使用的情况。</w:t>
      </w:r>
    </w:p>
    <w:p>
      <w:pPr>
        <w:bidi w:val="0"/>
        <w:ind w:firstLine="640" w:firstLineChars="200"/>
        <w:rPr>
          <w:rFonts w:hint="eastAsia" w:ascii="楷体" w:hAnsi="楷体" w:eastAsia="楷体" w:cs="楷体"/>
          <w:sz w:val="32"/>
          <w:szCs w:val="32"/>
        </w:rPr>
      </w:pPr>
      <w:bookmarkStart w:id="41" w:name="_Toc26643"/>
      <w:r>
        <w:rPr>
          <w:rFonts w:hint="eastAsia" w:ascii="楷体" w:hAnsi="楷体" w:eastAsia="楷体" w:cs="楷体"/>
          <w:sz w:val="32"/>
          <w:szCs w:val="32"/>
        </w:rPr>
        <w:t>（三）强化项目监管</w:t>
      </w:r>
      <w:bookmarkEnd w:id="40"/>
      <w:bookmarkEnd w:id="41"/>
    </w:p>
    <w:p>
      <w:pPr>
        <w:spacing w:line="560" w:lineRule="atLeast"/>
        <w:ind w:firstLine="640" w:firstLineChars="200"/>
        <w:rPr>
          <w:rFonts w:eastAsia="仿宋_GB2312"/>
          <w:snapToGrid w:val="0"/>
          <w:kern w:val="0"/>
          <w:sz w:val="32"/>
          <w:szCs w:val="32"/>
        </w:rPr>
      </w:pPr>
      <w:r>
        <w:rPr>
          <w:rFonts w:hint="eastAsia" w:eastAsia="仿宋_GB2312"/>
          <w:snapToGrid w:val="0"/>
          <w:kern w:val="0"/>
          <w:sz w:val="32"/>
          <w:szCs w:val="32"/>
        </w:rPr>
        <w:t>针对项目招标及政府采购管理中存在的项目中标与合同签约时间顺序倒置的问题，建议项目单位在项目的组织与实施过程中对项目从各方面加强监管，严格把控各环节的程序执行与资料审查，确保相关程序合法、合规，执行规范，实务工作细致、具体。</w:t>
      </w:r>
    </w:p>
    <w:p/>
    <w:sectPr>
      <w:footerReference r:id="rId3" w:type="default"/>
      <w:pgSz w:w="11906" w:h="16838"/>
      <w:pgMar w:top="2098" w:right="1304" w:bottom="1928" w:left="1587"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8B3A8F2-0DD8-41EE-905E-529ED86CC14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3871095C-EAE5-401B-AF52-396E4AF59A62}"/>
  </w:font>
  <w:font w:name="仿宋">
    <w:panose1 w:val="02010609060101010101"/>
    <w:charset w:val="86"/>
    <w:family w:val="modern"/>
    <w:pitch w:val="default"/>
    <w:sig w:usb0="800002BF" w:usb1="38CF7CFA" w:usb2="00000016" w:usb3="00000000" w:csb0="00040001" w:csb1="00000000"/>
    <w:embedRegular r:id="rId3" w:fontKey="{35FEA2B0-73F3-4683-A4CB-37A850BE8FA2}"/>
  </w:font>
  <w:font w:name="方正小标宋简体">
    <w:panose1 w:val="02010601030101010101"/>
    <w:charset w:val="86"/>
    <w:family w:val="auto"/>
    <w:pitch w:val="default"/>
    <w:sig w:usb0="00000001" w:usb1="080E0000" w:usb2="00000000" w:usb3="00000000" w:csb0="00040000" w:csb1="00000000"/>
    <w:embedRegular r:id="rId4" w:fontKey="{334D5145-5907-4F06-A7FD-6B0194AE4AAA}"/>
  </w:font>
  <w:font w:name="仿宋_GB2312">
    <w:panose1 w:val="02010609030101010101"/>
    <w:charset w:val="86"/>
    <w:family w:val="modern"/>
    <w:pitch w:val="default"/>
    <w:sig w:usb0="00000001" w:usb1="080E0000" w:usb2="00000000" w:usb3="00000000" w:csb0="00040000" w:csb1="00000000"/>
    <w:embedRegular r:id="rId5" w:fontKey="{3BB3144E-A2E0-4ED8-A5A8-9421D5D3C0D1}"/>
  </w:font>
  <w:font w:name="楷体">
    <w:panose1 w:val="02010609060101010101"/>
    <w:charset w:val="86"/>
    <w:family w:val="modern"/>
    <w:pitch w:val="default"/>
    <w:sig w:usb0="800002BF" w:usb1="38CF7CFA" w:usb2="00000016" w:usb3="00000000" w:csb0="00040001" w:csb1="00000000"/>
    <w:embedRegular r:id="rId6" w:fontKey="{BB24C672-C3BA-4910-ABAD-A42C3D7D4E19}"/>
  </w:font>
  <w:font w:name="方正小标宋_GBK">
    <w:panose1 w:val="03000509000000000000"/>
    <w:charset w:val="86"/>
    <w:family w:val="auto"/>
    <w:pitch w:val="default"/>
    <w:sig w:usb0="00000001" w:usb1="080E0000" w:usb2="00000000" w:usb3="00000000" w:csb0="00040000" w:csb1="00000000"/>
    <w:embedRegular r:id="rId7" w:fontKey="{F191CF22-8A41-4BB6-B837-65997A038C5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11"/>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E2ZTA1ZTZhOTBjNWU4NTM2Zjg2MDY4MjAyODM4OTgifQ=="/>
  </w:docVars>
  <w:rsids>
    <w:rsidRoot w:val="00D37BC3"/>
    <w:rsid w:val="00031306"/>
    <w:rsid w:val="0010212A"/>
    <w:rsid w:val="0019424E"/>
    <w:rsid w:val="001B6998"/>
    <w:rsid w:val="00245594"/>
    <w:rsid w:val="002D091A"/>
    <w:rsid w:val="002D6A00"/>
    <w:rsid w:val="00347CB9"/>
    <w:rsid w:val="00471CA4"/>
    <w:rsid w:val="0049038A"/>
    <w:rsid w:val="004E7941"/>
    <w:rsid w:val="0063224C"/>
    <w:rsid w:val="00847049"/>
    <w:rsid w:val="0093228F"/>
    <w:rsid w:val="00A43859"/>
    <w:rsid w:val="00A55A71"/>
    <w:rsid w:val="00A9432A"/>
    <w:rsid w:val="00AE6D84"/>
    <w:rsid w:val="00C93758"/>
    <w:rsid w:val="00D30813"/>
    <w:rsid w:val="00D37BC3"/>
    <w:rsid w:val="00E92AF7"/>
    <w:rsid w:val="02BF0301"/>
    <w:rsid w:val="037405E1"/>
    <w:rsid w:val="075212C3"/>
    <w:rsid w:val="083D16B6"/>
    <w:rsid w:val="099C4A6C"/>
    <w:rsid w:val="0DA63A8D"/>
    <w:rsid w:val="0F16079E"/>
    <w:rsid w:val="0F1F3AF7"/>
    <w:rsid w:val="11E701D0"/>
    <w:rsid w:val="12D270D2"/>
    <w:rsid w:val="17797B1C"/>
    <w:rsid w:val="1B9131C9"/>
    <w:rsid w:val="211F7986"/>
    <w:rsid w:val="2171056A"/>
    <w:rsid w:val="24D81C58"/>
    <w:rsid w:val="2EC41B6D"/>
    <w:rsid w:val="303C38AE"/>
    <w:rsid w:val="345B0A13"/>
    <w:rsid w:val="389820A0"/>
    <w:rsid w:val="3E290D56"/>
    <w:rsid w:val="4105404B"/>
    <w:rsid w:val="42D70B52"/>
    <w:rsid w:val="44573033"/>
    <w:rsid w:val="47BE2221"/>
    <w:rsid w:val="48520EFA"/>
    <w:rsid w:val="49703AB8"/>
    <w:rsid w:val="4A1B48DF"/>
    <w:rsid w:val="4BE07B8E"/>
    <w:rsid w:val="534C3D5B"/>
    <w:rsid w:val="53D5138F"/>
    <w:rsid w:val="54992A1F"/>
    <w:rsid w:val="5EE31782"/>
    <w:rsid w:val="60885CA7"/>
    <w:rsid w:val="61326C85"/>
    <w:rsid w:val="658706CE"/>
    <w:rsid w:val="65F30067"/>
    <w:rsid w:val="6AD14E1A"/>
    <w:rsid w:val="6BC31A67"/>
    <w:rsid w:val="6BCF5E19"/>
    <w:rsid w:val="6C297606"/>
    <w:rsid w:val="711A6DEF"/>
    <w:rsid w:val="72E7545C"/>
    <w:rsid w:val="73952A09"/>
    <w:rsid w:val="761B206B"/>
    <w:rsid w:val="784A3300"/>
    <w:rsid w:val="78604D0D"/>
    <w:rsid w:val="7B340AAD"/>
    <w:rsid w:val="7C480CB4"/>
    <w:rsid w:val="7F377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9"/>
    <w:qFormat/>
    <w:uiPriority w:val="0"/>
    <w:pPr>
      <w:keepNext/>
      <w:keepLines/>
      <w:spacing w:before="340" w:after="330" w:line="576" w:lineRule="auto"/>
      <w:outlineLvl w:val="0"/>
    </w:pPr>
    <w:rPr>
      <w:b/>
      <w:kern w:val="44"/>
      <w:sz w:val="44"/>
    </w:rPr>
  </w:style>
  <w:style w:type="paragraph" w:styleId="5">
    <w:name w:val="heading 2"/>
    <w:basedOn w:val="1"/>
    <w:next w:val="1"/>
    <w:link w:val="20"/>
    <w:qFormat/>
    <w:uiPriority w:val="0"/>
    <w:pPr>
      <w:keepNext/>
      <w:keepLines/>
      <w:spacing w:before="260" w:after="260" w:line="413" w:lineRule="auto"/>
      <w:outlineLvl w:val="1"/>
    </w:pPr>
    <w:rPr>
      <w:rFonts w:ascii="Arial" w:hAnsi="Arial" w:eastAsia="黑体"/>
      <w:b/>
      <w:sz w:val="32"/>
    </w:rPr>
  </w:style>
  <w:style w:type="paragraph" w:styleId="6">
    <w:name w:val="heading 3"/>
    <w:basedOn w:val="1"/>
    <w:next w:val="1"/>
    <w:link w:val="21"/>
    <w:qFormat/>
    <w:uiPriority w:val="0"/>
    <w:pPr>
      <w:keepNext/>
      <w:keepLines/>
      <w:spacing w:before="260" w:after="260" w:line="413" w:lineRule="auto"/>
      <w:outlineLvl w:val="2"/>
    </w:pPr>
    <w:rPr>
      <w:b/>
      <w:sz w:val="3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next w:val="3"/>
    <w:qFormat/>
    <w:uiPriority w:val="0"/>
    <w:pPr>
      <w:widowControl/>
      <w:spacing w:line="580" w:lineRule="exact"/>
      <w:ind w:firstLine="420" w:firstLineChars="200"/>
    </w:pPr>
    <w:rPr>
      <w:rFonts w:ascii="仿宋" w:hAnsi="仿宋" w:eastAsia="仿宋"/>
      <w:sz w:val="33"/>
    </w:rPr>
  </w:style>
  <w:style w:type="paragraph" w:styleId="3">
    <w:name w:val="toc 4"/>
    <w:basedOn w:val="1"/>
    <w:next w:val="1"/>
    <w:semiHidden/>
    <w:unhideWhenUsed/>
    <w:qFormat/>
    <w:uiPriority w:val="39"/>
    <w:pPr>
      <w:ind w:left="1260" w:leftChars="600"/>
    </w:pPr>
  </w:style>
  <w:style w:type="paragraph" w:styleId="7">
    <w:name w:val="annotation text"/>
    <w:basedOn w:val="1"/>
    <w:link w:val="25"/>
    <w:semiHidden/>
    <w:unhideWhenUsed/>
    <w:qFormat/>
    <w:uiPriority w:val="99"/>
    <w:pPr>
      <w:jc w:val="left"/>
    </w:pPr>
  </w:style>
  <w:style w:type="paragraph" w:styleId="8">
    <w:name w:val="Body Text"/>
    <w:basedOn w:val="1"/>
    <w:link w:val="22"/>
    <w:unhideWhenUsed/>
    <w:qFormat/>
    <w:uiPriority w:val="99"/>
    <w:pPr>
      <w:spacing w:after="120"/>
    </w:pPr>
  </w:style>
  <w:style w:type="paragraph" w:styleId="9">
    <w:name w:val="toc 3"/>
    <w:basedOn w:val="1"/>
    <w:next w:val="1"/>
    <w:qFormat/>
    <w:uiPriority w:val="0"/>
    <w:pPr>
      <w:ind w:left="840" w:leftChars="400"/>
    </w:pPr>
  </w:style>
  <w:style w:type="paragraph" w:styleId="10">
    <w:name w:val="Body Text Indent 2"/>
    <w:basedOn w:val="1"/>
    <w:link w:val="23"/>
    <w:qFormat/>
    <w:uiPriority w:val="0"/>
    <w:pPr>
      <w:spacing w:after="120" w:line="480" w:lineRule="auto"/>
      <w:ind w:left="420" w:leftChars="200"/>
    </w:pPr>
  </w:style>
  <w:style w:type="paragraph" w:styleId="11">
    <w:name w:val="footer"/>
    <w:basedOn w:val="1"/>
    <w:link w:val="24"/>
    <w:qFormat/>
    <w:uiPriority w:val="0"/>
    <w:pPr>
      <w:tabs>
        <w:tab w:val="center" w:pos="4153"/>
        <w:tab w:val="right" w:pos="8306"/>
      </w:tabs>
      <w:snapToGrid w:val="0"/>
      <w:jc w:val="left"/>
    </w:pPr>
    <w:rPr>
      <w:sz w:val="18"/>
    </w:rPr>
  </w:style>
  <w:style w:type="paragraph" w:styleId="12">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1"/>
    <w:basedOn w:val="1"/>
    <w:next w:val="1"/>
    <w:qFormat/>
    <w:uiPriority w:val="0"/>
  </w:style>
  <w:style w:type="paragraph" w:styleId="14">
    <w:name w:val="toc 2"/>
    <w:basedOn w:val="1"/>
    <w:next w:val="1"/>
    <w:qFormat/>
    <w:uiPriority w:val="0"/>
    <w:pPr>
      <w:ind w:left="420" w:leftChars="200"/>
    </w:pPr>
  </w:style>
  <w:style w:type="paragraph" w:styleId="15">
    <w:name w:val="annotation subject"/>
    <w:basedOn w:val="7"/>
    <w:next w:val="7"/>
    <w:link w:val="26"/>
    <w:semiHidden/>
    <w:unhideWhenUsed/>
    <w:qFormat/>
    <w:uiPriority w:val="99"/>
    <w:rPr>
      <w:b/>
      <w:bCs/>
    </w:rPr>
  </w:style>
  <w:style w:type="character" w:styleId="18">
    <w:name w:val="annotation reference"/>
    <w:basedOn w:val="17"/>
    <w:semiHidden/>
    <w:unhideWhenUsed/>
    <w:qFormat/>
    <w:uiPriority w:val="99"/>
    <w:rPr>
      <w:sz w:val="21"/>
      <w:szCs w:val="21"/>
    </w:rPr>
  </w:style>
  <w:style w:type="character" w:customStyle="1" w:styleId="19">
    <w:name w:val="标题 1 字符"/>
    <w:basedOn w:val="17"/>
    <w:link w:val="4"/>
    <w:qFormat/>
    <w:uiPriority w:val="0"/>
    <w:rPr>
      <w:rFonts w:ascii="Times New Roman" w:hAnsi="Times New Roman" w:eastAsia="宋体" w:cs="Times New Roman"/>
      <w:b/>
      <w:kern w:val="44"/>
      <w:sz w:val="44"/>
      <w:szCs w:val="24"/>
    </w:rPr>
  </w:style>
  <w:style w:type="character" w:customStyle="1" w:styleId="20">
    <w:name w:val="标题 2 字符"/>
    <w:basedOn w:val="17"/>
    <w:link w:val="5"/>
    <w:qFormat/>
    <w:uiPriority w:val="0"/>
    <w:rPr>
      <w:rFonts w:ascii="Arial" w:hAnsi="Arial" w:eastAsia="黑体" w:cs="Times New Roman"/>
      <w:b/>
      <w:sz w:val="32"/>
      <w:szCs w:val="24"/>
    </w:rPr>
  </w:style>
  <w:style w:type="character" w:customStyle="1" w:styleId="21">
    <w:name w:val="标题 3 字符"/>
    <w:basedOn w:val="17"/>
    <w:link w:val="6"/>
    <w:qFormat/>
    <w:uiPriority w:val="0"/>
    <w:rPr>
      <w:rFonts w:ascii="Times New Roman" w:hAnsi="Times New Roman" w:eastAsia="宋体" w:cs="Times New Roman"/>
      <w:b/>
      <w:sz w:val="32"/>
      <w:szCs w:val="24"/>
    </w:rPr>
  </w:style>
  <w:style w:type="character" w:customStyle="1" w:styleId="22">
    <w:name w:val="正文文本 字符"/>
    <w:basedOn w:val="17"/>
    <w:link w:val="8"/>
    <w:qFormat/>
    <w:uiPriority w:val="99"/>
    <w:rPr>
      <w:rFonts w:ascii="Times New Roman" w:hAnsi="Times New Roman" w:eastAsia="宋体" w:cs="Times New Roman"/>
      <w:szCs w:val="24"/>
    </w:rPr>
  </w:style>
  <w:style w:type="character" w:customStyle="1" w:styleId="23">
    <w:name w:val="正文文本缩进 2 字符"/>
    <w:basedOn w:val="17"/>
    <w:link w:val="10"/>
    <w:qFormat/>
    <w:uiPriority w:val="0"/>
    <w:rPr>
      <w:rFonts w:ascii="Times New Roman" w:hAnsi="Times New Roman" w:eastAsia="宋体" w:cs="Times New Roman"/>
      <w:szCs w:val="24"/>
    </w:rPr>
  </w:style>
  <w:style w:type="character" w:customStyle="1" w:styleId="24">
    <w:name w:val="页脚 字符"/>
    <w:basedOn w:val="17"/>
    <w:link w:val="11"/>
    <w:qFormat/>
    <w:uiPriority w:val="0"/>
    <w:rPr>
      <w:rFonts w:ascii="Times New Roman" w:hAnsi="Times New Roman" w:eastAsia="宋体" w:cs="Times New Roman"/>
      <w:sz w:val="18"/>
      <w:szCs w:val="24"/>
    </w:rPr>
  </w:style>
  <w:style w:type="character" w:customStyle="1" w:styleId="25">
    <w:name w:val="批注文字 字符"/>
    <w:basedOn w:val="17"/>
    <w:link w:val="7"/>
    <w:semiHidden/>
    <w:qFormat/>
    <w:uiPriority w:val="99"/>
    <w:rPr>
      <w:rFonts w:ascii="Times New Roman" w:hAnsi="Times New Roman" w:eastAsia="宋体" w:cs="Times New Roman"/>
      <w:szCs w:val="24"/>
    </w:rPr>
  </w:style>
  <w:style w:type="character" w:customStyle="1" w:styleId="26">
    <w:name w:val="批注主题 字符"/>
    <w:basedOn w:val="25"/>
    <w:link w:val="15"/>
    <w:semiHidden/>
    <w:qFormat/>
    <w:uiPriority w:val="99"/>
    <w:rPr>
      <w:rFonts w:ascii="Times New Roman" w:hAnsi="Times New Roman" w:eastAsia="宋体" w:cs="Times New Roman"/>
      <w:b/>
      <w:bCs/>
      <w:szCs w:val="24"/>
    </w:rPr>
  </w:style>
  <w:style w:type="paragraph" w:customStyle="1" w:styleId="27">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28">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29">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30">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1415</Words>
  <Characters>8070</Characters>
  <Lines>67</Lines>
  <Paragraphs>18</Paragraphs>
  <TotalTime>5</TotalTime>
  <ScaleCrop>false</ScaleCrop>
  <LinksUpToDate>false</LinksUpToDate>
  <CharactersWithSpaces>9467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2022-08-10T09:24:00Z</dcterms:created>
  <dc:creator>李 鹏程</dc:creator>
  <cp:lastModifiedBy>区财政局</cp:lastModifiedBy>
  <dcterms:modified xsi:type="dcterms:W3CDTF">2022-10-08T10:20:09Z</dcterms:modified>
  <dc:title>从化区医疗卫生和疾控机构基础设施建设及</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3E955B47F2854B51AA4C3CA1EC324EEE</vt:lpwstr>
  </property>
</Properties>
</file>