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rPr>
          <w:rFonts w:ascii="宋体" w:hAnsi="宋体" w:eastAsia="宋体" w:cs="宋体"/>
          <w:color w:val="000000"/>
          <w:sz w:val="44"/>
          <w:szCs w:val="44"/>
        </w:rPr>
      </w:pPr>
    </w:p>
    <w:p>
      <w:pPr>
        <w:spacing w:line="560" w:lineRule="exact"/>
        <w:ind w:firstLine="0" w:firstLineChars="0"/>
        <w:jc w:val="center"/>
        <w:rPr>
          <w:rFonts w:hint="eastAsia" w:ascii="方正小标宋_GBK" w:hAnsi="方正小标宋_GBK" w:eastAsia="方正小标宋_GBK" w:cs="方正小标宋_GBK"/>
          <w:b w:val="0"/>
          <w:bCs w:val="0"/>
          <w:color w:val="000000"/>
          <w:sz w:val="44"/>
          <w:szCs w:val="44"/>
        </w:rPr>
      </w:pPr>
      <w:r>
        <w:rPr>
          <w:rFonts w:hint="eastAsia" w:ascii="方正小标宋_GBK" w:hAnsi="方正小标宋_GBK" w:eastAsia="方正小标宋_GBK" w:cs="方正小标宋_GBK"/>
          <w:b w:val="0"/>
          <w:bCs w:val="0"/>
          <w:color w:val="000000"/>
          <w:sz w:val="44"/>
          <w:szCs w:val="44"/>
        </w:rPr>
        <w:t>2021年从化区水务局农村供水改造工程项目支出绩效评价简要报告</w:t>
      </w:r>
    </w:p>
    <w:p>
      <w:pPr>
        <w:spacing w:line="560" w:lineRule="exact"/>
        <w:ind w:firstLine="880"/>
        <w:jc w:val="center"/>
        <w:rPr>
          <w:rFonts w:hint="eastAsia" w:ascii="方正小标宋_GBK" w:hAnsi="方正小标宋_GBK" w:eastAsia="方正小标宋_GBK" w:cs="方正小标宋_GBK"/>
          <w:b w:val="0"/>
          <w:bCs w:val="0"/>
          <w:color w:val="000000"/>
          <w:sz w:val="44"/>
          <w:szCs w:val="44"/>
        </w:rPr>
      </w:pPr>
    </w:p>
    <w:p>
      <w:pPr>
        <w:ind w:firstLine="960" w:firstLineChars="300"/>
        <w:jc w:val="center"/>
        <w:rPr>
          <w:rFonts w:hAnsi="仿宋_GB2312" w:cs="仿宋_GB2312"/>
          <w:bCs/>
          <w:szCs w:val="32"/>
        </w:rPr>
      </w:pPr>
      <w:r>
        <w:rPr>
          <w:rFonts w:hint="eastAsia" w:hAnsi="仿宋_GB2312" w:cs="仿宋_GB2312"/>
          <w:bCs/>
          <w:szCs w:val="32"/>
        </w:rPr>
        <w:t>广东诚安信会计师事务所（特殊普通合伙）</w:t>
      </w:r>
    </w:p>
    <w:p>
      <w:pPr>
        <w:spacing w:line="560" w:lineRule="exact"/>
        <w:ind w:left="0" w:leftChars="0" w:firstLine="0" w:firstLineChars="0"/>
        <w:jc w:val="both"/>
        <w:rPr>
          <w:rFonts w:hint="eastAsia" w:ascii="方正小标宋_GBK" w:hAnsi="方正小标宋_GBK" w:eastAsia="方正小标宋_GBK" w:cs="方正小标宋_GBK"/>
          <w:b w:val="0"/>
          <w:bCs w:val="0"/>
          <w:color w:val="000000"/>
          <w:sz w:val="44"/>
          <w:szCs w:val="44"/>
        </w:rPr>
      </w:pPr>
      <w:bookmarkStart w:id="5" w:name="_GoBack"/>
      <w:bookmarkEnd w:id="5"/>
    </w:p>
    <w:p>
      <w:pPr>
        <w:pStyle w:val="2"/>
        <w:ind w:firstLine="640"/>
      </w:pPr>
      <w:r>
        <w:rPr>
          <w:rFonts w:hint="eastAsia"/>
        </w:rPr>
        <w:t>一、评价概况</w:t>
      </w:r>
    </w:p>
    <w:p>
      <w:pPr>
        <w:ind w:firstLine="640"/>
        <w:rPr>
          <w:rFonts w:hAnsi="仿宋_GB2312" w:cs="仿宋_GB2312"/>
          <w:szCs w:val="32"/>
        </w:rPr>
      </w:pPr>
      <w:r>
        <w:rPr>
          <w:rFonts w:hint="eastAsia" w:hAnsi="仿宋_GB2312" w:cs="仿宋_GB2312"/>
          <w:szCs w:val="32"/>
        </w:rPr>
        <w:t>受广州市从化区财政局委托，广东诚安信会计师事务所（特殊普通合伙）对从化区水务局农村供水改造工程项目2021年的工作情况实施第三方绩效评价，形成绩效评价报告。</w:t>
      </w:r>
    </w:p>
    <w:p>
      <w:pPr>
        <w:ind w:firstLine="640"/>
        <w:rPr>
          <w:rFonts w:hAnsi="仿宋_GB2312" w:cs="仿宋_GB2312"/>
          <w:szCs w:val="32"/>
        </w:rPr>
      </w:pPr>
      <w:r>
        <w:rPr>
          <w:rFonts w:hint="eastAsia" w:hAnsi="仿宋_GB2312" w:cs="仿宋_GB2312"/>
          <w:szCs w:val="32"/>
        </w:rPr>
        <w:t>经实施一系列查验程序，农村供水改造工程项目绩效评价最终得分</w:t>
      </w:r>
      <w:r>
        <w:rPr>
          <w:rFonts w:hAnsi="仿宋_GB2312" w:cs="仿宋_GB2312"/>
          <w:szCs w:val="32"/>
        </w:rPr>
        <w:t>84.24分，绩效等级为“</w:t>
      </w:r>
      <w:r>
        <w:rPr>
          <w:rFonts w:hint="eastAsia" w:hAnsi="仿宋_GB2312" w:cs="仿宋_GB2312"/>
          <w:szCs w:val="32"/>
          <w:lang w:eastAsia="zh-CN"/>
        </w:rPr>
        <w:t>良</w:t>
      </w:r>
      <w:r>
        <w:rPr>
          <w:rFonts w:hAnsi="仿宋_GB2312" w:cs="仿宋_GB2312"/>
          <w:szCs w:val="32"/>
        </w:rPr>
        <w:t>”。</w:t>
      </w:r>
    </w:p>
    <w:p>
      <w:pPr>
        <w:pStyle w:val="3"/>
        <w:ind w:firstLine="640"/>
        <w:rPr>
          <w:rFonts w:hAnsi="仿宋_GB2312" w:cs="仿宋_GB2312"/>
          <w:b/>
        </w:rPr>
      </w:pPr>
      <w:r>
        <w:rPr>
          <w:rFonts w:hint="eastAsia"/>
        </w:rPr>
        <w:t>（一）项目情况</w:t>
      </w:r>
    </w:p>
    <w:p>
      <w:pPr>
        <w:ind w:firstLine="640"/>
        <w:rPr>
          <w:rFonts w:hAnsi="仿宋_GB2312" w:cs="仿宋_GB2312"/>
          <w:szCs w:val="32"/>
        </w:rPr>
      </w:pPr>
      <w:r>
        <w:rPr>
          <w:rFonts w:hint="eastAsia" w:hAnsi="仿宋_GB2312" w:cs="仿宋_GB2312"/>
          <w:szCs w:val="32"/>
        </w:rPr>
        <w:t>农村供水改造工程项目（以下简称“该项目”）的工作内容为：改造村内老旧供水设施、新建一体化设施、更换村网主管、支管、入户管，改造完成后，进一步推进市政水向农村地区延伸，提高农村供水保障能力</w:t>
      </w:r>
      <w:r>
        <w:rPr>
          <w:rFonts w:hint="eastAsia" w:ascii="仿宋" w:hAnsi="仿宋"/>
        </w:rPr>
        <w:t>。</w:t>
      </w:r>
    </w:p>
    <w:p>
      <w:pPr>
        <w:pStyle w:val="3"/>
        <w:ind w:firstLine="640"/>
      </w:pPr>
      <w:r>
        <w:rPr>
          <w:rFonts w:hint="eastAsia"/>
        </w:rPr>
        <w:t>（二）项目资金情况</w:t>
      </w:r>
    </w:p>
    <w:p>
      <w:pPr>
        <w:ind w:firstLine="640"/>
        <w:rPr>
          <w:rFonts w:hint="eastAsia" w:hAnsi="仿宋_GB2312" w:cs="仿宋_GB2312"/>
          <w:szCs w:val="32"/>
        </w:rPr>
      </w:pPr>
      <w:r>
        <w:rPr>
          <w:rFonts w:hint="eastAsia" w:hAnsi="仿宋_GB2312" w:cs="仿宋_GB2312"/>
          <w:szCs w:val="32"/>
        </w:rPr>
        <w:t>2021年该项目预算金额为38,900万元，实际支出为33,484.83万元。</w:t>
      </w:r>
    </w:p>
    <w:p>
      <w:pPr>
        <w:pStyle w:val="2"/>
        <w:ind w:firstLine="640"/>
        <w:rPr>
          <w:lang w:val="zh-CN"/>
        </w:rPr>
      </w:pPr>
      <w:r>
        <w:rPr>
          <w:rFonts w:hint="eastAsia"/>
        </w:rPr>
        <w:t>二、项目绩效目标</w:t>
      </w:r>
    </w:p>
    <w:p>
      <w:pPr>
        <w:ind w:firstLine="640"/>
      </w:pPr>
      <w:r>
        <w:rPr>
          <w:rFonts w:hint="eastAsia"/>
        </w:rPr>
        <w:t>根据从化区水务局提供的项目支出绩效自评表，本项目的年度绩效目标为：根据《广州市从化区水务局关于印发从化区农村供水改造攻坚行动方案（2019-2020年）的通知》（从水函〔2019〕893号），推进82条村的供水改造和新建14个市政供水主管网。其中，2022年计划累计完成64个村网项目和14个市政主管网项目的主体工程建设，完成纳入2021年市政府“我为群众办实事”农村供水改造任务的9条村装表通水工作。施工过程中，做到安全事故零发生，改造完成后，解决二次污染、减少管网漏损，为村民提供水质、水压达标的放心水，村民总体满意度达95%或以上。</w:t>
      </w:r>
    </w:p>
    <w:p>
      <w:pPr>
        <w:ind w:firstLine="640"/>
      </w:pPr>
      <w:r>
        <w:rPr>
          <w:rFonts w:hint="eastAsia"/>
        </w:rPr>
        <w:t>该项目绩效指标评价体系共有履职情况指标11个以考核该项目2021年度的绩效情况，其中产出指标</w:t>
      </w:r>
      <w:r>
        <w:t>6个、效益指标</w:t>
      </w:r>
      <w:r>
        <w:rPr>
          <w:rFonts w:hint="eastAsia"/>
        </w:rPr>
        <w:t>5</w:t>
      </w:r>
      <w:r>
        <w:t>个</w:t>
      </w:r>
      <w:r>
        <w:rPr>
          <w:rFonts w:hint="eastAsia"/>
        </w:rPr>
        <w:t>。</w:t>
      </w:r>
    </w:p>
    <w:p>
      <w:pPr>
        <w:ind w:firstLine="640"/>
        <w:rPr>
          <w:rFonts w:hAnsi="仿宋_GB2312"/>
          <w:bCs/>
          <w:szCs w:val="32"/>
          <w:lang w:val="zh-CN"/>
        </w:rPr>
      </w:pPr>
      <w:r>
        <w:rPr>
          <w:rFonts w:hint="eastAsia" w:hAnsi="仿宋_GB2312"/>
          <w:bCs/>
          <w:szCs w:val="32"/>
          <w:lang w:val="zh-CN"/>
        </w:rPr>
        <w:t>经查验，绩效指标的完成情况如下：</w:t>
      </w:r>
    </w:p>
    <w:tbl>
      <w:tblPr>
        <w:tblStyle w:val="7"/>
        <w:tblW w:w="8789" w:type="dxa"/>
        <w:tblInd w:w="-147" w:type="dxa"/>
        <w:tblLayout w:type="fixed"/>
        <w:tblCellMar>
          <w:top w:w="0" w:type="dxa"/>
          <w:left w:w="108" w:type="dxa"/>
          <w:bottom w:w="0" w:type="dxa"/>
          <w:right w:w="108" w:type="dxa"/>
        </w:tblCellMar>
      </w:tblPr>
      <w:tblGrid>
        <w:gridCol w:w="1702"/>
        <w:gridCol w:w="3827"/>
        <w:gridCol w:w="3260"/>
      </w:tblGrid>
      <w:tr>
        <w:tblPrEx>
          <w:tblLayout w:type="fixed"/>
          <w:tblCellMar>
            <w:top w:w="0" w:type="dxa"/>
            <w:left w:w="108" w:type="dxa"/>
            <w:bottom w:w="0" w:type="dxa"/>
            <w:right w:w="108" w:type="dxa"/>
          </w:tblCellMar>
        </w:tblPrEx>
        <w:trPr>
          <w:trHeight w:val="480" w:hRule="atLeast"/>
          <w:tblHeader/>
        </w:trPr>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指标名称</w:t>
            </w:r>
          </w:p>
        </w:tc>
        <w:tc>
          <w:tcPr>
            <w:tcW w:w="38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目标值</w:t>
            </w:r>
          </w:p>
        </w:tc>
        <w:tc>
          <w:tcPr>
            <w:tcW w:w="32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实现完成值</w:t>
            </w:r>
          </w:p>
        </w:tc>
      </w:tr>
      <w:tr>
        <w:tblPrEx>
          <w:tblLayout w:type="fixed"/>
          <w:tblCellMar>
            <w:top w:w="0" w:type="dxa"/>
            <w:left w:w="108" w:type="dxa"/>
            <w:bottom w:w="0" w:type="dxa"/>
            <w:right w:w="108" w:type="dxa"/>
          </w:tblCellMar>
        </w:tblPrEx>
        <w:trPr>
          <w:trHeight w:val="28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工程用料合规性</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考察工程用料是否符合项目要求</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工程用料符合项目要求</w:t>
            </w:r>
          </w:p>
        </w:tc>
      </w:tr>
      <w:tr>
        <w:tblPrEx>
          <w:tblLayout w:type="fixed"/>
          <w:tblCellMar>
            <w:top w:w="0" w:type="dxa"/>
            <w:left w:w="108" w:type="dxa"/>
            <w:bottom w:w="0" w:type="dxa"/>
            <w:right w:w="108" w:type="dxa"/>
          </w:tblCellMar>
        </w:tblPrEx>
        <w:trPr>
          <w:trHeight w:val="52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“一户一表”实现情况</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完成供水管网配套改造工程的村落实现“一户一表”</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已实现</w:t>
            </w:r>
          </w:p>
        </w:tc>
      </w:tr>
      <w:tr>
        <w:tblPrEx>
          <w:tblLayout w:type="fixed"/>
          <w:tblCellMar>
            <w:top w:w="0" w:type="dxa"/>
            <w:left w:w="108" w:type="dxa"/>
            <w:bottom w:w="0" w:type="dxa"/>
            <w:right w:w="108" w:type="dxa"/>
          </w:tblCellMar>
        </w:tblPrEx>
        <w:trPr>
          <w:trHeight w:val="52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施工现场巡查工作</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考核单位对各个施工现场的监督管理工作情况</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巡查工作较好</w:t>
            </w:r>
          </w:p>
        </w:tc>
      </w:tr>
      <w:tr>
        <w:tblPrEx>
          <w:tblLayout w:type="fixed"/>
          <w:tblCellMar>
            <w:top w:w="0" w:type="dxa"/>
            <w:left w:w="108" w:type="dxa"/>
            <w:bottom w:w="0" w:type="dxa"/>
            <w:right w:w="108" w:type="dxa"/>
          </w:tblCellMar>
        </w:tblPrEx>
        <w:trPr>
          <w:trHeight w:val="28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监理工作质量</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考核监理工作的严谨性</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监理工作严谨</w:t>
            </w:r>
          </w:p>
        </w:tc>
      </w:tr>
      <w:tr>
        <w:tblPrEx>
          <w:tblLayout w:type="fixed"/>
          <w:tblCellMar>
            <w:top w:w="0" w:type="dxa"/>
            <w:left w:w="108" w:type="dxa"/>
            <w:bottom w:w="0" w:type="dxa"/>
            <w:right w:w="108" w:type="dxa"/>
          </w:tblCellMar>
        </w:tblPrEx>
        <w:trPr>
          <w:trHeight w:val="52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施工过程发生的安全事故次数</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无施工安全事故。</w:t>
            </w:r>
          </w:p>
        </w:tc>
      </w:tr>
      <w:tr>
        <w:tblPrEx>
          <w:tblLayout w:type="fixed"/>
          <w:tblCellMar>
            <w:top w:w="0" w:type="dxa"/>
            <w:left w:w="108" w:type="dxa"/>
            <w:bottom w:w="0" w:type="dxa"/>
            <w:right w:w="108" w:type="dxa"/>
          </w:tblCellMar>
        </w:tblPrEx>
        <w:trPr>
          <w:trHeight w:val="52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水利设施维护工作质量</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考核工程建设后的设施维护工作</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未发现已完工的水利设施存在损坏的情况；处于试运行阶段的水利设施相关巡查工作以出水终端为主</w:t>
            </w:r>
          </w:p>
        </w:tc>
      </w:tr>
      <w:tr>
        <w:tblPrEx>
          <w:tblLayout w:type="fixed"/>
          <w:tblCellMar>
            <w:top w:w="0" w:type="dxa"/>
            <w:left w:w="108" w:type="dxa"/>
            <w:bottom w:w="0" w:type="dxa"/>
            <w:right w:w="108" w:type="dxa"/>
          </w:tblCellMar>
        </w:tblPrEx>
        <w:trPr>
          <w:trHeight w:val="78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供水水质达标率</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供水水质达标率=供水水质达标月份/改造完成并投入使用月份×100%，达到90%或以</w:t>
            </w:r>
            <w:r>
              <w:rPr>
                <w:rFonts w:hint="eastAsia" w:ascii="宋体" w:hAnsi="宋体" w:eastAsia="宋体" w:cs="宋体"/>
                <w:color w:val="000000"/>
                <w:kern w:val="0"/>
                <w:sz w:val="20"/>
                <w:szCs w:val="20"/>
              </w:rPr>
              <w:t>上</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2021 年广州市供水水质综合合格率为 99.99%</w:t>
            </w:r>
          </w:p>
        </w:tc>
      </w:tr>
      <w:tr>
        <w:tblPrEx>
          <w:tblLayout w:type="fixed"/>
          <w:tblCellMar>
            <w:top w:w="0" w:type="dxa"/>
            <w:left w:w="108" w:type="dxa"/>
            <w:bottom w:w="0" w:type="dxa"/>
            <w:right w:w="108" w:type="dxa"/>
          </w:tblCellMar>
        </w:tblPrEx>
        <w:trPr>
          <w:trHeight w:val="780"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提升供水管网性能</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考察供水管网改造后是否减少二次污染、管网漏损及提升管材抗压能力和使用寿命。</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管材的安全性能、抗压性能和使用寿命等得到提高</w:t>
            </w:r>
          </w:p>
        </w:tc>
      </w:tr>
      <w:tr>
        <w:tblPrEx>
          <w:tblLayout w:type="fixed"/>
          <w:tblCellMar>
            <w:top w:w="0" w:type="dxa"/>
            <w:left w:w="108" w:type="dxa"/>
            <w:bottom w:w="0" w:type="dxa"/>
            <w:right w:w="108" w:type="dxa"/>
          </w:tblCellMar>
        </w:tblPrEx>
        <w:trPr>
          <w:trHeight w:val="520" w:hRule="atLeast"/>
        </w:trPr>
        <w:tc>
          <w:tcPr>
            <w:tcW w:w="1702" w:type="dxa"/>
            <w:tcBorders>
              <w:top w:val="nil"/>
              <w:left w:val="single" w:color="auto" w:sz="4" w:space="0"/>
              <w:bottom w:val="nil"/>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供水保障能力提升</w:t>
            </w:r>
          </w:p>
        </w:tc>
        <w:tc>
          <w:tcPr>
            <w:tcW w:w="3827" w:type="dxa"/>
            <w:tcBorders>
              <w:top w:val="nil"/>
              <w:left w:val="nil"/>
              <w:bottom w:val="nil"/>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考察供水改造后村民用水便利程度是否提升，用水是否得到保障</w:t>
            </w:r>
          </w:p>
        </w:tc>
        <w:tc>
          <w:tcPr>
            <w:tcW w:w="3260" w:type="dxa"/>
            <w:tcBorders>
              <w:top w:val="nil"/>
              <w:left w:val="nil"/>
              <w:bottom w:val="nil"/>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村民用水基本得以保障，用水便利程度提升；</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根据调查问卷结果，用水便利程度的满意度为91.33%</w:t>
            </w:r>
          </w:p>
        </w:tc>
      </w:tr>
      <w:tr>
        <w:tblPrEx>
          <w:tblLayout w:type="fixed"/>
          <w:tblCellMar>
            <w:top w:w="0" w:type="dxa"/>
            <w:left w:w="108" w:type="dxa"/>
            <w:bottom w:w="0" w:type="dxa"/>
            <w:right w:w="108" w:type="dxa"/>
          </w:tblCellMar>
        </w:tblPrEx>
        <w:trPr>
          <w:trHeight w:val="780" w:hRule="atLeast"/>
        </w:trPr>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群众对施工过程的满意程度</w:t>
            </w:r>
          </w:p>
        </w:tc>
        <w:tc>
          <w:tcPr>
            <w:tcW w:w="38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考察群众对项目进度、对污水、噪音、灰尘、固体废物等所采取的防止措施的满意程度</w:t>
            </w:r>
          </w:p>
        </w:tc>
        <w:tc>
          <w:tcPr>
            <w:tcW w:w="32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群众对施工过程的满意程度为87.87%。</w:t>
            </w:r>
          </w:p>
        </w:tc>
      </w:tr>
      <w:tr>
        <w:tblPrEx>
          <w:tblLayout w:type="fixed"/>
          <w:tblCellMar>
            <w:top w:w="0" w:type="dxa"/>
            <w:left w:w="108" w:type="dxa"/>
            <w:bottom w:w="0" w:type="dxa"/>
            <w:right w:w="108" w:type="dxa"/>
          </w:tblCellMar>
        </w:tblPrEx>
        <w:trPr>
          <w:trHeight w:val="479" w:hRule="atLeast"/>
        </w:trPr>
        <w:tc>
          <w:tcPr>
            <w:tcW w:w="1702"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群众满意度</w:t>
            </w:r>
          </w:p>
        </w:tc>
        <w:tc>
          <w:tcPr>
            <w:tcW w:w="382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3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群众对该项目的整体满意度为90.46%。</w:t>
            </w:r>
          </w:p>
        </w:tc>
      </w:tr>
    </w:tbl>
    <w:p>
      <w:pPr>
        <w:pStyle w:val="2"/>
        <w:ind w:firstLine="640"/>
      </w:pPr>
      <w:r>
        <w:rPr>
          <w:rFonts w:hint="eastAsia"/>
        </w:rPr>
        <w:t>三、</w:t>
      </w:r>
      <w:r>
        <w:rPr>
          <w:rFonts w:hint="eastAsia" w:ascii="Times New Roman"/>
        </w:rPr>
        <w:t>项目主要绩效、存在的问题和改进建议</w:t>
      </w:r>
    </w:p>
    <w:p>
      <w:pPr>
        <w:pStyle w:val="3"/>
        <w:ind w:firstLine="640"/>
      </w:pPr>
      <w:bookmarkStart w:id="0" w:name="_Toc110"/>
      <w:r>
        <w:rPr>
          <w:rFonts w:hint="eastAsia"/>
        </w:rPr>
        <w:t>（一）主要绩效</w:t>
      </w:r>
      <w:bookmarkEnd w:id="0"/>
    </w:p>
    <w:p>
      <w:pPr>
        <w:ind w:firstLine="640"/>
        <w:rPr>
          <w:rFonts w:hAnsi="仿宋_GB2312"/>
          <w:bCs/>
          <w:szCs w:val="32"/>
          <w:lang w:val="zh-CN"/>
        </w:rPr>
      </w:pPr>
      <w:r>
        <w:rPr>
          <w:rFonts w:hAnsi="仿宋_GB2312"/>
          <w:bCs/>
          <w:szCs w:val="32"/>
          <w:lang w:val="zh-CN"/>
        </w:rPr>
        <w:t>1.</w:t>
      </w:r>
      <w:r>
        <w:rPr>
          <w:rFonts w:hint="eastAsia" w:hAnsi="仿宋_GB2312"/>
          <w:bCs/>
          <w:szCs w:val="32"/>
          <w:lang w:val="zh-CN"/>
        </w:rPr>
        <w:t>立项依据充分、立项程序规范</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根据《关于从化区2019-2020年农村供水改造项目（市政主管网工程）可行性研究报告的批复》和《广州市从化区农村供水改造攻坚行动方案（2019-2020)》，该项目立项依据充分，符合部门职责、发展规划的要求。根据可行性研究报告，项目按照规定的程序申请设立，审批文件符合相关规定，履行了较好的立项程序。</w:t>
      </w:r>
    </w:p>
    <w:p>
      <w:pPr>
        <w:ind w:firstLine="640"/>
        <w:rPr>
          <w:rFonts w:hAnsi="仿宋_GB2312"/>
          <w:bCs/>
          <w:szCs w:val="32"/>
          <w:lang w:val="zh-CN"/>
        </w:rPr>
      </w:pPr>
      <w:r>
        <w:rPr>
          <w:rFonts w:hint="eastAsia" w:hAnsi="仿宋_GB2312"/>
          <w:bCs/>
          <w:szCs w:val="32"/>
          <w:lang w:val="zh-CN"/>
        </w:rPr>
        <w:t>2.工程实际效果与工作要求一致</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经对比《广州市水务局关于印发广州市农村供水改造工作指引试行的通知》和工程监理报告，工作用料符合项目要求，也做到“一户一表”。</w:t>
      </w:r>
    </w:p>
    <w:p>
      <w:pPr>
        <w:ind w:firstLine="640"/>
        <w:rPr>
          <w:rFonts w:hAnsi="仿宋_GB2312"/>
          <w:bCs/>
          <w:szCs w:val="32"/>
          <w:lang w:val="zh-CN"/>
        </w:rPr>
      </w:pPr>
      <w:r>
        <w:rPr>
          <w:rFonts w:hint="eastAsia" w:hAnsi="仿宋_GB2312"/>
          <w:bCs/>
          <w:szCs w:val="32"/>
          <w:lang w:val="zh-CN"/>
        </w:rPr>
        <w:t>3.项目施工安全性监管到位</w:t>
      </w:r>
    </w:p>
    <w:p>
      <w:pPr>
        <w:ind w:firstLine="640"/>
        <w:rPr>
          <w:rFonts w:hAnsi="仿宋_GB2312"/>
          <w:bCs/>
          <w:szCs w:val="32"/>
          <w:lang w:val="zh-CN"/>
        </w:rPr>
      </w:pPr>
      <w:r>
        <w:rPr>
          <w:rFonts w:hAnsi="仿宋_GB2312"/>
          <w:bCs/>
          <w:szCs w:val="32"/>
          <w:lang w:val="zh-CN"/>
        </w:rPr>
        <w:t>根据单位提供的监理资料，监理单位对项目建设质量和安全有进行监督管理并形成台账，且均有监理月报及监理报告，能客观记录项目实施过程及效果。经评价人员查询应急管理网站和各大媒体平台，未发现与该项目相关的施工安全事故。</w:t>
      </w:r>
    </w:p>
    <w:p>
      <w:pPr>
        <w:ind w:firstLine="640"/>
        <w:rPr>
          <w:rFonts w:hAnsi="仿宋_GB2312"/>
          <w:bCs/>
          <w:szCs w:val="32"/>
          <w:lang w:val="zh-CN"/>
        </w:rPr>
      </w:pPr>
      <w:r>
        <w:rPr>
          <w:rFonts w:hint="eastAsia" w:hAnsi="仿宋_GB2312"/>
          <w:bCs/>
          <w:szCs w:val="32"/>
          <w:lang w:val="zh-CN"/>
        </w:rPr>
        <w:t>4.供水管网性能提升</w:t>
      </w:r>
    </w:p>
    <w:p>
      <w:pPr>
        <w:ind w:firstLine="640"/>
        <w:rPr>
          <w:rFonts w:hAnsi="仿宋_GB2312"/>
          <w:bCs/>
          <w:szCs w:val="32"/>
          <w:lang w:val="zh-CN"/>
        </w:rPr>
      </w:pPr>
      <w:bookmarkStart w:id="1" w:name="_Toc46844271"/>
      <w:bookmarkStart w:id="2" w:name="_Toc31197"/>
      <w:r>
        <w:rPr>
          <w:rFonts w:hint="eastAsia" w:hAnsi="仿宋_GB2312"/>
          <w:bCs/>
          <w:szCs w:val="32"/>
          <w:lang w:val="zh-CN"/>
        </w:rPr>
        <w:t>根据单位提供的可研报告及可行性方案设计，该项目将原有易老化、易渗漏、易影响水质的PVC管材改造为使用年限至少达50年的球墨铸铁管、钢塑复合管和钢管，经征询专家意见，管材的安全性能、抗压性能和使用寿命等得到提高。</w:t>
      </w:r>
    </w:p>
    <w:p>
      <w:pPr>
        <w:pStyle w:val="3"/>
        <w:ind w:firstLine="640"/>
        <w:rPr>
          <w:rFonts w:hAnsi="Times New Roman" w:eastAsia="仿宋GB2312" w:cs="Times New Roman"/>
        </w:rPr>
      </w:pPr>
      <w:r>
        <w:rPr>
          <w:rFonts w:hint="eastAsia"/>
        </w:rPr>
        <w:t>（二）存在问题</w:t>
      </w:r>
      <w:bookmarkEnd w:id="1"/>
      <w:bookmarkEnd w:id="2"/>
      <w:bookmarkStart w:id="3" w:name="_Toc46844272"/>
      <w:bookmarkStart w:id="4" w:name="_Toc8411"/>
    </w:p>
    <w:p>
      <w:pPr>
        <w:ind w:firstLine="640"/>
      </w:pPr>
      <w:r>
        <w:rPr>
          <w:rFonts w:hint="eastAsia"/>
        </w:rPr>
        <w:t>1.项目的绩效管理水平仍有上升的空间</w:t>
      </w:r>
    </w:p>
    <w:p>
      <w:pPr>
        <w:ind w:firstLine="640"/>
        <w:rPr>
          <w:rFonts w:ascii="Times New Roman" w:hAnsi="Times New Roman" w:eastAsia="仿宋GB2312" w:cs="Times New Roman"/>
          <w:bCs/>
          <w:szCs w:val="20"/>
        </w:rPr>
      </w:pPr>
      <w:r>
        <w:rPr>
          <w:rFonts w:hint="eastAsia"/>
        </w:rPr>
        <w:t>在项目执行过程中，单位业务绩效管理的意识不足，绩效目标的合理性有待提高，目标不能全面体现项目实施的绩效情况，无法反映项目具体实施内容和工作效果。</w:t>
      </w:r>
    </w:p>
    <w:p>
      <w:pPr>
        <w:ind w:firstLine="640"/>
      </w:pPr>
      <w:r>
        <w:rPr>
          <w:rFonts w:hint="eastAsia"/>
        </w:rPr>
        <w:t>2.项目资金管理水平仍有提升空间</w:t>
      </w:r>
    </w:p>
    <w:p>
      <w:pPr>
        <w:ind w:firstLine="640"/>
      </w:pPr>
      <w:r>
        <w:rPr>
          <w:rFonts w:hint="eastAsia"/>
        </w:rPr>
        <w:t>项目预算资金是否执行到位，用以反映和考核项目预算资金的执行情况。该项目2021年预算金额为38,900万元， 实际支出为33,484.83万元，预算执行率较低。</w:t>
      </w:r>
    </w:p>
    <w:p>
      <w:pPr>
        <w:ind w:firstLine="640"/>
      </w:pPr>
      <w:r>
        <w:rPr>
          <w:rFonts w:hint="eastAsia"/>
        </w:rPr>
        <w:t>3.施工现场管理工作仍有提升空间</w:t>
      </w:r>
    </w:p>
    <w:p>
      <w:pPr>
        <w:ind w:firstLine="640"/>
      </w:pPr>
      <w:r>
        <w:rPr>
          <w:rFonts w:hint="eastAsia"/>
        </w:rPr>
        <w:t>根据单位提供的施工现场巡查台账，未能体现巡查评价情况，未能全面体现施工现场情况，影响巡查效果的体现。根据调查问卷结果，群众对施工项目进度、对污水、噪音、灰尘、固体废物等所采取的防治措施的满意程度为87.87%。</w:t>
      </w:r>
    </w:p>
    <w:p>
      <w:pPr>
        <w:pStyle w:val="3"/>
        <w:ind w:firstLine="640"/>
      </w:pPr>
      <w:r>
        <w:rPr>
          <w:rFonts w:hint="eastAsia"/>
        </w:rPr>
        <w:t>（三）改进建议</w:t>
      </w:r>
      <w:bookmarkEnd w:id="3"/>
      <w:bookmarkEnd w:id="4"/>
    </w:p>
    <w:p>
      <w:pPr>
        <w:ind w:firstLine="640"/>
        <w:rPr>
          <w:rFonts w:ascii="Times New Roman" w:hAnsi="Times New Roman" w:eastAsia="仿宋GB2312" w:cs="Times New Roman"/>
          <w:bCs/>
          <w:szCs w:val="20"/>
        </w:rPr>
      </w:pPr>
      <w:r>
        <w:rPr>
          <w:rFonts w:hint="eastAsia" w:ascii="Times New Roman" w:hAnsi="Times New Roman" w:eastAsia="仿宋GB2312" w:cs="Times New Roman"/>
          <w:bCs/>
          <w:szCs w:val="20"/>
        </w:rPr>
        <w:t xml:space="preserve">1. </w:t>
      </w:r>
      <w:r>
        <w:rPr>
          <w:rFonts w:hint="eastAsia" w:ascii="Times New Roman" w:hAnsi="Times New Roman" w:eastAsia="仿宋GB2312" w:cs="Times New Roman"/>
          <w:bCs/>
          <w:szCs w:val="20"/>
          <w:lang w:eastAsia="zh-Hans"/>
        </w:rPr>
        <w:t>加大业务部门对绩效管理工作的参与程度</w:t>
      </w:r>
    </w:p>
    <w:p>
      <w:pPr>
        <w:ind w:firstLine="640"/>
        <w:rPr>
          <w:rFonts w:ascii="Times New Roman" w:hAnsi="Times New Roman" w:eastAsia="仿宋GB2312" w:cs="Times New Roman"/>
          <w:bCs/>
          <w:szCs w:val="20"/>
        </w:rPr>
      </w:pPr>
      <w:r>
        <w:rPr>
          <w:rFonts w:hint="eastAsia" w:ascii="Times New Roman" w:hAnsi="Times New Roman" w:eastAsia="仿宋GB2312" w:cs="Times New Roman"/>
          <w:bCs/>
          <w:szCs w:val="20"/>
        </w:rPr>
        <w:t>预算绩效管理工作同时考核项目的财务管理情况和业务管理情况，而财务管理工作相关的考核指标有各级财政部门制定的绩效评价指标体系可参考，相关指标和评价标准的订立较简单；但是业务管理工作相关的考核指标需要根据项目具体的工作产出和效果设立，业务部门应该最熟悉项目各项主要工作的预期实现值、预期效果。因此，建议业务部门全程参与绩效管理相关工作，按照项目主要支出方向或者工作重点年初订立绩效目标，年中进行绩效运行监控并及时根据项目情况调整绩效目标，年终评价绩效目标实现情况。</w:t>
      </w:r>
    </w:p>
    <w:p>
      <w:pPr>
        <w:ind w:firstLine="640"/>
        <w:rPr>
          <w:rFonts w:ascii="Times New Roman" w:hAnsi="Times New Roman" w:eastAsia="仿宋GB2312" w:cs="Times New Roman"/>
          <w:bCs/>
          <w:szCs w:val="20"/>
        </w:rPr>
      </w:pPr>
      <w:r>
        <w:rPr>
          <w:rFonts w:hint="eastAsia" w:ascii="Times New Roman" w:hAnsi="Times New Roman" w:eastAsia="仿宋GB2312" w:cs="Times New Roman"/>
          <w:bCs/>
          <w:szCs w:val="20"/>
        </w:rPr>
        <w:t>2.提高预算管理水平</w:t>
      </w:r>
    </w:p>
    <w:p>
      <w:pPr>
        <w:ind w:firstLine="640"/>
        <w:rPr>
          <w:rFonts w:ascii="Times New Roman" w:hAnsi="Times New Roman" w:eastAsia="仿宋GB2312" w:cs="Times New Roman"/>
          <w:bCs/>
          <w:szCs w:val="20"/>
        </w:rPr>
      </w:pPr>
      <w:r>
        <w:rPr>
          <w:rFonts w:hint="eastAsia" w:ascii="Times New Roman" w:hAnsi="Times New Roman" w:eastAsia="仿宋GB2312" w:cs="Times New Roman"/>
          <w:bCs/>
          <w:szCs w:val="20"/>
        </w:rPr>
        <w:t>应充分认识预算管理工作的重要性，细化预算编制工作，周密计划组织当年部门工作计划，参考未来财政收支、政策变化，考虑本级财力影响，提升预算编制的准确性；加强预算执行管理，及时了解项目进度以及时调整预算。</w:t>
      </w:r>
    </w:p>
    <w:p>
      <w:pPr>
        <w:ind w:firstLine="640"/>
        <w:rPr>
          <w:rFonts w:ascii="Times New Roman" w:hAnsi="Times New Roman" w:eastAsia="仿宋GB2312" w:cs="Times New Roman"/>
          <w:bCs/>
          <w:szCs w:val="20"/>
        </w:rPr>
      </w:pPr>
      <w:r>
        <w:rPr>
          <w:rFonts w:hint="eastAsia" w:ascii="Times New Roman" w:hAnsi="Times New Roman" w:eastAsia="仿宋GB2312" w:cs="Times New Roman"/>
          <w:bCs/>
          <w:szCs w:val="20"/>
        </w:rPr>
        <w:t>3.加强施工现场管理工作</w:t>
      </w:r>
    </w:p>
    <w:p>
      <w:pPr>
        <w:ind w:firstLine="640"/>
        <w:rPr>
          <w:rFonts w:ascii="Times New Roman" w:hAnsi="Times New Roman" w:eastAsia="仿宋GB2312" w:cs="Times New Roman"/>
          <w:bCs/>
          <w:szCs w:val="20"/>
        </w:rPr>
      </w:pPr>
      <w:r>
        <w:rPr>
          <w:rFonts w:hint="eastAsia" w:ascii="Times New Roman" w:hAnsi="Times New Roman" w:eastAsia="仿宋GB2312" w:cs="Times New Roman"/>
          <w:bCs/>
          <w:szCs w:val="20"/>
        </w:rPr>
        <w:t>建议完善施工现场巡查台账，详细记录施工现场的安全情况、施工进度、施工防扰民措施是否到位等情况，做好施工现场管理工作。</w:t>
      </w:r>
    </w:p>
    <w:p>
      <w:pPr>
        <w:ind w:firstLine="640"/>
      </w:pPr>
    </w:p>
    <w:p>
      <w:pPr>
        <w:ind w:firstLine="960" w:firstLineChars="300"/>
        <w:jc w:val="right"/>
      </w:pPr>
      <w:r>
        <w:rPr>
          <w:rFonts w:hint="eastAsia" w:ascii="黑体" w:hAnsi="黑体" w:eastAsia="黑体" w:cs="黑体"/>
          <w:bCs/>
          <w:color w:val="4F81BD"/>
          <w:szCs w:val="32"/>
        </w:rPr>
        <w:t xml:space="preserve">      </w:t>
      </w:r>
      <w:r>
        <w:rPr>
          <w:rFonts w:hint="eastAsia" w:hAnsi="仿宋_GB2312" w:cs="仿宋_GB2312"/>
          <w:bCs/>
          <w:szCs w:val="32"/>
        </w:rPr>
        <w:t xml:space="preserve">                       </w:t>
      </w:r>
    </w:p>
    <w:p>
      <w:pPr>
        <w:ind w:firstLine="64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F37D9B"/>
    <w:rsid w:val="00012BE0"/>
    <w:rsid w:val="000400EE"/>
    <w:rsid w:val="00072A06"/>
    <w:rsid w:val="000C3F73"/>
    <w:rsid w:val="0013302C"/>
    <w:rsid w:val="001528DA"/>
    <w:rsid w:val="00164641"/>
    <w:rsid w:val="00186693"/>
    <w:rsid w:val="001E6104"/>
    <w:rsid w:val="00266701"/>
    <w:rsid w:val="003A7891"/>
    <w:rsid w:val="003C2774"/>
    <w:rsid w:val="003D7301"/>
    <w:rsid w:val="004374FE"/>
    <w:rsid w:val="00467C73"/>
    <w:rsid w:val="005F46A1"/>
    <w:rsid w:val="006F6E44"/>
    <w:rsid w:val="00711BF3"/>
    <w:rsid w:val="007877AC"/>
    <w:rsid w:val="00802AB0"/>
    <w:rsid w:val="0082506C"/>
    <w:rsid w:val="00876BE0"/>
    <w:rsid w:val="009036C6"/>
    <w:rsid w:val="009B40AB"/>
    <w:rsid w:val="009D681B"/>
    <w:rsid w:val="00A35E14"/>
    <w:rsid w:val="00A51A9C"/>
    <w:rsid w:val="00AE4F8D"/>
    <w:rsid w:val="00B83FFC"/>
    <w:rsid w:val="00BA0817"/>
    <w:rsid w:val="00BB6B0A"/>
    <w:rsid w:val="00BF4518"/>
    <w:rsid w:val="00D07EF9"/>
    <w:rsid w:val="00D11813"/>
    <w:rsid w:val="00D5310C"/>
    <w:rsid w:val="00D80939"/>
    <w:rsid w:val="00DA0D25"/>
    <w:rsid w:val="00E16E46"/>
    <w:rsid w:val="00ED1F7C"/>
    <w:rsid w:val="00EE22DE"/>
    <w:rsid w:val="00F11889"/>
    <w:rsid w:val="00F37D9B"/>
    <w:rsid w:val="00FA7BA1"/>
    <w:rsid w:val="02C7150D"/>
    <w:rsid w:val="11FF2D15"/>
    <w:rsid w:val="17F4621F"/>
    <w:rsid w:val="210F504D"/>
    <w:rsid w:val="2D623917"/>
    <w:rsid w:val="35B6103B"/>
    <w:rsid w:val="378B2090"/>
    <w:rsid w:val="39E96C3F"/>
    <w:rsid w:val="3BAA6042"/>
    <w:rsid w:val="3F7D5B4C"/>
    <w:rsid w:val="41D232D3"/>
    <w:rsid w:val="5E567821"/>
    <w:rsid w:val="783D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200" w:firstLineChars="200"/>
      <w:jc w:val="both"/>
    </w:pPr>
    <w:rPr>
      <w:rFonts w:ascii="仿宋_GB2312" w:eastAsia="仿宋_GB2312" w:hAnsiTheme="minorHAnsi" w:cstheme="minorBidi"/>
      <w:kern w:val="2"/>
      <w:sz w:val="32"/>
      <w:szCs w:val="24"/>
      <w:lang w:val="en-US" w:eastAsia="zh-CN" w:bidi="ar-SA"/>
    </w:rPr>
  </w:style>
  <w:style w:type="paragraph" w:styleId="2">
    <w:name w:val="heading 1"/>
    <w:basedOn w:val="1"/>
    <w:next w:val="1"/>
    <w:link w:val="14"/>
    <w:qFormat/>
    <w:uiPriority w:val="9"/>
    <w:pPr>
      <w:outlineLvl w:val="0"/>
    </w:pPr>
    <w:rPr>
      <w:rFonts w:eastAsia="黑体"/>
      <w:bCs/>
      <w:kern w:val="44"/>
      <w:szCs w:val="44"/>
    </w:rPr>
  </w:style>
  <w:style w:type="paragraph" w:styleId="3">
    <w:name w:val="heading 2"/>
    <w:basedOn w:val="1"/>
    <w:next w:val="1"/>
    <w:link w:val="13"/>
    <w:unhideWhenUsed/>
    <w:qFormat/>
    <w:uiPriority w:val="9"/>
    <w:pPr>
      <w:outlineLvl w:val="1"/>
    </w:pPr>
    <w:rPr>
      <w:rFonts w:eastAsia="楷体" w:asciiTheme="majorHAnsi" w:hAnsiTheme="majorHAnsi" w:cstheme="majorBidi"/>
      <w:bCs/>
      <w:szCs w:val="32"/>
    </w:rPr>
  </w:style>
  <w:style w:type="paragraph" w:styleId="4">
    <w:name w:val="heading 3"/>
    <w:basedOn w:val="1"/>
    <w:next w:val="1"/>
    <w:unhideWhenUsed/>
    <w:qFormat/>
    <w:uiPriority w:val="9"/>
    <w:pPr>
      <w:keepNext/>
      <w:keepLines/>
      <w:wordWrap w:val="0"/>
      <w:ind w:firstLine="640"/>
      <w:outlineLvl w:val="2"/>
    </w:pPr>
    <w:rPr>
      <w:rFonts w:eastAsia="楷体"/>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customStyle="1" w:styleId="9">
    <w:name w:val="网格型1"/>
    <w:basedOn w:val="7"/>
    <w:qFormat/>
    <w:uiPriority w:val="3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34"/>
    <w:pPr>
      <w:ind w:firstLine="420"/>
    </w:pPr>
  </w:style>
  <w:style w:type="character" w:customStyle="1" w:styleId="11">
    <w:name w:val="页眉 字符"/>
    <w:basedOn w:val="8"/>
    <w:link w:val="6"/>
    <w:qFormat/>
    <w:uiPriority w:val="99"/>
    <w:rPr>
      <w:rFonts w:ascii="仿宋_GB2312" w:eastAsia="仿宋_GB2312"/>
      <w:sz w:val="18"/>
      <w:szCs w:val="18"/>
    </w:rPr>
  </w:style>
  <w:style w:type="character" w:customStyle="1" w:styleId="12">
    <w:name w:val="页脚 字符"/>
    <w:basedOn w:val="8"/>
    <w:link w:val="5"/>
    <w:qFormat/>
    <w:uiPriority w:val="99"/>
    <w:rPr>
      <w:rFonts w:ascii="仿宋_GB2312" w:eastAsia="仿宋_GB2312"/>
      <w:sz w:val="18"/>
      <w:szCs w:val="18"/>
    </w:rPr>
  </w:style>
  <w:style w:type="character" w:customStyle="1" w:styleId="13">
    <w:name w:val="标题 2 字符"/>
    <w:basedOn w:val="8"/>
    <w:link w:val="3"/>
    <w:qFormat/>
    <w:uiPriority w:val="9"/>
    <w:rPr>
      <w:rFonts w:eastAsia="楷体" w:asciiTheme="majorHAnsi" w:hAnsiTheme="majorHAnsi" w:cstheme="majorBidi"/>
      <w:bCs/>
      <w:kern w:val="2"/>
      <w:sz w:val="32"/>
      <w:szCs w:val="32"/>
    </w:rPr>
  </w:style>
  <w:style w:type="character" w:customStyle="1" w:styleId="14">
    <w:name w:val="标题 1 字符"/>
    <w:basedOn w:val="8"/>
    <w:link w:val="2"/>
    <w:qFormat/>
    <w:uiPriority w:val="9"/>
    <w:rPr>
      <w:rFonts w:ascii="仿宋_GB2312" w:eastAsia="黑体"/>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176210-02E0-46C0-9198-A81705743409}">
  <ds:schemaRefs/>
</ds:datastoreItem>
</file>

<file path=docProps/app.xml><?xml version="1.0" encoding="utf-8"?>
<Properties xmlns="http://schemas.openxmlformats.org/officeDocument/2006/extended-properties" xmlns:vt="http://schemas.openxmlformats.org/officeDocument/2006/docPropsVTypes">
  <Template>Normal</Template>
  <Pages>5</Pages>
  <Words>392</Words>
  <Characters>2241</Characters>
  <Lines>18</Lines>
  <Paragraphs>5</Paragraphs>
  <TotalTime>0</TotalTime>
  <ScaleCrop>false</ScaleCrop>
  <LinksUpToDate>false</LinksUpToDate>
  <CharactersWithSpaces>2628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2022-09-27T02:41:00Z</dcterms:created>
  <dc:creator>Yuan Raine</dc:creator>
  <cp:lastModifiedBy>周怡</cp:lastModifiedBy>
  <dcterms:modified xsi:type="dcterms:W3CDTF">2022-12-01T03:12:04Z</dcterms:modified>
  <dc:title>2021年从化区水务局农村供水改造工程项目支出绩效评价简要报告</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189B1E2CF02943C3982B43FB77DAF6E8</vt:lpwstr>
  </property>
</Properties>
</file>