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atLeast"/>
        <w:jc w:val="center"/>
        <w:rPr>
          <w:rFonts w:hint="eastAsia" w:ascii="Times New Roman" w:hAnsi="Times New Roman" w:eastAsia="方正小标宋_GBK" w:cs="Times New Roman"/>
          <w:bCs/>
          <w:kern w:val="0"/>
          <w:sz w:val="36"/>
          <w:szCs w:val="36"/>
        </w:rPr>
      </w:pPr>
    </w:p>
    <w:p>
      <w:pPr>
        <w:adjustRightInd w:val="0"/>
        <w:snapToGrid w:val="0"/>
        <w:spacing w:line="560" w:lineRule="atLeast"/>
        <w:jc w:val="center"/>
        <w:rPr>
          <w:rFonts w:hint="eastAsia"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广州市从化区2021年电子政务外网安全</w:t>
      </w:r>
    </w:p>
    <w:p>
      <w:pPr>
        <w:adjustRightInd w:val="0"/>
        <w:snapToGrid w:val="0"/>
        <w:spacing w:line="560" w:lineRule="atLeast"/>
        <w:jc w:val="center"/>
        <w:rPr>
          <w:rFonts w:hint="eastAsia"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项目绩效自评复核</w:t>
      </w:r>
      <w:r>
        <w:rPr>
          <w:rFonts w:hint="eastAsia" w:ascii="方正小标宋_GBK" w:hAnsi="方正小标宋_GBK" w:eastAsia="方正小标宋_GBK" w:cs="方正小标宋_GBK"/>
          <w:bCs/>
          <w:kern w:val="0"/>
          <w:sz w:val="44"/>
          <w:szCs w:val="44"/>
          <w:lang w:val="en-US" w:eastAsia="zh-CN"/>
        </w:rPr>
        <w:t>简要</w:t>
      </w:r>
      <w:r>
        <w:rPr>
          <w:rFonts w:hint="eastAsia" w:ascii="方正小标宋_GBK" w:hAnsi="方正小标宋_GBK" w:eastAsia="方正小标宋_GBK" w:cs="方正小标宋_GBK"/>
          <w:bCs/>
          <w:kern w:val="0"/>
          <w:sz w:val="44"/>
          <w:szCs w:val="44"/>
        </w:rPr>
        <w:t>报告</w:t>
      </w:r>
    </w:p>
    <w:p>
      <w:pPr>
        <w:jc w:val="center"/>
      </w:pPr>
      <w:r>
        <w:rPr>
          <w:rFonts w:hint="eastAsia" w:eastAsia="仿宋_GB2312"/>
          <w:snapToGrid w:val="0"/>
          <w:kern w:val="0"/>
          <w:sz w:val="32"/>
          <w:szCs w:val="32"/>
        </w:rPr>
        <w:t>天津中审联有限责任会计师事务所</w:t>
      </w:r>
      <w:bookmarkStart w:id="0" w:name="_Toc54364571"/>
      <w:bookmarkStart w:id="1" w:name="_Toc21945"/>
      <w:bookmarkStart w:id="2" w:name="_Toc45111711"/>
      <w:bookmarkStart w:id="3" w:name="_Toc2979"/>
      <w:bookmarkStart w:id="4" w:name="_Toc26130"/>
      <w:bookmarkStart w:id="5" w:name="_Toc12794488"/>
      <w:bookmarkStart w:id="6" w:name="_Toc6530"/>
      <w:bookmarkStart w:id="7" w:name="_Toc29133"/>
    </w:p>
    <w:bookmarkEnd w:id="0"/>
    <w:bookmarkEnd w:id="1"/>
    <w:bookmarkEnd w:id="2"/>
    <w:bookmarkEnd w:id="3"/>
    <w:bookmarkEnd w:id="4"/>
    <w:bookmarkEnd w:id="5"/>
    <w:bookmarkEnd w:id="6"/>
    <w:bookmarkEnd w:id="7"/>
    <w:p>
      <w:pPr>
        <w:rPr>
          <w:rFonts w:ascii="黑体" w:hAnsi="黑体" w:eastAsia="黑体" w:cs="Times New Roman"/>
          <w:sz w:val="32"/>
          <w:szCs w:val="32"/>
        </w:rPr>
      </w:pPr>
    </w:p>
    <w:p>
      <w:pPr>
        <w:spacing w:line="56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根据《广州市从化区财政局关于开展 2022年财政支出第三方绩效评价工作的通知》的要求，广州市从化区财政局委托天津中审联有限责任会计师事务所对“广州市从化区2021年电子政务外网安全”项目自评报告及相关材料进行复核。</w:t>
      </w:r>
    </w:p>
    <w:p>
      <w:pPr>
        <w:spacing w:line="56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复核意见是在审阅项目单位报送的自评材料和现场考察的基础上形成的，本次财政支出项目绩效分优、良、中、差四个等级，</w:t>
      </w:r>
      <w:r>
        <w:rPr>
          <w:rFonts w:hint="eastAsia" w:ascii="仿宋_GB2312" w:hAnsi="仿宋_GB2312" w:eastAsia="仿宋_GB2312" w:cs="仿宋_GB2312"/>
          <w:sz w:val="32"/>
          <w:szCs w:val="32"/>
          <w:lang w:val="en-US" w:eastAsia="zh-CN"/>
        </w:rPr>
        <w:t>自评复核</w:t>
      </w:r>
      <w:r>
        <w:rPr>
          <w:rFonts w:hint="eastAsia" w:ascii="仿宋_GB2312" w:hAnsi="仿宋_GB2312" w:eastAsia="仿宋_GB2312" w:cs="仿宋_GB2312"/>
          <w:sz w:val="32"/>
          <w:szCs w:val="32"/>
        </w:rPr>
        <w:t>时间为2021年度。</w:t>
      </w:r>
    </w:p>
    <w:p>
      <w:pPr>
        <w:spacing w:line="560" w:lineRule="atLeas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经复核，“广州市从化区2021年电子政务外网安全”项目绩效等级为“</w:t>
      </w:r>
      <w:r>
        <w:rPr>
          <w:rFonts w:hint="eastAsia" w:ascii="仿宋_GB2312" w:hAnsi="仿宋_GB2312" w:eastAsia="仿宋_GB2312" w:cs="仿宋_GB2312"/>
          <w:b w:val="0"/>
          <w:bCs w:val="0"/>
          <w:sz w:val="32"/>
          <w:szCs w:val="32"/>
          <w:lang w:eastAsia="zh-CN"/>
        </w:rPr>
        <w:t>良</w:t>
      </w:r>
      <w:r>
        <w:rPr>
          <w:rFonts w:hint="eastAsia" w:ascii="仿宋_GB2312" w:hAnsi="仿宋_GB2312" w:eastAsia="仿宋_GB2312" w:cs="仿宋_GB2312"/>
          <w:b w:val="0"/>
          <w:bCs w:val="0"/>
          <w:sz w:val="32"/>
          <w:szCs w:val="32"/>
        </w:rPr>
        <w:t>”。</w:t>
      </w:r>
    </w:p>
    <w:p>
      <w:pPr>
        <w:adjustRightInd w:val="0"/>
        <w:spacing w:line="560" w:lineRule="exact"/>
        <w:ind w:firstLine="640" w:firstLineChars="200"/>
        <w:outlineLvl w:val="0"/>
        <w:rPr>
          <w:rFonts w:ascii="Times New Roman" w:hAnsi="Times New Roman" w:eastAsia="黑体" w:cs="Times New Roman"/>
          <w:snapToGrid w:val="0"/>
          <w:kern w:val="0"/>
          <w:sz w:val="32"/>
          <w:szCs w:val="32"/>
        </w:rPr>
      </w:pPr>
      <w:r>
        <w:rPr>
          <w:rFonts w:hint="eastAsia" w:ascii="Times New Roman" w:hAnsi="Times New Roman" w:eastAsia="黑体" w:cs="Times New Roman"/>
          <w:snapToGrid w:val="0"/>
          <w:kern w:val="0"/>
          <w:sz w:val="32"/>
          <w:szCs w:val="32"/>
        </w:rPr>
        <w:t>一、项目基本情况</w:t>
      </w:r>
    </w:p>
    <w:p>
      <w:pPr>
        <w:widowControl/>
        <w:adjustRightInd w:val="0"/>
        <w:snapToGrid w:val="0"/>
        <w:spacing w:line="560" w:lineRule="exact"/>
        <w:ind w:firstLine="640" w:firstLineChars="200"/>
        <w:outlineLvl w:val="1"/>
        <w:rPr>
          <w:rFonts w:ascii="楷体" w:hAnsi="楷体" w:eastAsia="楷体" w:cs="楷体"/>
          <w:snapToGrid w:val="0"/>
          <w:kern w:val="0"/>
          <w:sz w:val="32"/>
          <w:szCs w:val="32"/>
        </w:rPr>
      </w:pPr>
      <w:r>
        <w:rPr>
          <w:rFonts w:hint="eastAsia" w:ascii="楷体" w:hAnsi="楷体" w:eastAsia="楷体" w:cs="楷体"/>
          <w:snapToGrid w:val="0"/>
          <w:kern w:val="0"/>
          <w:sz w:val="32"/>
          <w:szCs w:val="32"/>
        </w:rPr>
        <w:t>（一）项目基本情况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按照《广东省“数字政府”网络安全体系建设总体规划(2019-2021年)实施方案》要求，建设统一安全态势平台，</w:t>
      </w:r>
      <w:bookmarkStart w:id="17" w:name="_GoBack"/>
      <w:bookmarkEnd w:id="17"/>
      <w:r>
        <w:rPr>
          <w:rFonts w:hint="eastAsia" w:ascii="仿宋_GB2312" w:hAnsi="仿宋_GB2312" w:eastAsia="仿宋_GB2312" w:cs="仿宋_GB2312"/>
          <w:sz w:val="32"/>
          <w:szCs w:val="32"/>
        </w:rPr>
        <w:t>实现对“数字政府”网络内部的基础资源平台、网络连接设备、主机操作系统、数据库系统、数据访问使用、应用服务系统、终端用户行为的审计,并与互联网的威胁情报、态势分析的数据相结合，为从化区“数字政府”安全管理提供有力支撑，确保安全管理有据可依、有数可查。同时对从化区现有网络安全薄弱点进行加固，为从化区基础信息网络提供坚实的安全保障。</w:t>
      </w:r>
    </w:p>
    <w:p>
      <w:pPr>
        <w:widowControl/>
        <w:adjustRightInd w:val="0"/>
        <w:snapToGrid w:val="0"/>
        <w:spacing w:line="560" w:lineRule="exact"/>
        <w:ind w:firstLine="640" w:firstLineChars="200"/>
        <w:outlineLvl w:val="1"/>
        <w:rPr>
          <w:rFonts w:ascii="楷体" w:hAnsi="楷体" w:eastAsia="楷体" w:cs="楷体"/>
          <w:snapToGrid w:val="0"/>
          <w:kern w:val="0"/>
          <w:sz w:val="32"/>
          <w:szCs w:val="32"/>
        </w:rPr>
      </w:pPr>
      <w:r>
        <w:rPr>
          <w:rFonts w:hint="eastAsia" w:ascii="楷体" w:hAnsi="楷体" w:eastAsia="楷体" w:cs="楷体"/>
          <w:snapToGrid w:val="0"/>
          <w:kern w:val="0"/>
          <w:sz w:val="32"/>
          <w:szCs w:val="32"/>
        </w:rPr>
        <w:t>（二）项目资金情况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立项文件与专项预算下达文件显示同意申请175.75万元为项目预算上限安排，根据项目明细表以及相关支出凭证发现实际执支出数为144.62万元，其中采购费用137.02万元，设计费4.35万元，监理费3.25万元。资金实际支出率82%。</w:t>
      </w:r>
    </w:p>
    <w:p>
      <w:pPr>
        <w:adjustRightInd w:val="0"/>
        <w:spacing w:line="560" w:lineRule="exact"/>
        <w:ind w:firstLine="640" w:firstLineChars="200"/>
        <w:outlineLvl w:val="0"/>
        <w:rPr>
          <w:rFonts w:ascii="Times New Roman" w:hAnsi="Times New Roman" w:eastAsia="黑体" w:cs="Times New Roman"/>
          <w:snapToGrid w:val="0"/>
          <w:kern w:val="0"/>
          <w:sz w:val="32"/>
          <w:szCs w:val="32"/>
        </w:rPr>
      </w:pPr>
      <w:r>
        <w:rPr>
          <w:rFonts w:hint="eastAsia" w:ascii="Times New Roman" w:hAnsi="Times New Roman" w:eastAsia="黑体" w:cs="Times New Roman"/>
          <w:snapToGrid w:val="0"/>
          <w:kern w:val="0"/>
          <w:sz w:val="32"/>
          <w:szCs w:val="32"/>
        </w:rPr>
        <w:t>二</w:t>
      </w:r>
      <w:r>
        <w:rPr>
          <w:rFonts w:ascii="Times New Roman" w:hAnsi="Times New Roman" w:eastAsia="黑体" w:cs="Times New Roman"/>
          <w:snapToGrid w:val="0"/>
          <w:kern w:val="0"/>
          <w:sz w:val="32"/>
          <w:szCs w:val="32"/>
        </w:rPr>
        <w:t>、项目绩效情况</w:t>
      </w:r>
    </w:p>
    <w:p>
      <w:pPr>
        <w:widowControl/>
        <w:adjustRightInd w:val="0"/>
        <w:snapToGrid w:val="0"/>
        <w:spacing w:line="560" w:lineRule="exact"/>
        <w:ind w:firstLine="640" w:firstLineChars="200"/>
        <w:outlineLvl w:val="1"/>
        <w:rPr>
          <w:rFonts w:ascii="楷体" w:hAnsi="楷体" w:eastAsia="楷体" w:cs="楷体"/>
          <w:snapToGrid w:val="0"/>
          <w:kern w:val="0"/>
          <w:sz w:val="32"/>
          <w:szCs w:val="32"/>
        </w:rPr>
      </w:pPr>
      <w:r>
        <w:rPr>
          <w:rFonts w:hint="eastAsia" w:ascii="楷体" w:hAnsi="楷体" w:eastAsia="楷体" w:cs="楷体"/>
          <w:snapToGrid w:val="0"/>
          <w:kern w:val="0"/>
          <w:sz w:val="32"/>
          <w:szCs w:val="32"/>
        </w:rPr>
        <w:t>（一）绩效目标</w:t>
      </w:r>
    </w:p>
    <w:p>
      <w:pPr>
        <w:wordWrap w:val="0"/>
        <w:spacing w:line="560" w:lineRule="atLeast"/>
        <w:ind w:firstLine="640" w:firstLineChars="200"/>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z w:val="32"/>
          <w:szCs w:val="32"/>
        </w:rPr>
        <w:t>按照国家、省、市对电子政务外网络信息安全工作的要求，以“纵深加固+态势感知”双管齐下为策略，进一步对电子政务外网进行安全加固，提升系统部署所在网络安全防护能力。年度绩效指标：包括14个项目产出指标、2个效益指标以及1个满意度指标。</w:t>
      </w:r>
      <w:r>
        <w:rPr>
          <w:rFonts w:hint="eastAsia" w:ascii="仿宋_GB2312" w:hAnsi="仿宋_GB2312" w:eastAsia="仿宋_GB2312" w:cs="仿宋_GB2312"/>
          <w:snapToGrid w:val="0"/>
          <w:kern w:val="0"/>
          <w:sz w:val="32"/>
          <w:szCs w:val="32"/>
        </w:rPr>
        <w:t>根据广州市从化区政务服务数据管理局提供的资料、现场核查，以上所设定的绩效目标和指标部分已完成。</w:t>
      </w:r>
    </w:p>
    <w:p>
      <w:pPr>
        <w:spacing w:line="560" w:lineRule="atLeast"/>
        <w:ind w:firstLine="643" w:firstLineChars="200"/>
        <w:jc w:val="center"/>
        <w:rPr>
          <w:rFonts w:ascii="Times New Roman" w:hAnsi="Times New Roman" w:eastAsia="仿宋_GB2312" w:cs="Times New Roman"/>
          <w:b/>
          <w:bCs/>
          <w:snapToGrid w:val="0"/>
          <w:kern w:val="0"/>
          <w:sz w:val="32"/>
          <w:szCs w:val="32"/>
        </w:rPr>
      </w:pPr>
      <w:r>
        <w:rPr>
          <w:rFonts w:hint="eastAsia" w:ascii="Times New Roman" w:hAnsi="Times New Roman" w:eastAsia="仿宋_GB2312" w:cs="Times New Roman"/>
          <w:b/>
          <w:bCs/>
          <w:snapToGrid w:val="0"/>
          <w:kern w:val="0"/>
          <w:sz w:val="32"/>
          <w:szCs w:val="32"/>
        </w:rPr>
        <w:t>表1</w:t>
      </w:r>
      <w:r>
        <w:rPr>
          <w:rFonts w:ascii="Times New Roman" w:hAnsi="Times New Roman" w:eastAsia="仿宋_GB2312" w:cs="Times New Roman"/>
          <w:b/>
          <w:bCs/>
          <w:snapToGrid w:val="0"/>
          <w:kern w:val="0"/>
          <w:sz w:val="32"/>
          <w:szCs w:val="32"/>
        </w:rPr>
        <w:t xml:space="preserve"> </w:t>
      </w:r>
      <w:r>
        <w:rPr>
          <w:rFonts w:hint="eastAsia" w:ascii="Times New Roman" w:hAnsi="Times New Roman" w:eastAsia="仿宋_GB2312" w:cs="Times New Roman"/>
          <w:b/>
          <w:bCs/>
          <w:snapToGrid w:val="0"/>
          <w:kern w:val="0"/>
          <w:sz w:val="32"/>
          <w:szCs w:val="32"/>
        </w:rPr>
        <w:t>项目绩效指标目标值及实现值</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5"/>
        <w:gridCol w:w="2241"/>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2355" w:type="dxa"/>
            <w:vAlign w:val="center"/>
          </w:tcPr>
          <w:p>
            <w:pPr>
              <w:spacing w:line="560" w:lineRule="atLeast"/>
              <w:ind w:firstLine="482" w:firstLineChars="200"/>
              <w:rPr>
                <w:rFonts w:ascii="宋体" w:hAnsi="宋体" w:eastAsia="宋体"/>
                <w:b/>
                <w:bCs/>
                <w:sz w:val="24"/>
                <w:szCs w:val="24"/>
              </w:rPr>
            </w:pPr>
            <w:r>
              <w:rPr>
                <w:rFonts w:hint="eastAsia" w:ascii="宋体" w:hAnsi="宋体" w:eastAsia="宋体"/>
                <w:b/>
                <w:bCs/>
                <w:sz w:val="24"/>
                <w:szCs w:val="24"/>
              </w:rPr>
              <w:t>指标名称</w:t>
            </w:r>
          </w:p>
        </w:tc>
        <w:tc>
          <w:tcPr>
            <w:tcW w:w="2241" w:type="dxa"/>
            <w:vAlign w:val="center"/>
          </w:tcPr>
          <w:p>
            <w:pPr>
              <w:spacing w:line="560" w:lineRule="atLeast"/>
              <w:jc w:val="center"/>
              <w:rPr>
                <w:rFonts w:ascii="宋体" w:hAnsi="宋体" w:eastAsia="宋体"/>
                <w:b/>
                <w:bCs/>
                <w:sz w:val="24"/>
                <w:szCs w:val="24"/>
              </w:rPr>
            </w:pPr>
            <w:r>
              <w:rPr>
                <w:rFonts w:hint="eastAsia" w:ascii="宋体" w:hAnsi="宋体" w:eastAsia="宋体"/>
                <w:b/>
                <w:bCs/>
                <w:sz w:val="24"/>
                <w:szCs w:val="24"/>
              </w:rPr>
              <w:t>目标值</w:t>
            </w:r>
          </w:p>
        </w:tc>
        <w:tc>
          <w:tcPr>
            <w:tcW w:w="3926" w:type="dxa"/>
            <w:vAlign w:val="center"/>
          </w:tcPr>
          <w:p>
            <w:pPr>
              <w:spacing w:line="560" w:lineRule="atLeast"/>
              <w:jc w:val="center"/>
              <w:rPr>
                <w:rFonts w:ascii="宋体" w:hAnsi="宋体" w:eastAsia="宋体"/>
                <w:b/>
                <w:bCs/>
                <w:sz w:val="24"/>
                <w:szCs w:val="24"/>
              </w:rPr>
            </w:pPr>
            <w:r>
              <w:rPr>
                <w:rFonts w:hint="eastAsia" w:ascii="宋体" w:hAnsi="宋体" w:eastAsia="宋体"/>
                <w:b/>
                <w:bCs/>
                <w:sz w:val="24"/>
                <w:szCs w:val="24"/>
              </w:rPr>
              <w:t>实现完成值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55" w:type="dxa"/>
            <w:vAlign w:val="center"/>
          </w:tcPr>
          <w:p>
            <w:pPr>
              <w:spacing w:line="560" w:lineRule="atLeast"/>
              <w:rPr>
                <w:rFonts w:ascii="宋体" w:hAnsi="宋体" w:eastAsia="宋体"/>
                <w:sz w:val="24"/>
                <w:szCs w:val="24"/>
              </w:rPr>
            </w:pPr>
            <w:r>
              <w:rPr>
                <w:rFonts w:hint="eastAsia" w:ascii="宋体" w:hAnsi="宋体" w:eastAsia="宋体"/>
                <w:sz w:val="24"/>
                <w:szCs w:val="24"/>
              </w:rPr>
              <w:t>采购2台万兆防火墙部署在边界区</w:t>
            </w:r>
          </w:p>
        </w:tc>
        <w:tc>
          <w:tcPr>
            <w:tcW w:w="2241"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2台</w:t>
            </w:r>
          </w:p>
        </w:tc>
        <w:tc>
          <w:tcPr>
            <w:tcW w:w="3926"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55" w:type="dxa"/>
            <w:vAlign w:val="center"/>
          </w:tcPr>
          <w:p>
            <w:pPr>
              <w:spacing w:line="560" w:lineRule="atLeast"/>
              <w:rPr>
                <w:rFonts w:ascii="宋体" w:hAnsi="宋体" w:eastAsia="宋体"/>
                <w:sz w:val="24"/>
                <w:szCs w:val="24"/>
              </w:rPr>
            </w:pPr>
            <w:r>
              <w:rPr>
                <w:rFonts w:hint="eastAsia" w:ascii="宋体" w:hAnsi="宋体" w:eastAsia="宋体"/>
                <w:sz w:val="24"/>
                <w:szCs w:val="24"/>
              </w:rPr>
              <w:t>1台数据中心区域万兆防火墙</w:t>
            </w:r>
          </w:p>
        </w:tc>
        <w:tc>
          <w:tcPr>
            <w:tcW w:w="2241"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1台</w:t>
            </w:r>
          </w:p>
        </w:tc>
        <w:tc>
          <w:tcPr>
            <w:tcW w:w="3926"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55" w:type="dxa"/>
            <w:vAlign w:val="center"/>
          </w:tcPr>
          <w:p>
            <w:pPr>
              <w:spacing w:line="560" w:lineRule="atLeast"/>
              <w:rPr>
                <w:rFonts w:ascii="宋体" w:hAnsi="宋体" w:eastAsia="宋体"/>
                <w:sz w:val="24"/>
                <w:szCs w:val="24"/>
              </w:rPr>
            </w:pPr>
            <w:r>
              <w:rPr>
                <w:rFonts w:hint="eastAsia" w:ascii="宋体" w:hAnsi="宋体" w:eastAsia="宋体"/>
                <w:sz w:val="24"/>
                <w:szCs w:val="24"/>
              </w:rPr>
              <w:t>2台华为云平台万兆防火墙</w:t>
            </w:r>
          </w:p>
        </w:tc>
        <w:tc>
          <w:tcPr>
            <w:tcW w:w="2241"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2台</w:t>
            </w:r>
          </w:p>
        </w:tc>
        <w:tc>
          <w:tcPr>
            <w:tcW w:w="3926"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55" w:type="dxa"/>
            <w:vAlign w:val="center"/>
          </w:tcPr>
          <w:p>
            <w:pPr>
              <w:spacing w:line="560" w:lineRule="atLeast"/>
              <w:rPr>
                <w:rFonts w:ascii="宋体" w:hAnsi="宋体" w:eastAsia="宋体"/>
                <w:sz w:val="24"/>
                <w:szCs w:val="24"/>
              </w:rPr>
            </w:pPr>
            <w:r>
              <w:rPr>
                <w:rFonts w:hint="eastAsia" w:ascii="宋体" w:hAnsi="宋体" w:eastAsia="宋体"/>
                <w:sz w:val="24"/>
                <w:szCs w:val="24"/>
              </w:rPr>
              <w:t>1套态势感知系统</w:t>
            </w:r>
          </w:p>
        </w:tc>
        <w:tc>
          <w:tcPr>
            <w:tcW w:w="2241"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1套</w:t>
            </w:r>
          </w:p>
        </w:tc>
        <w:tc>
          <w:tcPr>
            <w:tcW w:w="3926"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55" w:type="dxa"/>
            <w:vAlign w:val="center"/>
          </w:tcPr>
          <w:p>
            <w:pPr>
              <w:spacing w:line="560" w:lineRule="atLeast"/>
              <w:rPr>
                <w:rFonts w:ascii="宋体" w:hAnsi="宋体" w:eastAsia="宋体"/>
                <w:sz w:val="24"/>
                <w:szCs w:val="24"/>
              </w:rPr>
            </w:pPr>
            <w:r>
              <w:rPr>
                <w:rFonts w:hint="eastAsia" w:ascii="宋体" w:hAnsi="宋体" w:eastAsia="宋体"/>
                <w:sz w:val="24"/>
                <w:szCs w:val="24"/>
              </w:rPr>
              <w:t>1套终端安全管理系统</w:t>
            </w:r>
          </w:p>
        </w:tc>
        <w:tc>
          <w:tcPr>
            <w:tcW w:w="2241"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1套</w:t>
            </w:r>
          </w:p>
        </w:tc>
        <w:tc>
          <w:tcPr>
            <w:tcW w:w="3926"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 w:hRule="atLeast"/>
          <w:jc w:val="center"/>
        </w:trPr>
        <w:tc>
          <w:tcPr>
            <w:tcW w:w="2355" w:type="dxa"/>
            <w:vAlign w:val="center"/>
          </w:tcPr>
          <w:p>
            <w:pPr>
              <w:spacing w:line="560" w:lineRule="atLeast"/>
              <w:rPr>
                <w:rFonts w:ascii="宋体" w:hAnsi="宋体" w:eastAsia="宋体"/>
                <w:sz w:val="24"/>
                <w:szCs w:val="24"/>
              </w:rPr>
            </w:pPr>
            <w:r>
              <w:rPr>
                <w:rFonts w:hint="eastAsia" w:ascii="宋体" w:hAnsi="宋体" w:eastAsia="宋体"/>
                <w:sz w:val="24"/>
                <w:szCs w:val="24"/>
              </w:rPr>
              <w:t>1台上网行为管理</w:t>
            </w:r>
          </w:p>
        </w:tc>
        <w:tc>
          <w:tcPr>
            <w:tcW w:w="2241"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1台</w:t>
            </w:r>
          </w:p>
        </w:tc>
        <w:tc>
          <w:tcPr>
            <w:tcW w:w="3926"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55" w:type="dxa"/>
            <w:vAlign w:val="center"/>
          </w:tcPr>
          <w:p>
            <w:pPr>
              <w:spacing w:line="560" w:lineRule="atLeast"/>
              <w:rPr>
                <w:rFonts w:ascii="宋体" w:hAnsi="宋体" w:eastAsia="宋体"/>
                <w:sz w:val="24"/>
                <w:szCs w:val="24"/>
              </w:rPr>
            </w:pPr>
            <w:r>
              <w:rPr>
                <w:rFonts w:hint="eastAsia" w:ascii="宋体" w:hAnsi="宋体" w:eastAsia="宋体"/>
                <w:sz w:val="24"/>
                <w:szCs w:val="24"/>
              </w:rPr>
              <w:t>边界区万兆防火墙处理能力</w:t>
            </w:r>
          </w:p>
        </w:tc>
        <w:tc>
          <w:tcPr>
            <w:tcW w:w="2241"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提高网络层吞吐量，防止出现端口异常和宕机</w:t>
            </w:r>
          </w:p>
        </w:tc>
        <w:tc>
          <w:tcPr>
            <w:tcW w:w="3926"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网络层吞吐量达到40G，投入使用以来网络稳定。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55" w:type="dxa"/>
            <w:vAlign w:val="center"/>
          </w:tcPr>
          <w:p>
            <w:pPr>
              <w:spacing w:line="560" w:lineRule="atLeast"/>
              <w:rPr>
                <w:rFonts w:ascii="宋体" w:hAnsi="宋体" w:eastAsia="宋体"/>
                <w:sz w:val="24"/>
                <w:szCs w:val="24"/>
              </w:rPr>
            </w:pPr>
            <w:r>
              <w:rPr>
                <w:rFonts w:hint="eastAsia" w:ascii="宋体" w:hAnsi="宋体" w:eastAsia="宋体"/>
                <w:sz w:val="24"/>
                <w:szCs w:val="24"/>
              </w:rPr>
              <w:t>华为云区域内防火墙</w:t>
            </w:r>
          </w:p>
        </w:tc>
        <w:tc>
          <w:tcPr>
            <w:tcW w:w="2241"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千兆网络升级到万兆网络</w:t>
            </w:r>
          </w:p>
        </w:tc>
        <w:tc>
          <w:tcPr>
            <w:tcW w:w="3926"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千兆网络升级到万兆网络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55" w:type="dxa"/>
            <w:vAlign w:val="center"/>
          </w:tcPr>
          <w:p>
            <w:pPr>
              <w:spacing w:line="560" w:lineRule="atLeast"/>
              <w:rPr>
                <w:rFonts w:ascii="宋体" w:hAnsi="宋体" w:eastAsia="宋体"/>
                <w:sz w:val="24"/>
                <w:szCs w:val="24"/>
              </w:rPr>
            </w:pPr>
            <w:r>
              <w:rPr>
                <w:rFonts w:hint="eastAsia" w:ascii="宋体" w:hAnsi="宋体" w:eastAsia="宋体"/>
                <w:sz w:val="24"/>
                <w:szCs w:val="24"/>
              </w:rPr>
              <w:t>数据中心区域防火墙</w:t>
            </w:r>
          </w:p>
        </w:tc>
        <w:tc>
          <w:tcPr>
            <w:tcW w:w="2241"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千兆网络升级到万兆网络</w:t>
            </w:r>
          </w:p>
        </w:tc>
        <w:tc>
          <w:tcPr>
            <w:tcW w:w="3926"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千兆网络升级到万兆网络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55" w:type="dxa"/>
            <w:vAlign w:val="center"/>
          </w:tcPr>
          <w:p>
            <w:pPr>
              <w:spacing w:line="560" w:lineRule="atLeast"/>
              <w:rPr>
                <w:rFonts w:ascii="宋体" w:hAnsi="宋体" w:eastAsia="宋体"/>
                <w:sz w:val="24"/>
                <w:szCs w:val="24"/>
              </w:rPr>
            </w:pPr>
            <w:r>
              <w:rPr>
                <w:rFonts w:hint="eastAsia" w:ascii="宋体" w:hAnsi="宋体" w:eastAsia="宋体"/>
                <w:sz w:val="24"/>
                <w:szCs w:val="24"/>
              </w:rPr>
              <w:t>态势感知系统</w:t>
            </w:r>
          </w:p>
        </w:tc>
        <w:tc>
          <w:tcPr>
            <w:tcW w:w="2241"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实现检测用户流量访问，实时分析数据异常</w:t>
            </w:r>
          </w:p>
        </w:tc>
        <w:tc>
          <w:tcPr>
            <w:tcW w:w="3926"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实现检测用户流量访问，实时分析数据异常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55" w:type="dxa"/>
            <w:vAlign w:val="center"/>
          </w:tcPr>
          <w:p>
            <w:pPr>
              <w:spacing w:line="560" w:lineRule="atLeast"/>
              <w:rPr>
                <w:rFonts w:ascii="宋体" w:hAnsi="宋体" w:eastAsia="宋体"/>
                <w:sz w:val="24"/>
                <w:szCs w:val="24"/>
              </w:rPr>
            </w:pPr>
            <w:r>
              <w:rPr>
                <w:rFonts w:hint="eastAsia" w:ascii="宋体" w:hAnsi="宋体" w:eastAsia="宋体"/>
                <w:sz w:val="24"/>
                <w:szCs w:val="24"/>
              </w:rPr>
              <w:t>上网行为管理</w:t>
            </w:r>
          </w:p>
        </w:tc>
        <w:tc>
          <w:tcPr>
            <w:tcW w:w="2241"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实现IP与MAC地址绑定</w:t>
            </w:r>
          </w:p>
        </w:tc>
        <w:tc>
          <w:tcPr>
            <w:tcW w:w="3926"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实现IP与MAC地址绑定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55" w:type="dxa"/>
            <w:vAlign w:val="center"/>
          </w:tcPr>
          <w:p>
            <w:pPr>
              <w:spacing w:line="560" w:lineRule="atLeast"/>
              <w:rPr>
                <w:rFonts w:ascii="宋体" w:hAnsi="宋体" w:eastAsia="宋体"/>
                <w:sz w:val="24"/>
                <w:szCs w:val="24"/>
              </w:rPr>
            </w:pPr>
            <w:r>
              <w:rPr>
                <w:rFonts w:hint="eastAsia" w:ascii="宋体" w:hAnsi="宋体" w:eastAsia="宋体"/>
                <w:sz w:val="24"/>
                <w:szCs w:val="24"/>
              </w:rPr>
              <w:t>终端安全管理系统</w:t>
            </w:r>
          </w:p>
        </w:tc>
        <w:tc>
          <w:tcPr>
            <w:tcW w:w="2241"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实现病毒扫描，入侵拦截功能。</w:t>
            </w:r>
          </w:p>
        </w:tc>
        <w:tc>
          <w:tcPr>
            <w:tcW w:w="3926"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实现病毒扫描，入侵拦截功能。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55" w:type="dxa"/>
            <w:vAlign w:val="center"/>
          </w:tcPr>
          <w:p>
            <w:pPr>
              <w:spacing w:line="560" w:lineRule="atLeast"/>
              <w:rPr>
                <w:rFonts w:ascii="宋体" w:hAnsi="宋体" w:eastAsia="宋体"/>
                <w:sz w:val="24"/>
                <w:szCs w:val="24"/>
              </w:rPr>
            </w:pPr>
            <w:r>
              <w:rPr>
                <w:rFonts w:hint="eastAsia" w:ascii="宋体" w:hAnsi="宋体" w:eastAsia="宋体"/>
                <w:sz w:val="24"/>
                <w:szCs w:val="24"/>
              </w:rPr>
              <w:t>项目经费</w:t>
            </w:r>
          </w:p>
        </w:tc>
        <w:tc>
          <w:tcPr>
            <w:tcW w:w="2241"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未设置</w:t>
            </w:r>
          </w:p>
        </w:tc>
        <w:tc>
          <w:tcPr>
            <w:tcW w:w="3926"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未设置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55" w:type="dxa"/>
            <w:vAlign w:val="center"/>
          </w:tcPr>
          <w:p>
            <w:pPr>
              <w:spacing w:line="560" w:lineRule="atLeast"/>
              <w:rPr>
                <w:rFonts w:ascii="宋体" w:hAnsi="宋体" w:eastAsia="宋体"/>
                <w:sz w:val="24"/>
                <w:szCs w:val="24"/>
              </w:rPr>
            </w:pPr>
            <w:r>
              <w:rPr>
                <w:rFonts w:hint="eastAsia" w:ascii="宋体" w:hAnsi="宋体" w:eastAsia="宋体"/>
                <w:sz w:val="24"/>
                <w:szCs w:val="24"/>
              </w:rPr>
              <w:t>项目交付使用</w:t>
            </w:r>
          </w:p>
        </w:tc>
        <w:tc>
          <w:tcPr>
            <w:tcW w:w="2241"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2021年9月上旬</w:t>
            </w:r>
          </w:p>
        </w:tc>
        <w:tc>
          <w:tcPr>
            <w:tcW w:w="3926" w:type="dxa"/>
            <w:vAlign w:val="center"/>
          </w:tcPr>
          <w:p>
            <w:pPr>
              <w:spacing w:line="560" w:lineRule="atLeast"/>
              <w:jc w:val="center"/>
              <w:rPr>
                <w:rFonts w:ascii="宋体" w:hAnsi="宋体" w:eastAsia="宋体"/>
                <w:sz w:val="24"/>
                <w:szCs w:val="24"/>
              </w:rPr>
            </w:pPr>
            <w:r>
              <w:rPr>
                <w:rFonts w:ascii="宋体" w:hAnsi="宋体" w:eastAsia="宋体"/>
                <w:sz w:val="24"/>
                <w:szCs w:val="24"/>
              </w:rPr>
              <w:t>2021年9月29日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 w:hRule="atLeast"/>
          <w:jc w:val="center"/>
        </w:trPr>
        <w:tc>
          <w:tcPr>
            <w:tcW w:w="2355" w:type="dxa"/>
            <w:vAlign w:val="center"/>
          </w:tcPr>
          <w:p>
            <w:pPr>
              <w:spacing w:line="560" w:lineRule="atLeast"/>
              <w:rPr>
                <w:rFonts w:ascii="宋体" w:hAnsi="宋体" w:eastAsia="宋体"/>
                <w:sz w:val="24"/>
                <w:szCs w:val="24"/>
              </w:rPr>
            </w:pPr>
            <w:r>
              <w:rPr>
                <w:rFonts w:hint="eastAsia" w:ascii="宋体" w:hAnsi="宋体" w:eastAsia="宋体"/>
                <w:sz w:val="24"/>
                <w:szCs w:val="24"/>
              </w:rPr>
              <w:t>安全能力</w:t>
            </w:r>
          </w:p>
        </w:tc>
        <w:tc>
          <w:tcPr>
            <w:tcW w:w="2241"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减少应用服务器的攻击层面，减少漏洞被黑客利用</w:t>
            </w:r>
          </w:p>
        </w:tc>
        <w:tc>
          <w:tcPr>
            <w:tcW w:w="3926"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任何访问应用服务器的流量都会被防火墙进行深度过滤，发现威胁会进行主动阻断。实现对黑客攻击行为进行防御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 w:hRule="atLeast"/>
          <w:jc w:val="center"/>
        </w:trPr>
        <w:tc>
          <w:tcPr>
            <w:tcW w:w="2355" w:type="dxa"/>
            <w:vAlign w:val="center"/>
          </w:tcPr>
          <w:p>
            <w:pPr>
              <w:spacing w:line="560" w:lineRule="atLeast"/>
              <w:rPr>
                <w:rFonts w:ascii="宋体" w:hAnsi="宋体" w:eastAsia="宋体"/>
                <w:sz w:val="24"/>
                <w:szCs w:val="24"/>
              </w:rPr>
            </w:pPr>
            <w:r>
              <w:rPr>
                <w:rFonts w:hint="eastAsia" w:ascii="宋体" w:hAnsi="宋体" w:eastAsia="宋体"/>
                <w:sz w:val="24"/>
                <w:szCs w:val="24"/>
              </w:rPr>
              <w:t>系统故障率</w:t>
            </w:r>
          </w:p>
        </w:tc>
        <w:tc>
          <w:tcPr>
            <w:tcW w:w="2241"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减少核心层导致的网络故障。</w:t>
            </w:r>
          </w:p>
        </w:tc>
        <w:tc>
          <w:tcPr>
            <w:tcW w:w="3926"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未能实现长期检测网络故障能力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 w:hRule="atLeast"/>
          <w:jc w:val="center"/>
        </w:trPr>
        <w:tc>
          <w:tcPr>
            <w:tcW w:w="2355" w:type="dxa"/>
            <w:vAlign w:val="center"/>
          </w:tcPr>
          <w:p>
            <w:pPr>
              <w:spacing w:line="560" w:lineRule="atLeast"/>
              <w:rPr>
                <w:rFonts w:ascii="宋体" w:hAnsi="宋体" w:eastAsia="宋体"/>
                <w:sz w:val="24"/>
                <w:szCs w:val="24"/>
              </w:rPr>
            </w:pPr>
            <w:r>
              <w:rPr>
                <w:rFonts w:hint="eastAsia" w:ascii="宋体" w:hAnsi="宋体" w:eastAsia="宋体"/>
                <w:sz w:val="24"/>
                <w:szCs w:val="24"/>
              </w:rPr>
              <w:t>网络通畅，提升群众办事感知</w:t>
            </w:r>
          </w:p>
        </w:tc>
        <w:tc>
          <w:tcPr>
            <w:tcW w:w="2241"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投入使用后网络通畅，方便群众办理政务业务，提高用户使用体验。</w:t>
            </w:r>
          </w:p>
        </w:tc>
        <w:tc>
          <w:tcPr>
            <w:tcW w:w="3926" w:type="dxa"/>
            <w:vAlign w:val="center"/>
          </w:tcPr>
          <w:p>
            <w:pPr>
              <w:spacing w:line="560" w:lineRule="atLeast"/>
              <w:jc w:val="center"/>
              <w:rPr>
                <w:rFonts w:ascii="宋体" w:hAnsi="宋体" w:eastAsia="宋体"/>
                <w:sz w:val="24"/>
                <w:szCs w:val="24"/>
              </w:rPr>
            </w:pPr>
            <w:r>
              <w:rPr>
                <w:rFonts w:hint="eastAsia" w:ascii="宋体" w:hAnsi="宋体" w:eastAsia="宋体"/>
                <w:sz w:val="24"/>
                <w:szCs w:val="24"/>
              </w:rPr>
              <w:t>网络运行稳定，暂未发现网络故障影响政务系统使用。</w:t>
            </w:r>
          </w:p>
        </w:tc>
      </w:tr>
    </w:tbl>
    <w:p>
      <w:pPr>
        <w:adjustRightInd w:val="0"/>
        <w:snapToGrid w:val="0"/>
        <w:spacing w:line="560" w:lineRule="exact"/>
        <w:ind w:firstLine="640" w:firstLineChars="200"/>
        <w:outlineLvl w:val="1"/>
        <w:rPr>
          <w:rFonts w:ascii="楷体" w:hAnsi="楷体" w:eastAsia="楷体" w:cs="楷体"/>
          <w:snapToGrid w:val="0"/>
          <w:kern w:val="0"/>
          <w:sz w:val="32"/>
          <w:szCs w:val="32"/>
        </w:rPr>
      </w:pPr>
      <w:r>
        <w:rPr>
          <w:rFonts w:hint="eastAsia" w:ascii="楷体" w:hAnsi="楷体" w:eastAsia="楷体" w:cs="楷体"/>
          <w:snapToGrid w:val="0"/>
          <w:kern w:val="0"/>
          <w:sz w:val="32"/>
          <w:szCs w:val="32"/>
        </w:rPr>
        <w:t>（二）主要绩效</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前政务数据局使用的为千兆防火墙，数据处理能力上线为6Mbps，项目实施后防火墙数据处理能力上限升级至24Gbps，有效提升了网络的稳定性以及网络反应速度，使得群众在使用各项公共网络设备是提高效率，节约时间。同时项目实施前防火墙功能均比较薄弱，通过本次项目升级防火墙以及感知系统等，对电子政务外网进行了安全加固，提升主动防御功能，实时监控网络数据的波动，自动修复网络漏洞，有效的提升了网络安全和信息安全。</w:t>
      </w:r>
    </w:p>
    <w:p>
      <w:pPr>
        <w:adjustRightInd w:val="0"/>
        <w:spacing w:line="560" w:lineRule="exact"/>
        <w:ind w:firstLine="640" w:firstLineChars="200"/>
        <w:outlineLvl w:val="0"/>
        <w:rPr>
          <w:rFonts w:ascii="Times New Roman" w:hAnsi="Times New Roman" w:eastAsia="黑体" w:cs="Times New Roman"/>
          <w:snapToGrid w:val="0"/>
          <w:kern w:val="0"/>
          <w:sz w:val="32"/>
          <w:szCs w:val="32"/>
        </w:rPr>
      </w:pPr>
      <w:r>
        <w:rPr>
          <w:rFonts w:hint="eastAsia" w:ascii="Times New Roman" w:hAnsi="Times New Roman" w:eastAsia="黑体" w:cs="Times New Roman"/>
          <w:snapToGrid w:val="0"/>
          <w:kern w:val="0"/>
          <w:sz w:val="32"/>
          <w:szCs w:val="32"/>
        </w:rPr>
        <w:t>三、</w:t>
      </w:r>
      <w:r>
        <w:rPr>
          <w:rFonts w:ascii="Times New Roman" w:hAnsi="Times New Roman" w:eastAsia="黑体" w:cs="Times New Roman"/>
          <w:snapToGrid w:val="0"/>
          <w:kern w:val="0"/>
          <w:sz w:val="32"/>
          <w:szCs w:val="32"/>
        </w:rPr>
        <w:t>存在的问题</w:t>
      </w:r>
      <w:r>
        <w:rPr>
          <w:rFonts w:hint="eastAsia" w:ascii="Times New Roman" w:hAnsi="Times New Roman" w:eastAsia="黑体" w:cs="Times New Roman"/>
          <w:snapToGrid w:val="0"/>
          <w:kern w:val="0"/>
          <w:sz w:val="32"/>
          <w:szCs w:val="32"/>
        </w:rPr>
        <w:t>及建议</w:t>
      </w:r>
    </w:p>
    <w:p>
      <w:pPr>
        <w:adjustRightInd w:val="0"/>
        <w:spacing w:line="560" w:lineRule="exact"/>
        <w:ind w:firstLine="640" w:firstLineChars="200"/>
        <w:outlineLvl w:val="1"/>
        <w:rPr>
          <w:rFonts w:ascii="楷体" w:hAnsi="楷体" w:eastAsia="楷体" w:cs="楷体"/>
          <w:snapToGrid w:val="0"/>
          <w:kern w:val="0"/>
          <w:sz w:val="32"/>
          <w:szCs w:val="32"/>
        </w:rPr>
      </w:pPr>
      <w:r>
        <w:rPr>
          <w:rFonts w:hint="eastAsia" w:ascii="楷体" w:hAnsi="楷体" w:eastAsia="楷体" w:cs="楷体"/>
          <w:snapToGrid w:val="0"/>
          <w:kern w:val="0"/>
          <w:sz w:val="32"/>
          <w:szCs w:val="32"/>
        </w:rPr>
        <w:t>（一）存在问题</w:t>
      </w:r>
    </w:p>
    <w:p>
      <w:pPr>
        <w:ind w:firstLine="640" w:firstLineChars="200"/>
        <w:outlineLvl w:val="2"/>
        <w:rPr>
          <w:rFonts w:hint="eastAsia" w:ascii="仿宋_GB2312" w:hAnsi="仿宋_GB2312" w:eastAsia="仿宋_GB2312" w:cs="仿宋_GB2312"/>
          <w:sz w:val="32"/>
          <w:szCs w:val="32"/>
        </w:rPr>
      </w:pPr>
      <w:bookmarkStart w:id="8" w:name="_Toc113463033"/>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系统管控有待加强</w:t>
      </w:r>
      <w:bookmarkEnd w:id="8"/>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购买SIP-1000-B400-GD设备后实现了实时管控流量的稳定性，但不能实现保留长期管控的状态，仅实现了实时监控1小时内稳定状态。</w:t>
      </w:r>
    </w:p>
    <w:p>
      <w:pPr>
        <w:ind w:firstLine="640" w:firstLineChars="200"/>
        <w:outlineLvl w:val="2"/>
        <w:rPr>
          <w:rFonts w:hint="eastAsia" w:ascii="仿宋_GB2312" w:hAnsi="仿宋_GB2312" w:eastAsia="仿宋_GB2312" w:cs="仿宋_GB2312"/>
          <w:sz w:val="32"/>
          <w:szCs w:val="32"/>
        </w:rPr>
      </w:pPr>
      <w:bookmarkStart w:id="9" w:name="_Toc113463034"/>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指标设置有待完善</w:t>
      </w:r>
      <w:bookmarkEnd w:id="9"/>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被复核单位提供的项目支出绩效自评表发现评分总分为110分，不符合评分规则合理化，成本指标设置属于共性指标且存在未设置年度指标以及实际完成指标值，无法明确该指标评分机制的情况，以及量化指标未明确计算方法。</w:t>
      </w:r>
    </w:p>
    <w:p>
      <w:pPr>
        <w:ind w:firstLine="640" w:firstLineChars="200"/>
        <w:outlineLvl w:val="2"/>
        <w:rPr>
          <w:rFonts w:hint="eastAsia" w:ascii="仿宋_GB2312" w:hAnsi="仿宋_GB2312" w:eastAsia="仿宋_GB2312" w:cs="仿宋_GB2312"/>
          <w:sz w:val="32"/>
          <w:szCs w:val="32"/>
        </w:rPr>
      </w:pPr>
      <w:bookmarkStart w:id="10" w:name="_Toc113313542"/>
      <w:bookmarkStart w:id="11" w:name="_Toc31852"/>
      <w:bookmarkStart w:id="12" w:name="_Toc113463035"/>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预算执行率较低</w:t>
      </w:r>
      <w:bookmarkEnd w:id="10"/>
      <w:bookmarkEnd w:id="11"/>
      <w:bookmarkEnd w:id="12"/>
    </w:p>
    <w:p>
      <w:pPr>
        <w:widowControl/>
        <w:spacing w:line="360" w:lineRule="auto"/>
        <w:ind w:firstLine="640" w:firstLineChars="200"/>
        <w:rPr>
          <w:rFonts w:ascii="仿宋_GB2312" w:hAnsi="仿宋" w:eastAsia="仿宋_GB2312" w:cs="仿宋"/>
          <w:bCs/>
          <w:sz w:val="32"/>
          <w:szCs w:val="32"/>
        </w:rPr>
      </w:pPr>
      <w:r>
        <w:rPr>
          <w:rFonts w:hint="eastAsia" w:ascii="仿宋_GB2312" w:hAnsi="仿宋_GB2312" w:eastAsia="仿宋_GB2312" w:cs="仿宋_GB2312"/>
          <w:bCs/>
          <w:sz w:val="32"/>
          <w:szCs w:val="32"/>
        </w:rPr>
        <w:t>项目实施单位未对项目进行准确、详细的预估前期预算，未积极主动与其他部门开展的类似项目进行横向比对，预算编制工作不够科学合理，</w:t>
      </w:r>
      <w:r>
        <w:rPr>
          <w:rFonts w:hint="eastAsia" w:ascii="仿宋_GB2312" w:hAnsi="仿宋_GB2312" w:eastAsia="仿宋_GB2312" w:cs="仿宋_GB2312"/>
          <w:sz w:val="32"/>
          <w:szCs w:val="32"/>
        </w:rPr>
        <w:t>根据立项文件与专项预算下达文件显示同意申请175.75万元为项目预算上限安排</w:t>
      </w:r>
      <w:r>
        <w:rPr>
          <w:rFonts w:hint="eastAsia" w:ascii="仿宋_GB2312" w:hAnsi="仿宋_GB2312" w:eastAsia="仿宋_GB2312" w:cs="仿宋_GB2312"/>
          <w:bCs/>
          <w:sz w:val="32"/>
          <w:szCs w:val="32"/>
        </w:rPr>
        <w:t>，根据被复核单位提供的《项目明细表》以及《相关支出凭证》发现实际执行数为144.62万元，预算数额与执行数额存在差异，预算执行率为仅为</w:t>
      </w:r>
      <w:r>
        <w:rPr>
          <w:rFonts w:hint="eastAsia" w:ascii="仿宋_GB2312" w:hAnsi="仿宋_GB2312" w:eastAsia="仿宋_GB2312" w:cs="仿宋_GB2312"/>
          <w:sz w:val="32"/>
          <w:szCs w:val="32"/>
        </w:rPr>
        <w:t>82%</w:t>
      </w:r>
      <w:r>
        <w:rPr>
          <w:rFonts w:hint="eastAsia" w:ascii="仿宋_GB2312" w:hAnsi="仿宋_GB2312" w:eastAsia="仿宋_GB2312" w:cs="仿宋_GB2312"/>
          <w:bCs/>
          <w:sz w:val="32"/>
          <w:szCs w:val="32"/>
        </w:rPr>
        <w:t>。</w:t>
      </w:r>
    </w:p>
    <w:p>
      <w:pPr>
        <w:adjustRightInd w:val="0"/>
        <w:spacing w:line="560" w:lineRule="exact"/>
        <w:ind w:firstLine="640" w:firstLineChars="200"/>
        <w:outlineLvl w:val="1"/>
        <w:rPr>
          <w:rFonts w:ascii="楷体" w:hAnsi="楷体" w:eastAsia="楷体" w:cs="楷体"/>
          <w:snapToGrid w:val="0"/>
          <w:kern w:val="0"/>
          <w:sz w:val="32"/>
          <w:szCs w:val="32"/>
        </w:rPr>
      </w:pPr>
      <w:r>
        <w:rPr>
          <w:rFonts w:hint="eastAsia" w:ascii="楷体" w:hAnsi="楷体" w:eastAsia="楷体" w:cs="楷体"/>
          <w:snapToGrid w:val="0"/>
          <w:kern w:val="0"/>
          <w:sz w:val="32"/>
          <w:szCs w:val="32"/>
        </w:rPr>
        <w:t>（二）相关建议</w:t>
      </w:r>
    </w:p>
    <w:p>
      <w:pPr>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bookmarkStart w:id="13" w:name="_Toc113463037"/>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加强系统管控</w:t>
      </w:r>
      <w:bookmarkEnd w:id="13"/>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针对SIP-1000-B400-GD设备的设置进行完善，升级相关硬盘容量，实现定期状态的保留与定期数据清理，根据数据进行对比，确认该系统的稳定性的保障。</w:t>
      </w:r>
    </w:p>
    <w:p>
      <w:pPr>
        <w:ind w:firstLine="640" w:firstLineChars="200"/>
        <w:outlineLvl w:val="2"/>
        <w:rPr>
          <w:rFonts w:hint="eastAsia" w:ascii="仿宋_GB2312" w:hAnsi="仿宋_GB2312" w:eastAsia="仿宋_GB2312" w:cs="仿宋_GB2312"/>
          <w:sz w:val="32"/>
          <w:szCs w:val="32"/>
        </w:rPr>
      </w:pPr>
      <w:bookmarkStart w:id="14" w:name="_Toc113463038"/>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完善指标设置</w:t>
      </w:r>
      <w:bookmarkEnd w:id="14"/>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根据存在不明确性的指标点做出改进措施，使得自评表内容能够较为明确的反应整体情况，比如成本指标情况评价标准内容可横向/竖向进行价格对比，得出是否存在节约成本。</w:t>
      </w:r>
    </w:p>
    <w:p>
      <w:pPr>
        <w:ind w:firstLine="640" w:firstLineChars="200"/>
        <w:outlineLvl w:val="2"/>
        <w:rPr>
          <w:rFonts w:hint="eastAsia" w:ascii="仿宋_GB2312" w:hAnsi="仿宋_GB2312" w:eastAsia="仿宋_GB2312" w:cs="仿宋_GB2312"/>
          <w:sz w:val="32"/>
          <w:szCs w:val="32"/>
        </w:rPr>
      </w:pPr>
      <w:bookmarkStart w:id="15" w:name="_Toc113463039"/>
      <w:bookmarkStart w:id="16" w:name="_Toc113313545"/>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提高预算编制水平，制定预算实施计划</w:t>
      </w:r>
      <w:bookmarkEnd w:id="15"/>
      <w:bookmarkEnd w:id="16"/>
    </w:p>
    <w:p>
      <w:pPr>
        <w:widowControl/>
        <w:spacing w:line="360" w:lineRule="auto"/>
        <w:ind w:firstLine="720" w:firstLineChars="225"/>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建议项目实施单位在进行预算编制工作时需要给编制人员预留充足的时间，根据项目的实际情况详尽地编制预算。在编制外网安全设备采购的预算金额同时，应当提前编制详细的实施计划，做好项目规划和可行性论证等前期准备工作，确保预算执行的准确及时高效。在实施的过程中如若发现变化较大的情况应该及时调整预算，整合资源，提高预算执行率。</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E2ZTA1ZTZhOTBjNWU4NTM2Zjg2MDY4MjAyODM4OTgifQ=="/>
  </w:docVars>
  <w:rsids>
    <w:rsidRoot w:val="00B54156"/>
    <w:rsid w:val="000B2D8F"/>
    <w:rsid w:val="004966DE"/>
    <w:rsid w:val="00556966"/>
    <w:rsid w:val="005671FF"/>
    <w:rsid w:val="00663A97"/>
    <w:rsid w:val="006A27C4"/>
    <w:rsid w:val="006E53A3"/>
    <w:rsid w:val="00724BB6"/>
    <w:rsid w:val="00725FB4"/>
    <w:rsid w:val="00775AE0"/>
    <w:rsid w:val="007E5152"/>
    <w:rsid w:val="007F0AFF"/>
    <w:rsid w:val="008531A8"/>
    <w:rsid w:val="00855BA0"/>
    <w:rsid w:val="00856304"/>
    <w:rsid w:val="0090770D"/>
    <w:rsid w:val="00946EA5"/>
    <w:rsid w:val="00A84E50"/>
    <w:rsid w:val="00AE25A7"/>
    <w:rsid w:val="00B44EEA"/>
    <w:rsid w:val="00B54156"/>
    <w:rsid w:val="00BF3337"/>
    <w:rsid w:val="00D01FC2"/>
    <w:rsid w:val="00DA5E76"/>
    <w:rsid w:val="00E85730"/>
    <w:rsid w:val="00ED0712"/>
    <w:rsid w:val="00F16734"/>
    <w:rsid w:val="00F27428"/>
    <w:rsid w:val="00FB1E98"/>
    <w:rsid w:val="0E1327A4"/>
    <w:rsid w:val="0E4C433C"/>
    <w:rsid w:val="18792A68"/>
    <w:rsid w:val="342A7B93"/>
    <w:rsid w:val="44316F05"/>
    <w:rsid w:val="4A2D03BB"/>
    <w:rsid w:val="5CCA43CC"/>
    <w:rsid w:val="6BF9102B"/>
    <w:rsid w:val="73F92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9"/>
    <w:qFormat/>
    <w:uiPriority w:val="0"/>
    <w:pPr>
      <w:keepNext/>
      <w:keepLines/>
      <w:spacing w:before="260" w:after="260" w:line="413" w:lineRule="auto"/>
      <w:outlineLvl w:val="1"/>
    </w:pPr>
    <w:rPr>
      <w:rFonts w:ascii="Arial" w:hAnsi="Arial" w:eastAsia="黑体" w:cs="Times New Roman"/>
      <w:b/>
      <w:sz w:val="32"/>
      <w:szCs w:val="24"/>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2 字符"/>
    <w:basedOn w:val="6"/>
    <w:link w:val="2"/>
    <w:qFormat/>
    <w:uiPriority w:val="0"/>
    <w:rPr>
      <w:rFonts w:ascii="Arial" w:hAnsi="Arial" w:eastAsia="黑体" w:cs="Times New Roman"/>
      <w:b/>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359</Words>
  <Characters>2048</Characters>
  <Lines>17</Lines>
  <Paragraphs>4</Paragraphs>
  <TotalTime>57</TotalTime>
  <ScaleCrop>false</ScaleCrop>
  <LinksUpToDate>false</LinksUpToDate>
  <CharactersWithSpaces>2403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2022-09-13T04:46:00Z</dcterms:created>
  <dc:creator>苏 浩</dc:creator>
  <cp:lastModifiedBy>区财政局</cp:lastModifiedBy>
  <dcterms:modified xsi:type="dcterms:W3CDTF">2022-10-08T10:59:46Z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CB99A87132C54891BE90CEA3B33FE0BE</vt:lpwstr>
  </property>
</Properties>
</file>