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w:t>
      </w:r>
      <w:bookmarkStart w:id="0" w:name="_Hlk112586782"/>
      <w:r>
        <w:rPr>
          <w:rFonts w:hint="eastAsia" w:ascii="方正小标宋_GBK" w:hAnsi="方正小标宋_GBK" w:eastAsia="方正小标宋_GBK" w:cs="方正小标宋_GBK"/>
          <w:b w:val="0"/>
          <w:bCs w:val="0"/>
          <w:sz w:val="44"/>
          <w:szCs w:val="44"/>
        </w:rPr>
        <w:t>021年广州市从化区应急管理局部门整体支出绩效自评复核简要报告</w:t>
      </w:r>
      <w:bookmarkEnd w:id="0"/>
    </w:p>
    <w:p>
      <w:pPr>
        <w:pStyle w:val="13"/>
        <w:ind w:firstLine="640"/>
        <w:jc w:val="center"/>
        <w:rPr>
          <w:rFonts w:hint="eastAsia"/>
        </w:rPr>
      </w:pPr>
    </w:p>
    <w:p>
      <w:pPr>
        <w:pStyle w:val="13"/>
        <w:ind w:firstLine="640"/>
        <w:jc w:val="center"/>
      </w:pPr>
      <w:bookmarkStart w:id="1" w:name="_GoBack"/>
      <w:bookmarkEnd w:id="1"/>
      <w:r>
        <w:rPr>
          <w:rFonts w:hint="eastAsia"/>
        </w:rPr>
        <w:t>广东诚安信会计师事务所（特殊普通合伙）</w:t>
      </w:r>
    </w:p>
    <w:p>
      <w:pPr>
        <w:pStyle w:val="2"/>
      </w:pPr>
    </w:p>
    <w:p>
      <w:pPr>
        <w:pStyle w:val="4"/>
        <w:ind w:firstLine="640"/>
      </w:pPr>
      <w:r>
        <w:rPr>
          <w:rFonts w:hint="eastAsia"/>
        </w:rPr>
        <w:t>一、复核概况</w:t>
      </w:r>
    </w:p>
    <w:p>
      <w:pPr>
        <w:ind w:firstLine="640"/>
      </w:pPr>
      <w:r>
        <w:rPr>
          <w:rFonts w:hint="eastAsia"/>
        </w:rPr>
        <w:t>受广州市从化区财政局的委托，广东诚安信会计师事务所（特殊普通合伙）对从化区应急管理局部门整体支出自评实施复核工作，形成复核报告。</w:t>
      </w:r>
    </w:p>
    <w:p>
      <w:pPr>
        <w:ind w:firstLine="640"/>
      </w:pPr>
      <w:r>
        <w:rPr>
          <w:rFonts w:hint="eastAsia"/>
        </w:rPr>
        <w:t>经复核，本次绩效评价综合得分为75.73</w:t>
      </w:r>
      <w:r>
        <w:t>分</w:t>
      </w:r>
      <w:r>
        <w:rPr>
          <w:rFonts w:hint="eastAsia"/>
        </w:rPr>
        <w:t>。</w:t>
      </w:r>
    </w:p>
    <w:p>
      <w:pPr>
        <w:pStyle w:val="5"/>
        <w:numPr>
          <w:ilvl w:val="0"/>
          <w:numId w:val="1"/>
        </w:numPr>
        <w:ind w:firstLineChars="0"/>
      </w:pPr>
      <w:r>
        <w:rPr>
          <w:rFonts w:hint="eastAsia"/>
        </w:rPr>
        <w:t>部门概况</w:t>
      </w:r>
    </w:p>
    <w:p>
      <w:pPr>
        <w:ind w:firstLine="640"/>
      </w:pPr>
      <w:r>
        <w:rPr>
          <w:rFonts w:hint="eastAsia"/>
        </w:rPr>
        <w:t>从化区应急管理局负责应急管理工作，指导全区各镇（街、园区）、各部门应对安全生产类、自然灾害类等突发事件和综合防灾减灾救灾工作。负责安全生产综合监督管理和工矿商贸行业安全生产监督管理工作。指导协调森林火灾、水旱灾害、冰冻、台风、地震和地质灾害等防治工作，负责自然灾害综合监测预警工作，指导开展自然灾害综合风险评估工作。</w:t>
      </w:r>
    </w:p>
    <w:p>
      <w:pPr>
        <w:ind w:firstLine="640"/>
      </w:pPr>
      <w:r>
        <w:rPr>
          <w:rFonts w:hint="eastAsia"/>
        </w:rPr>
        <w:t>该预算部门包括：从化区应急管理局局本级以及纳入编制范围的下属单位。下属单位具体包括：广州市从化区应急管理局宣传教育中心、广州市从化区森林防火指挥部办公室。</w:t>
      </w:r>
    </w:p>
    <w:p>
      <w:pPr>
        <w:pStyle w:val="2"/>
      </w:pPr>
    </w:p>
    <w:p>
      <w:pPr>
        <w:pStyle w:val="5"/>
        <w:ind w:firstLine="640"/>
      </w:pPr>
      <w:r>
        <w:rPr>
          <w:rFonts w:hint="eastAsia"/>
        </w:rPr>
        <w:t>（二）部门资金情况</w:t>
      </w:r>
    </w:p>
    <w:p>
      <w:pPr>
        <w:ind w:firstLine="640"/>
      </w:pPr>
      <w:r>
        <w:rPr>
          <w:rFonts w:hint="eastAsia"/>
        </w:rPr>
        <w:t>2021年度从化区应急管理局部门预算收入决算数7,515.47万元，支出决算数7,515.47万元，其中基本支出1,393.5万元，项目支出6,121.97万元。全年执行数7,515.47万元，预算执行率达到100%。其中基本支出1,393.5万元，项目支出6,121.97万元。</w:t>
      </w:r>
    </w:p>
    <w:p>
      <w:pPr>
        <w:pStyle w:val="4"/>
        <w:ind w:firstLine="640"/>
      </w:pPr>
      <w:r>
        <w:rPr>
          <w:rFonts w:hint="eastAsia"/>
        </w:rPr>
        <w:t>二、绩效目标</w:t>
      </w:r>
    </w:p>
    <w:p>
      <w:pPr>
        <w:pStyle w:val="5"/>
        <w:ind w:firstLine="640"/>
      </w:pPr>
      <w:r>
        <w:rPr>
          <w:rFonts w:hint="eastAsia"/>
        </w:rPr>
        <w:t>（一）目标设置情况</w:t>
      </w:r>
    </w:p>
    <w:p>
      <w:pPr>
        <w:ind w:firstLine="640"/>
      </w:pPr>
      <w:r>
        <w:rPr>
          <w:rFonts w:hint="eastAsia"/>
        </w:rPr>
        <w:t>根据《部门整体绩效自评表》，2021年度整体绩效目标：认真贯彻落实区委区政府工作部署，全力防范化解重大安全风险。细化应急管理、安全生产、防灾减灾、应急宣传教育工作任务，确保我区全年安全生产、防灾减灾形势稳定。</w:t>
      </w:r>
    </w:p>
    <w:p>
      <w:pPr>
        <w:pStyle w:val="5"/>
        <w:ind w:firstLine="640"/>
      </w:pPr>
      <w:r>
        <w:rPr>
          <w:rFonts w:hint="eastAsia"/>
        </w:rPr>
        <w:t>（二）目标完成情况</w:t>
      </w:r>
    </w:p>
    <w:p>
      <w:pPr>
        <w:ind w:firstLine="640"/>
      </w:pPr>
      <w:r>
        <w:rPr>
          <w:rFonts w:hint="eastAsia"/>
        </w:rPr>
        <w:t>根据单位的绩效自评表，共设置产出效益指标11个</w:t>
      </w:r>
      <w:r>
        <w:t>。</w:t>
      </w:r>
    </w:p>
    <w:p>
      <w:pPr>
        <w:ind w:firstLine="640"/>
      </w:pPr>
      <w:r>
        <w:rPr>
          <w:rFonts w:hint="eastAsia"/>
        </w:rPr>
        <w:t>经复核，单位绩效指标完成情况如下：</w:t>
      </w:r>
    </w:p>
    <w:tbl>
      <w:tblPr>
        <w:tblStyle w:val="10"/>
        <w:tblW w:w="9215" w:type="dxa"/>
        <w:tblInd w:w="-289" w:type="dxa"/>
        <w:tblLayout w:type="fixed"/>
        <w:tblCellMar>
          <w:top w:w="0" w:type="dxa"/>
          <w:left w:w="108" w:type="dxa"/>
          <w:bottom w:w="0" w:type="dxa"/>
          <w:right w:w="108" w:type="dxa"/>
        </w:tblCellMar>
      </w:tblPr>
      <w:tblGrid>
        <w:gridCol w:w="2829"/>
        <w:gridCol w:w="2275"/>
        <w:gridCol w:w="4111"/>
      </w:tblGrid>
      <w:tr>
        <w:tblPrEx>
          <w:tblLayout w:type="fixed"/>
          <w:tblCellMar>
            <w:top w:w="0" w:type="dxa"/>
            <w:left w:w="108" w:type="dxa"/>
            <w:bottom w:w="0" w:type="dxa"/>
            <w:right w:w="108" w:type="dxa"/>
          </w:tblCellMar>
        </w:tblPrEx>
        <w:trPr>
          <w:trHeight w:val="640" w:hRule="atLeast"/>
          <w:tblHeader/>
        </w:trPr>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指标名称</w:t>
            </w:r>
          </w:p>
        </w:tc>
        <w:tc>
          <w:tcPr>
            <w:tcW w:w="227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目标值</w:t>
            </w:r>
          </w:p>
        </w:tc>
        <w:tc>
          <w:tcPr>
            <w:tcW w:w="411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实现完成值</w:t>
            </w:r>
          </w:p>
        </w:tc>
      </w:tr>
      <w:tr>
        <w:tblPrEx>
          <w:tblLayout w:type="fixed"/>
          <w:tblCellMar>
            <w:top w:w="0" w:type="dxa"/>
            <w:left w:w="108" w:type="dxa"/>
            <w:bottom w:w="0" w:type="dxa"/>
            <w:right w:w="108" w:type="dxa"/>
          </w:tblCellMar>
        </w:tblPrEx>
        <w:trPr>
          <w:trHeight w:val="5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加强防灾减灾救灾以及安全生产知识宣传教育</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90%或以上</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100%完成</w:t>
            </w:r>
          </w:p>
        </w:tc>
      </w:tr>
      <w:tr>
        <w:tblPrEx>
          <w:tblLayout w:type="fixed"/>
          <w:tblCellMar>
            <w:top w:w="0" w:type="dxa"/>
            <w:left w:w="108" w:type="dxa"/>
            <w:bottom w:w="0" w:type="dxa"/>
            <w:right w:w="108" w:type="dxa"/>
          </w:tblCellMar>
        </w:tblPrEx>
        <w:trPr>
          <w:trHeight w:val="5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辖区危化品企业安全生产形势稳定</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形势稳定</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危化品企业安全生产形势稳定</w:t>
            </w:r>
          </w:p>
        </w:tc>
      </w:tr>
      <w:tr>
        <w:tblPrEx>
          <w:tblLayout w:type="fixed"/>
          <w:tblCellMar>
            <w:top w:w="0" w:type="dxa"/>
            <w:left w:w="108" w:type="dxa"/>
            <w:bottom w:w="0" w:type="dxa"/>
            <w:right w:w="108" w:type="dxa"/>
          </w:tblCellMar>
        </w:tblPrEx>
        <w:trPr>
          <w:trHeight w:val="5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保障人员经费，做好日常应急工作预备</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全面完成工作任务</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人员经费保障率为100%</w:t>
            </w:r>
          </w:p>
        </w:tc>
      </w:tr>
      <w:tr>
        <w:tblPrEx>
          <w:tblLayout w:type="fixed"/>
          <w:tblCellMar>
            <w:top w:w="0" w:type="dxa"/>
            <w:left w:w="108" w:type="dxa"/>
            <w:bottom w:w="0" w:type="dxa"/>
            <w:right w:w="108" w:type="dxa"/>
          </w:tblCellMar>
        </w:tblPrEx>
        <w:trPr>
          <w:trHeight w:val="12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保障全国防灾减灾示范社区正常运营，完善设备设施</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单位正在进行自然灾害综合风险普查工作，一定程度上为社区正常运营提供参考，帮助完善相关设施设备。</w:t>
            </w:r>
          </w:p>
        </w:tc>
      </w:tr>
      <w:tr>
        <w:tblPrEx>
          <w:tblLayout w:type="fixed"/>
          <w:tblCellMar>
            <w:top w:w="0" w:type="dxa"/>
            <w:left w:w="108" w:type="dxa"/>
            <w:bottom w:w="0" w:type="dxa"/>
            <w:right w:w="108" w:type="dxa"/>
          </w:tblCellMar>
        </w:tblPrEx>
        <w:trPr>
          <w:trHeight w:val="7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（修）编制应急预案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以及加快建设现代化应急指挥中心</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提升应急管理水平</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促进应急管理水平提升</w:t>
            </w:r>
          </w:p>
        </w:tc>
      </w:tr>
      <w:tr>
        <w:tblPrEx>
          <w:tblLayout w:type="fixed"/>
          <w:tblCellMar>
            <w:top w:w="0" w:type="dxa"/>
            <w:left w:w="108" w:type="dxa"/>
            <w:bottom w:w="0" w:type="dxa"/>
            <w:right w:w="108" w:type="dxa"/>
          </w:tblCellMar>
        </w:tblPrEx>
        <w:trPr>
          <w:trHeight w:val="104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保护生态资源，促进经济发展</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2020年广州市从化区森林受灾面积为139.27亩，2021年森林受灾面积为1366.95亩，对生态资源和经济损失有一定影响</w:t>
            </w:r>
          </w:p>
        </w:tc>
      </w:tr>
      <w:tr>
        <w:tblPrEx>
          <w:tblLayout w:type="fixed"/>
          <w:tblCellMar>
            <w:top w:w="0" w:type="dxa"/>
            <w:left w:w="108" w:type="dxa"/>
            <w:bottom w:w="0" w:type="dxa"/>
            <w:right w:w="108" w:type="dxa"/>
          </w:tblCellMar>
        </w:tblPrEx>
        <w:trPr>
          <w:trHeight w:val="18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普查成果为自然灾害防治、应急管理等工作提供科学依据，减轻灾害损失</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普查工作按照《全国灾害综合风险普查总体方案》实施，普查后形成的调查成果库能对自然灾害防治、应急管理工作等方面提供更加科学的依据，但普查工作未完成。</w:t>
            </w:r>
          </w:p>
        </w:tc>
      </w:tr>
      <w:tr>
        <w:tblPrEx>
          <w:tblLayout w:type="fixed"/>
          <w:tblCellMar>
            <w:top w:w="0" w:type="dxa"/>
            <w:left w:w="108" w:type="dxa"/>
            <w:bottom w:w="0" w:type="dxa"/>
            <w:right w:w="108" w:type="dxa"/>
          </w:tblCellMar>
        </w:tblPrEx>
        <w:trPr>
          <w:trHeight w:val="7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森林火灾减少率</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2020年森林火灾9起，2021年森林火灾16起，森林火灾未减反增。增长率为77.78%</w:t>
            </w:r>
          </w:p>
        </w:tc>
      </w:tr>
      <w:tr>
        <w:tblPrEx>
          <w:tblLayout w:type="fixed"/>
          <w:tblCellMar>
            <w:top w:w="0" w:type="dxa"/>
            <w:left w:w="108" w:type="dxa"/>
            <w:bottom w:w="0" w:type="dxa"/>
            <w:right w:w="108" w:type="dxa"/>
          </w:tblCellMar>
        </w:tblPrEx>
        <w:trPr>
          <w:trHeight w:val="7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持续提升企业三级标准化建设、推广“6S”管理工作水平</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100%完成</w:t>
            </w:r>
          </w:p>
        </w:tc>
      </w:tr>
      <w:tr>
        <w:tblPrEx>
          <w:tblLayout w:type="fixed"/>
          <w:tblCellMar>
            <w:top w:w="0" w:type="dxa"/>
            <w:left w:w="108" w:type="dxa"/>
            <w:bottom w:w="0" w:type="dxa"/>
            <w:right w:w="108" w:type="dxa"/>
          </w:tblCellMar>
        </w:tblPrEx>
        <w:trPr>
          <w:trHeight w:val="20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以点带面逐步普及全民防灾减灾知识和避灾自救技能，检验应急预案科学性、实用性、和执行力，普及推广全民防灾减灾知识和避灾自救技能，提高综合减灾能力 有效提升市民提高综合减灾能力</w:t>
            </w:r>
          </w:p>
        </w:tc>
        <w:tc>
          <w:tcPr>
            <w:tcW w:w="227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90%或以上</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促进提升市民综合减灾能力</w:t>
            </w:r>
          </w:p>
        </w:tc>
      </w:tr>
      <w:tr>
        <w:tblPrEx>
          <w:tblLayout w:type="fixed"/>
          <w:tblCellMar>
            <w:top w:w="0" w:type="dxa"/>
            <w:left w:w="108" w:type="dxa"/>
            <w:bottom w:w="0" w:type="dxa"/>
            <w:right w:w="108" w:type="dxa"/>
          </w:tblCellMar>
        </w:tblPrEx>
        <w:trPr>
          <w:trHeight w:val="2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满意度情况</w:t>
            </w:r>
          </w:p>
        </w:tc>
        <w:tc>
          <w:tcPr>
            <w:tcW w:w="2275"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ascii="宋体" w:hAnsi="宋体" w:eastAsia="宋体" w:cs="宋体"/>
                <w:kern w:val="0"/>
                <w:sz w:val="22"/>
              </w:rPr>
            </w:pPr>
            <w:r>
              <w:rPr>
                <w:rFonts w:hint="eastAsia" w:ascii="宋体" w:hAnsi="宋体" w:eastAsia="宋体" w:cs="宋体"/>
                <w:kern w:val="0"/>
                <w:sz w:val="22"/>
              </w:rPr>
              <w:t>满意度情况：≥90%</w:t>
            </w:r>
          </w:p>
        </w:tc>
        <w:tc>
          <w:tcPr>
            <w:tcW w:w="411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无投诉，但未开展满意度调查</w:t>
            </w:r>
          </w:p>
        </w:tc>
      </w:tr>
    </w:tbl>
    <w:p>
      <w:pPr>
        <w:ind w:firstLine="640"/>
        <w:jc w:val="center"/>
      </w:pPr>
    </w:p>
    <w:p>
      <w:pPr>
        <w:pStyle w:val="4"/>
        <w:ind w:firstLine="640"/>
      </w:pPr>
      <w:r>
        <w:rPr>
          <w:rFonts w:hint="eastAsia"/>
        </w:rPr>
        <w:t>三、存在的主要问题及建议</w:t>
      </w:r>
    </w:p>
    <w:p>
      <w:pPr>
        <w:pStyle w:val="5"/>
        <w:ind w:firstLine="640"/>
      </w:pPr>
      <w:r>
        <w:rPr>
          <w:rFonts w:hint="eastAsia"/>
        </w:rPr>
        <w:t>（一）存在问题</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1.资金管理水平有待加强</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预算调整率过高。该单位2021年年初预算3,402.71万元，年度调整至7,515.47万元，预算调整率为120.87%。</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政府采购执行率低。2021年单位政府采购计划金额为</w:t>
      </w:r>
      <w:r>
        <w:rPr>
          <w:rFonts w:ascii="Times New Roman" w:hAnsi="Times New Roman" w:eastAsia="仿宋GB2312" w:cs="Times New Roman"/>
          <w:szCs w:val="24"/>
        </w:rPr>
        <w:t>95.18</w:t>
      </w:r>
      <w:r>
        <w:rPr>
          <w:rFonts w:hint="eastAsia" w:ascii="Times New Roman" w:hAnsi="Times New Roman" w:eastAsia="仿宋GB2312" w:cs="Times New Roman"/>
          <w:szCs w:val="24"/>
        </w:rPr>
        <w:t>万元，实际采购金额为</w:t>
      </w:r>
      <w:r>
        <w:rPr>
          <w:rFonts w:ascii="Times New Roman" w:hAnsi="Times New Roman" w:eastAsia="仿宋GB2312" w:cs="Times New Roman"/>
          <w:szCs w:val="24"/>
        </w:rPr>
        <w:t>53.91</w:t>
      </w:r>
      <w:r>
        <w:rPr>
          <w:rFonts w:hint="eastAsia" w:ascii="Times New Roman" w:hAnsi="Times New Roman" w:eastAsia="仿宋GB2312" w:cs="Times New Roman"/>
          <w:szCs w:val="24"/>
        </w:rPr>
        <w:t>万元，政府采购执行率仅</w:t>
      </w:r>
      <w:r>
        <w:rPr>
          <w:rFonts w:ascii="Times New Roman" w:hAnsi="Times New Roman" w:eastAsia="仿宋GB2312" w:cs="Times New Roman"/>
          <w:szCs w:val="24"/>
        </w:rPr>
        <w:t>56.64%</w:t>
      </w:r>
      <w:r>
        <w:rPr>
          <w:rFonts w:hint="eastAsia" w:ascii="Times New Roman" w:hAnsi="Times New Roman" w:eastAsia="仿宋GB2312" w:cs="Times New Roman"/>
          <w:szCs w:val="24"/>
        </w:rPr>
        <w:t>。</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2.绩效管理工作有待加强</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绩效指标缺乏科学性和规范性。应急管理局自评报告未设置产出指标，缺少可衡量的定量指标；指标名称和指标值不匹配，例如“保障人员经费，做好日常应急工作预备”，比较笼统，指标不可量化分析。</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绩效监控和绩效自评工作规范。未见绩效监控工作资料，部门整体绩效自评表大部分绩效指标未填写评分依据。</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未见评价结果的应用。未实施绩效监控工作，无法及时处理监控预警信息；未见针对评价结果较差的项目的研究分析和改进措施，未见评价结果对后续工作的改进措施和指导意义。</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3.资产管理工作存在不足</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单位的资产账和财务账做不到账账相符。</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4.森林火灾防范工作有待加强</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从化区</w:t>
      </w:r>
      <w:r>
        <w:rPr>
          <w:rFonts w:ascii="Times New Roman" w:hAnsi="Times New Roman" w:eastAsia="仿宋GB2312" w:cs="Times New Roman"/>
          <w:szCs w:val="24"/>
        </w:rPr>
        <w:t>2020</w:t>
      </w:r>
      <w:r>
        <w:rPr>
          <w:rFonts w:hint="eastAsia" w:ascii="Times New Roman" w:hAnsi="Times New Roman" w:eastAsia="仿宋GB2312" w:cs="Times New Roman"/>
          <w:szCs w:val="24"/>
        </w:rPr>
        <w:t>年森林火灾</w:t>
      </w:r>
      <w:r>
        <w:rPr>
          <w:rFonts w:ascii="Times New Roman" w:hAnsi="Times New Roman" w:eastAsia="仿宋GB2312" w:cs="Times New Roman"/>
          <w:szCs w:val="24"/>
        </w:rPr>
        <w:t>9</w:t>
      </w:r>
      <w:r>
        <w:rPr>
          <w:rFonts w:hint="eastAsia" w:ascii="Times New Roman" w:hAnsi="Times New Roman" w:eastAsia="仿宋GB2312" w:cs="Times New Roman"/>
          <w:szCs w:val="24"/>
        </w:rPr>
        <w:t>起，</w:t>
      </w:r>
      <w:r>
        <w:rPr>
          <w:rFonts w:ascii="Times New Roman" w:hAnsi="Times New Roman" w:eastAsia="仿宋GB2312" w:cs="Times New Roman"/>
          <w:szCs w:val="24"/>
        </w:rPr>
        <w:t>2021</w:t>
      </w:r>
      <w:r>
        <w:rPr>
          <w:rFonts w:hint="eastAsia" w:ascii="Times New Roman" w:hAnsi="Times New Roman" w:eastAsia="仿宋GB2312" w:cs="Times New Roman"/>
          <w:szCs w:val="24"/>
        </w:rPr>
        <w:t>年森林火灾</w:t>
      </w:r>
      <w:r>
        <w:rPr>
          <w:rFonts w:ascii="Times New Roman" w:hAnsi="Times New Roman" w:eastAsia="仿宋GB2312" w:cs="Times New Roman"/>
          <w:szCs w:val="24"/>
        </w:rPr>
        <w:t>16</w:t>
      </w:r>
      <w:r>
        <w:rPr>
          <w:rFonts w:hint="eastAsia" w:ascii="Times New Roman" w:hAnsi="Times New Roman" w:eastAsia="仿宋GB2312" w:cs="Times New Roman"/>
          <w:szCs w:val="24"/>
        </w:rPr>
        <w:t>起，森林火灾未减反增，增长率为</w:t>
      </w:r>
      <w:r>
        <w:rPr>
          <w:rFonts w:ascii="Times New Roman" w:hAnsi="Times New Roman" w:eastAsia="仿宋GB2312" w:cs="Times New Roman"/>
          <w:szCs w:val="24"/>
        </w:rPr>
        <w:t>77.78%</w:t>
      </w:r>
      <w:r>
        <w:rPr>
          <w:rFonts w:hint="eastAsia" w:ascii="Times New Roman" w:hAnsi="Times New Roman" w:eastAsia="仿宋GB2312" w:cs="Times New Roman"/>
          <w:szCs w:val="24"/>
        </w:rPr>
        <w:t>，</w:t>
      </w:r>
      <w:r>
        <w:rPr>
          <w:rFonts w:ascii="Times New Roman" w:hAnsi="Times New Roman" w:eastAsia="仿宋GB2312" w:cs="Times New Roman"/>
          <w:szCs w:val="24"/>
        </w:rPr>
        <w:t xml:space="preserve"> 2021</w:t>
      </w:r>
      <w:r>
        <w:rPr>
          <w:rFonts w:hint="eastAsia" w:ascii="Times New Roman" w:hAnsi="Times New Roman" w:eastAsia="仿宋GB2312" w:cs="Times New Roman"/>
          <w:szCs w:val="24"/>
        </w:rPr>
        <w:t>年森林受灾面积为</w:t>
      </w:r>
      <w:r>
        <w:rPr>
          <w:rFonts w:ascii="Times New Roman" w:hAnsi="Times New Roman" w:eastAsia="仿宋GB2312" w:cs="Times New Roman"/>
          <w:szCs w:val="24"/>
        </w:rPr>
        <w:t>1366.95</w:t>
      </w:r>
      <w:r>
        <w:rPr>
          <w:rFonts w:hint="eastAsia" w:ascii="Times New Roman" w:hAnsi="Times New Roman" w:eastAsia="仿宋GB2312" w:cs="Times New Roman"/>
          <w:szCs w:val="24"/>
        </w:rPr>
        <w:t>亩。</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5.未开展满意度问卷调查</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单位的部门整体绩效自评表设置了“社会公众或部门（单位）的服务对象对部门履职效果的满意程度”指标，但未开展实质性问卷调查工作。</w:t>
      </w:r>
    </w:p>
    <w:p>
      <w:pPr>
        <w:pStyle w:val="5"/>
        <w:ind w:firstLine="640"/>
      </w:pPr>
      <w:r>
        <w:rPr>
          <w:rFonts w:hint="eastAsia"/>
        </w:rPr>
        <w:t>（二）改进建议</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1.科学合理编制预算，严格执行预算</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按照《预算法》及其实施条例相关规定，参考上一年度预算执行情况和年度收支预算科学编制预算，减少年中大幅追加。严格按照预算科目支出，减少预算科目的资金调剂，准确使用预算资金。</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加强政府采购预算编制的严谨性，采购预算项目执行计划必须要明确项目具体实施的计划采购时间、采购需求、采购标段、资金来源、采购政策落实、采购方式等内容，降低执行效率不确定性。</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2.提高绩效管理工作质量</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绩效指标设置方面，建议单位在设置绩效指标时要充分考虑指标、预期值和任务实际情况的关系，提高绩效指标的科学性和规范性。</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绩效评价工作方面，建议单位严格按要求开展部门整体支出年中绩效监控和绩效自评工作，及时报送相关部门整体支出绩效监控材料。</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评价结果应用方面，对预算执行较慢、自评结果较差的项目，深入分析及说明原因，提出整改措施和解决办法，为后续预算编制、调整工作提供参考。</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3.提升资产管理水平</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建议单位对全局的资产开展一次全面清查，找出资产账和财务账存在差异的原因，并及时调整。后续建议及时登记资产的变动情况，并定期盘点资产，保证资产账账相符、账实相符。</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4.加强森林防火工作</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建议加大森林防火宣传力度，提醒广大民众应自觉保持防火警惕，严格遵守防火令的有关规定，不要带火种进入林区，自觉杜绝违规用火。进一步加强进山人员安检工作，完善智能预警系统，实现森林防火智能化、信息化。</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5.开展满意度问卷调查</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建议单位根据被服务对象的不同设置不同的调查问卷，全年不定期向被服务对象广泛派发满意度调查问卷，了解被服务对象对单位工作人员专业程度、工作态度、工作效率等事项的满意程度，并分析问卷回收结果，了解被服务对象的需求、意见和建议，为工作决策提供参考。</w:t>
      </w:r>
    </w:p>
    <w:p>
      <w:pPr>
        <w:pStyle w:val="13"/>
        <w:ind w:firstLine="640"/>
      </w:pPr>
    </w:p>
    <w:p>
      <w:pPr>
        <w:pStyle w:val="13"/>
        <w:ind w:firstLine="640"/>
        <w:jc w:val="righ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5408B"/>
    <w:multiLevelType w:val="multilevel"/>
    <w:tmpl w:val="41E5408B"/>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A06B19"/>
    <w:rsid w:val="000215EA"/>
    <w:rsid w:val="000F2088"/>
    <w:rsid w:val="001907BA"/>
    <w:rsid w:val="00245C26"/>
    <w:rsid w:val="002A3370"/>
    <w:rsid w:val="00347C1D"/>
    <w:rsid w:val="003C23A4"/>
    <w:rsid w:val="003D576B"/>
    <w:rsid w:val="00441DE4"/>
    <w:rsid w:val="004856A2"/>
    <w:rsid w:val="004F4DF3"/>
    <w:rsid w:val="0055553C"/>
    <w:rsid w:val="005B4C5B"/>
    <w:rsid w:val="007068AE"/>
    <w:rsid w:val="00745940"/>
    <w:rsid w:val="00763110"/>
    <w:rsid w:val="00792654"/>
    <w:rsid w:val="007B1725"/>
    <w:rsid w:val="0084723F"/>
    <w:rsid w:val="008A5FED"/>
    <w:rsid w:val="00A06B19"/>
    <w:rsid w:val="00A35628"/>
    <w:rsid w:val="00AD4FAA"/>
    <w:rsid w:val="00BF78F3"/>
    <w:rsid w:val="00CD71E2"/>
    <w:rsid w:val="00DA68DE"/>
    <w:rsid w:val="00E03C30"/>
    <w:rsid w:val="00E42D33"/>
    <w:rsid w:val="00E55FDF"/>
    <w:rsid w:val="00EF6AE4"/>
    <w:rsid w:val="00F80415"/>
    <w:rsid w:val="03244971"/>
    <w:rsid w:val="04C15596"/>
    <w:rsid w:val="1A034839"/>
    <w:rsid w:val="2FE276B4"/>
    <w:rsid w:val="30585564"/>
    <w:rsid w:val="3C007B38"/>
    <w:rsid w:val="4AE574C4"/>
    <w:rsid w:val="4C2E1D34"/>
    <w:rsid w:val="585C15CD"/>
    <w:rsid w:val="5A32098A"/>
    <w:rsid w:val="5B7018D8"/>
    <w:rsid w:val="5EC35D07"/>
    <w:rsid w:val="7EB1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4">
    <w:name w:val="heading 1"/>
    <w:basedOn w:val="1"/>
    <w:next w:val="1"/>
    <w:link w:val="15"/>
    <w:qFormat/>
    <w:uiPriority w:val="9"/>
    <w:pPr>
      <w:outlineLvl w:val="0"/>
    </w:pPr>
    <w:rPr>
      <w:rFonts w:eastAsia="黑体"/>
      <w:bCs/>
      <w:kern w:val="44"/>
      <w:szCs w:val="44"/>
    </w:rPr>
  </w:style>
  <w:style w:type="paragraph" w:styleId="5">
    <w:name w:val="heading 2"/>
    <w:basedOn w:val="1"/>
    <w:next w:val="1"/>
    <w:link w:val="14"/>
    <w:unhideWhenUsed/>
    <w:qFormat/>
    <w:uiPriority w:val="9"/>
    <w:pPr>
      <w:outlineLvl w:val="1"/>
    </w:pPr>
    <w:rPr>
      <w:rFonts w:eastAsia="楷体" w:asciiTheme="majorHAnsi" w:hAnsiTheme="majorHAnsi" w:cstheme="majorBidi"/>
      <w:bCs/>
      <w:szCs w:val="32"/>
    </w:rPr>
  </w:style>
  <w:style w:type="paragraph" w:styleId="6">
    <w:name w:val="heading 3"/>
    <w:basedOn w:val="1"/>
    <w:next w:val="1"/>
    <w:link w:val="17"/>
    <w:semiHidden/>
    <w:unhideWhenUsed/>
    <w:qFormat/>
    <w:uiPriority w:val="9"/>
    <w:pPr>
      <w:keepNext/>
      <w:keepLines/>
      <w:spacing w:before="260" w:after="260" w:line="416" w:lineRule="atLeast"/>
      <w:outlineLvl w:val="2"/>
    </w:pPr>
    <w:rPr>
      <w:b/>
      <w:bCs/>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pPr>
    <w:rPr>
      <w:rFonts w:ascii="Calibri" w:hAnsi="Calibri" w:eastAsia="宋体"/>
      <w:sz w:val="21"/>
    </w:rPr>
  </w:style>
  <w:style w:type="paragraph" w:styleId="3">
    <w:name w:val="index 8"/>
    <w:basedOn w:val="1"/>
    <w:next w:val="1"/>
    <w:qFormat/>
    <w:uiPriority w:val="0"/>
    <w:pPr>
      <w:ind w:left="2940"/>
    </w:pPr>
    <w:rPr>
      <w:rFonts w:ascii="Calibri" w:hAnsi="Calibri"/>
    </w:rPr>
  </w:style>
  <w:style w:type="paragraph" w:styleId="7">
    <w:name w:val="Body Text Indent 2"/>
    <w:basedOn w:val="1"/>
    <w:next w:val="1"/>
    <w:qFormat/>
    <w:uiPriority w:val="0"/>
    <w:pPr>
      <w:ind w:left="420" w:leftChars="200" w:firstLine="883"/>
    </w:pPr>
  </w:style>
  <w:style w:type="paragraph" w:styleId="8">
    <w:name w:val="footer"/>
    <w:basedOn w:val="1"/>
    <w:link w:val="19"/>
    <w:unhideWhenUsed/>
    <w:qFormat/>
    <w:uiPriority w:val="99"/>
    <w:pPr>
      <w:tabs>
        <w:tab w:val="center" w:pos="4153"/>
        <w:tab w:val="right" w:pos="8306"/>
      </w:tabs>
      <w:snapToGrid w:val="0"/>
      <w:spacing w:line="240" w:lineRule="atLeast"/>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11">
    <w:name w:val="Table Grid"/>
    <w:basedOn w:val="10"/>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3">
    <w:name w:val="No Spacing"/>
    <w:qFormat/>
    <w:uiPriority w:val="1"/>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character" w:customStyle="1" w:styleId="14">
    <w:name w:val="标题 2 字符"/>
    <w:basedOn w:val="12"/>
    <w:link w:val="5"/>
    <w:qFormat/>
    <w:uiPriority w:val="9"/>
    <w:rPr>
      <w:rFonts w:eastAsia="楷体" w:asciiTheme="majorHAnsi" w:hAnsiTheme="majorHAnsi" w:cstheme="majorBidi"/>
      <w:bCs/>
      <w:kern w:val="2"/>
      <w:sz w:val="32"/>
      <w:szCs w:val="32"/>
    </w:rPr>
  </w:style>
  <w:style w:type="character" w:customStyle="1" w:styleId="15">
    <w:name w:val="标题 1 字符"/>
    <w:basedOn w:val="12"/>
    <w:link w:val="4"/>
    <w:qFormat/>
    <w:uiPriority w:val="9"/>
    <w:rPr>
      <w:rFonts w:eastAsia="黑体"/>
      <w:bCs/>
      <w:kern w:val="44"/>
      <w:sz w:val="32"/>
      <w:szCs w:val="44"/>
    </w:rPr>
  </w:style>
  <w:style w:type="paragraph" w:styleId="16">
    <w:name w:val="List Paragraph"/>
    <w:basedOn w:val="1"/>
    <w:qFormat/>
    <w:uiPriority w:val="34"/>
    <w:pPr>
      <w:ind w:firstLine="420"/>
    </w:pPr>
  </w:style>
  <w:style w:type="character" w:customStyle="1" w:styleId="17">
    <w:name w:val="标题 3 字符"/>
    <w:basedOn w:val="12"/>
    <w:link w:val="6"/>
    <w:semiHidden/>
    <w:qFormat/>
    <w:uiPriority w:val="9"/>
    <w:rPr>
      <w:rFonts w:eastAsia="仿宋_GB2312"/>
      <w:b/>
      <w:bCs/>
      <w:sz w:val="32"/>
      <w:szCs w:val="32"/>
    </w:rPr>
  </w:style>
  <w:style w:type="character" w:customStyle="1" w:styleId="18">
    <w:name w:val="页眉 字符"/>
    <w:basedOn w:val="12"/>
    <w:link w:val="9"/>
    <w:qFormat/>
    <w:uiPriority w:val="99"/>
    <w:rPr>
      <w:rFonts w:eastAsia="仿宋_GB2312"/>
      <w:sz w:val="18"/>
      <w:szCs w:val="18"/>
    </w:rPr>
  </w:style>
  <w:style w:type="character" w:customStyle="1" w:styleId="19">
    <w:name w:val="页脚 字符"/>
    <w:basedOn w:val="12"/>
    <w:link w:val="8"/>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412</Words>
  <Characters>2354</Characters>
  <Lines>19</Lines>
  <Paragraphs>5</Paragraphs>
  <TotalTime>0</TotalTime>
  <ScaleCrop>false</ScaleCrop>
  <LinksUpToDate>false</LinksUpToDate>
  <CharactersWithSpaces>2761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2022-09-09T06:22:00Z</dcterms:created>
  <dc:creator>Yuan Raine</dc:creator>
  <cp:lastModifiedBy>周怡</cp:lastModifiedBy>
  <dcterms:modified xsi:type="dcterms:W3CDTF">2022-12-01T03:33:42Z</dcterms:modified>
  <dc:title>2021年广州市从化区应急管理局部门整体支出绩效自评复核简要报告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1EDE57D7D5F043689396C365385D18B2</vt:lpwstr>
  </property>
</Properties>
</file>