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lang w:eastAsia="zh-Hans"/>
        </w:rPr>
      </w:pPr>
      <w:r>
        <w:rPr>
          <w:rFonts w:hint="eastAsia" w:ascii="方正小标宋_GBK" w:hAnsi="方正小标宋_GBK" w:eastAsia="方正小标宋_GBK" w:cs="方正小标宋_GBK"/>
          <w:b w:val="0"/>
          <w:bCs w:val="0"/>
          <w:sz w:val="44"/>
          <w:szCs w:val="44"/>
        </w:rPr>
        <w:t>2021年</w:t>
      </w:r>
      <w:r>
        <w:rPr>
          <w:rFonts w:hint="eastAsia" w:ascii="方正小标宋_GBK" w:hAnsi="方正小标宋_GBK" w:eastAsia="方正小标宋_GBK" w:cs="方正小标宋_GBK"/>
          <w:b w:val="0"/>
          <w:bCs w:val="0"/>
          <w:sz w:val="44"/>
          <w:szCs w:val="44"/>
          <w:lang w:eastAsia="zh-Hans"/>
        </w:rPr>
        <w:t>广州市规划和自然资源局从化区</w:t>
      </w:r>
    </w:p>
    <w:p>
      <w:pPr>
        <w:ind w:firstLine="0" w:firstLineChars="0"/>
        <w:jc w:val="center"/>
        <w:rPr>
          <w:rFonts w:hint="eastAsia" w:ascii="方正小标宋_GBK" w:hAnsi="方正小标宋_GBK" w:eastAsia="方正小标宋_GBK" w:cs="方正小标宋_GBK"/>
          <w:b w:val="0"/>
          <w:bCs w:val="0"/>
          <w:sz w:val="44"/>
          <w:szCs w:val="44"/>
          <w:lang w:eastAsia="zh-Hans"/>
        </w:rPr>
      </w:pPr>
      <w:r>
        <w:rPr>
          <w:rFonts w:hint="eastAsia" w:ascii="方正小标宋_GBK" w:hAnsi="方正小标宋_GBK" w:eastAsia="方正小标宋_GBK" w:cs="方正小标宋_GBK"/>
          <w:b w:val="0"/>
          <w:bCs w:val="0"/>
          <w:sz w:val="44"/>
          <w:szCs w:val="44"/>
          <w:lang w:eastAsia="zh-Hans"/>
        </w:rPr>
        <w:t>分局地质灾害防治建设资金项目</w:t>
      </w:r>
    </w:p>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自评复核简要报告</w:t>
      </w:r>
    </w:p>
    <w:p>
      <w:pPr>
        <w:ind w:firstLine="960" w:firstLineChars="300"/>
        <w:jc w:val="both"/>
        <w:rPr>
          <w:rFonts w:hint="eastAsia" w:ascii="黑体" w:hAnsi="黑体" w:eastAsia="黑体" w:cs="黑体"/>
          <w:bCs/>
          <w:color w:val="4F81BD"/>
          <w:szCs w:val="32"/>
        </w:rPr>
      </w:pPr>
    </w:p>
    <w:p>
      <w:pPr>
        <w:ind w:firstLine="960" w:firstLineChars="300"/>
        <w:jc w:val="both"/>
        <w:rPr>
          <w:rFonts w:ascii="仿宋_GB2312" w:hAnsi="仿宋_GB2312" w:cs="仿宋_GB2312"/>
          <w:bCs/>
          <w:szCs w:val="32"/>
        </w:rPr>
      </w:pPr>
      <w:bookmarkStart w:id="0" w:name="_GoBack"/>
      <w:bookmarkEnd w:id="0"/>
      <w:r>
        <w:rPr>
          <w:rFonts w:hint="eastAsia" w:ascii="黑体" w:hAnsi="黑体" w:eastAsia="黑体" w:cs="黑体"/>
          <w:bCs/>
          <w:color w:val="4F81BD"/>
          <w:szCs w:val="32"/>
        </w:rPr>
        <w:t xml:space="preserve"> </w:t>
      </w:r>
      <w:r>
        <w:rPr>
          <w:rFonts w:hint="eastAsia" w:ascii="仿宋_GB2312" w:hAnsi="仿宋_GB2312" w:cs="仿宋_GB2312"/>
          <w:bCs/>
          <w:szCs w:val="32"/>
        </w:rPr>
        <w:t>广东诚安信会计师事务所（特殊普通合伙）</w:t>
      </w:r>
    </w:p>
    <w:p>
      <w:pPr>
        <w:pStyle w:val="4"/>
      </w:pPr>
    </w:p>
    <w:p>
      <w:pPr>
        <w:pStyle w:val="5"/>
        <w:numPr>
          <w:ilvl w:val="0"/>
          <w:numId w:val="1"/>
        </w:numPr>
        <w:ind w:firstLine="640"/>
      </w:pPr>
      <w:r>
        <w:rPr>
          <w:rFonts w:hint="eastAsia"/>
        </w:rPr>
        <w:t>复核概况</w:t>
      </w:r>
    </w:p>
    <w:p>
      <w:pPr>
        <w:ind w:firstLine="640"/>
      </w:pPr>
      <w:r>
        <w:rPr>
          <w:rFonts w:hint="eastAsia"/>
        </w:rPr>
        <w:t>受广州市从化区财政局委托，广东诚安信会计师事务所（特殊普通合伙）对2021年广州市规划和自然资源局从化区分局</w:t>
      </w:r>
      <w:r>
        <w:rPr>
          <w:rFonts w:hint="eastAsia"/>
          <w:lang w:eastAsia="zh-Hans"/>
        </w:rPr>
        <w:t>地质灾害防治建设资金项目</w:t>
      </w:r>
      <w:r>
        <w:rPr>
          <w:rFonts w:hint="eastAsia"/>
        </w:rPr>
        <w:t>的自评情况实施复核工作，形成复核报告。</w:t>
      </w:r>
    </w:p>
    <w:p>
      <w:pPr>
        <w:ind w:firstLine="640"/>
      </w:pPr>
      <w:r>
        <w:rPr>
          <w:rFonts w:hint="eastAsia"/>
        </w:rPr>
        <w:t>经复核，本次绩效评价综合得分为80.53分，因该项目预算执行率低于90%，绩效等级为“中”。</w:t>
      </w:r>
    </w:p>
    <w:p>
      <w:pPr>
        <w:pStyle w:val="6"/>
        <w:numPr>
          <w:ilvl w:val="0"/>
          <w:numId w:val="2"/>
        </w:numPr>
        <w:ind w:firstLine="640"/>
      </w:pPr>
      <w:r>
        <w:rPr>
          <w:rFonts w:hint="eastAsia"/>
        </w:rPr>
        <w:t>项目情况</w:t>
      </w:r>
    </w:p>
    <w:p>
      <w:pPr>
        <w:ind w:firstLine="640"/>
      </w:pPr>
      <w:r>
        <w:rPr>
          <w:rFonts w:hint="eastAsia"/>
        </w:rPr>
        <w:t>为保障人民群众生命财产安全，维护社会大局稳定，提高当地生态效益，实现社会经济和生态文明可持续健康发展，2021年广州市规划和自然资源局从化区分局将加快从化区地质灾害隐患点治理进度，积极指导开展群防群测、专业检测和预报预警工作，指导开展地质灾害工程治理工作，地质灾害应急救援的技术支撑工作。</w:t>
      </w:r>
    </w:p>
    <w:p>
      <w:pPr>
        <w:ind w:firstLine="640"/>
      </w:pPr>
      <w:r>
        <w:rPr>
          <w:rFonts w:hint="eastAsia"/>
        </w:rPr>
        <w:t>2021年度该项目主要工作目标为：完成15处地质灾害隐患点综合治理工程项目验收，并经广州市地质调查院核销15处地质灾害隐患点；建立健全区、镇、村三级地质灾害群防群测网络体系，更新警示牌133个；成功举办一次地质灾害应急演练。</w:t>
      </w:r>
    </w:p>
    <w:p>
      <w:pPr>
        <w:pStyle w:val="6"/>
        <w:numPr>
          <w:ilvl w:val="0"/>
          <w:numId w:val="2"/>
        </w:numPr>
        <w:ind w:firstLine="640"/>
      </w:pPr>
      <w:r>
        <w:rPr>
          <w:rFonts w:hint="eastAsia"/>
        </w:rPr>
        <w:t>项目资金情况</w:t>
      </w:r>
    </w:p>
    <w:p>
      <w:pPr>
        <w:ind w:firstLine="640"/>
      </w:pPr>
      <w:r>
        <w:t>该项目2021年共下达资金1,874.60万元，实际支出1,576.87万元，预算完成率84.05%。</w:t>
      </w:r>
    </w:p>
    <w:p>
      <w:pPr>
        <w:pStyle w:val="5"/>
        <w:ind w:firstLine="640"/>
      </w:pPr>
      <w:r>
        <w:rPr>
          <w:rFonts w:hint="eastAsia"/>
        </w:rPr>
        <w:t>二、绩效目标</w:t>
      </w:r>
    </w:p>
    <w:p>
      <w:pPr>
        <w:ind w:firstLine="640"/>
      </w:pPr>
      <w:r>
        <w:rPr>
          <w:rFonts w:hint="eastAsia"/>
        </w:rPr>
        <w:t>该项目的绩效总目标为：</w:t>
      </w:r>
      <w:r>
        <w:t>通过该项目的实施，加快</w:t>
      </w:r>
      <w:r>
        <w:rPr>
          <w:rFonts w:hint="eastAsia"/>
        </w:rPr>
        <w:t>从化区</w:t>
      </w:r>
      <w:r>
        <w:t>地质灾害隐患点治理进度，完成省自然资源厅要求每年中、小型地质灾害隐患点在上年度基础上递减15%的政治任务，保障人民群众生命财产安全，维护社会大局稳定，提高当地生态效益，实现社会经济和生态文明可持续健康发展；开工建设从化区吕田镇吕中村高龙围边坡地质灾害隐患点治理工程，推进从化区江埔街海塱村大灶长岭山地质灾害隐患点治理工程，完成治理工程竣工验收，切实保障人民群众生命财产安全。</w:t>
      </w:r>
    </w:p>
    <w:p>
      <w:pPr>
        <w:ind w:firstLine="640"/>
      </w:pPr>
      <w:r>
        <w:rPr>
          <w:rFonts w:hint="eastAsia"/>
        </w:rPr>
        <w:t>单位共设置绩效指标9个以考核该项目2021年度的绩效情况，其中产出指标5个、效益指标4个。</w:t>
      </w:r>
    </w:p>
    <w:p>
      <w:pPr>
        <w:ind w:firstLine="640"/>
      </w:pPr>
      <w:r>
        <w:rPr>
          <w:rFonts w:hint="eastAsia"/>
        </w:rPr>
        <w:t>经复核，该项目在鳌头镇山心村举办了1次防灾演练，在各个地质灾害隐患点设立了预告警示牌，完成了12个挡土墙施工工程并聘请了第三方机构监理，核销了15个地质灾害隐患点；2021年地质灾害实现“零伤亡”，全年未发生重大地质灾害事件，群众满意度高于85%；但存在1处核销点复绿情况仍需进一步做好坡度防护，地质灾害经济损失统计不全的问题。</w:t>
      </w:r>
    </w:p>
    <w:p>
      <w:pPr>
        <w:pStyle w:val="5"/>
        <w:ind w:firstLine="640"/>
      </w:pPr>
      <w:r>
        <w:rPr>
          <w:rFonts w:hint="eastAsia"/>
        </w:rPr>
        <w:t>三</w:t>
      </w:r>
      <w:r>
        <w:t>、存在的问题和改进建议</w:t>
      </w:r>
    </w:p>
    <w:p>
      <w:pPr>
        <w:pStyle w:val="6"/>
        <w:ind w:firstLine="640"/>
      </w:pPr>
      <w:r>
        <w:rPr>
          <w:rFonts w:hint="eastAsia"/>
        </w:rPr>
        <w:t>（一）存在问题</w:t>
      </w:r>
    </w:p>
    <w:p>
      <w:pPr>
        <w:ind w:firstLine="640"/>
      </w:pPr>
      <w:r>
        <w:rPr>
          <w:rFonts w:hint="eastAsia"/>
        </w:rPr>
        <w:t>1.预算执行率较低</w:t>
      </w:r>
    </w:p>
    <w:p>
      <w:pPr>
        <w:ind w:firstLine="640"/>
      </w:pPr>
      <w:r>
        <w:rPr>
          <w:rFonts w:hint="eastAsia"/>
        </w:rPr>
        <w:t>项目年度预算 1,876.14万元，2021年实际支出 1,576.87 万元，2021年预算执行率为 84.05%。 项目年初未能准确估计需用金额，以及吕田镇吕中村工程延误对执行率造成了一定的影响。</w:t>
      </w:r>
    </w:p>
    <w:p>
      <w:pPr>
        <w:ind w:firstLine="640"/>
      </w:pPr>
      <w:r>
        <w:rPr>
          <w:rFonts w:hint="eastAsia"/>
        </w:rPr>
        <w:t>2.个别指标无支撑数据</w:t>
      </w:r>
    </w:p>
    <w:p>
      <w:pPr>
        <w:ind w:firstLine="640"/>
      </w:pPr>
      <w:r>
        <w:rPr>
          <w:rFonts w:hint="eastAsia"/>
        </w:rPr>
        <w:t>未见从化区2021年地质灾害相关经济损失统计数据。</w:t>
      </w:r>
    </w:p>
    <w:p>
      <w:pPr>
        <w:ind w:firstLine="640"/>
      </w:pPr>
      <w:r>
        <w:rPr>
          <w:rFonts w:hint="eastAsia"/>
        </w:rPr>
        <w:t>3.地质灾害隐患点核销工作仍需进一步加强</w:t>
      </w:r>
    </w:p>
    <w:p>
      <w:pPr>
        <w:ind w:firstLine="640"/>
      </w:pPr>
      <w:r>
        <w:rPr>
          <w:rFonts w:hint="eastAsia"/>
        </w:rPr>
        <w:t>2021年核销15处中、小型地质灾害隐患点且顺利验收合格，但吕田镇坪地村网形社1号、6号房屋边坡复绿情况较差，东段仍有部分土体裸露，仍需进一步做好坡面防护。</w:t>
      </w:r>
    </w:p>
    <w:p>
      <w:pPr>
        <w:ind w:firstLine="640"/>
      </w:pPr>
      <w:r>
        <w:rPr>
          <w:rFonts w:hint="eastAsia"/>
        </w:rPr>
        <w:t>4.绩效管理工作不规范</w:t>
      </w:r>
    </w:p>
    <w:p>
      <w:pPr>
        <w:ind w:firstLine="640"/>
      </w:pPr>
      <w:r>
        <w:rPr>
          <w:rFonts w:hint="eastAsia"/>
        </w:rPr>
        <w:t>单位效益指标设置不够全面，无法准确反映项目实施的效益且缺少与项目实际相符的生态效益指标；另发现单位绩效自评工作中对每个指标的得分与失分原因描述不够详细，少数指标缺乏完整佐证材料。</w:t>
      </w:r>
    </w:p>
    <w:p>
      <w:pPr>
        <w:pStyle w:val="6"/>
        <w:ind w:firstLine="640"/>
      </w:pPr>
      <w:r>
        <w:rPr>
          <w:rFonts w:hint="eastAsia"/>
        </w:rPr>
        <w:t>（三）改进建议</w:t>
      </w:r>
    </w:p>
    <w:p>
      <w:pPr>
        <w:ind w:firstLine="640"/>
      </w:pPr>
      <w:r>
        <w:rPr>
          <w:rFonts w:hint="eastAsia"/>
        </w:rPr>
        <w:t>1. 提升预算管理水平</w:t>
      </w:r>
    </w:p>
    <w:p>
      <w:pPr>
        <w:ind w:firstLine="640"/>
      </w:pPr>
      <w:r>
        <w:rPr>
          <w:rFonts w:hint="eastAsia"/>
        </w:rPr>
        <w:t>建议项目单位估计需安排资金时，结合项目实际情况预计的施工进度，并根据合同条款合理估计当年度需安排资金量，如发现当年度预算安排有较大偏差也可以调整当年度预算，从而提高预算执行率，进一步提高财政资金使用效率。同时加快工程进度，严格按照行业规范和相关要求进行项目验收，保质保量的同时加快对治理工程、专业监测项目的验收工作。</w:t>
      </w:r>
    </w:p>
    <w:p>
      <w:pPr>
        <w:ind w:firstLine="640"/>
      </w:pPr>
      <w:r>
        <w:rPr>
          <w:rFonts w:hint="eastAsia"/>
        </w:rPr>
        <w:t>2.加强巡查工作，规范工作台账，加强灾害影响分析</w:t>
      </w:r>
    </w:p>
    <w:p>
      <w:pPr>
        <w:ind w:firstLine="640"/>
      </w:pPr>
      <w:r>
        <w:rPr>
          <w:rFonts w:hint="eastAsia"/>
        </w:rPr>
        <w:t>建议单位加强地质灾害隐患点巡查工作，并形成详尽的巡查台账，详细记录每个地质灾害隐患点存在的问题并督促有关单位及时改进完善；做好地质次生灾害造成人员伤亡的情况和直接经济损失情况统计，并详细分析因地质次生灾害造成的间接经济损失。和地质灾害相关经济损失统计数据。</w:t>
      </w:r>
    </w:p>
    <w:p>
      <w:pPr>
        <w:ind w:firstLine="640"/>
      </w:pPr>
      <w:r>
        <w:rPr>
          <w:rFonts w:hint="eastAsia"/>
        </w:rPr>
        <w:t>3.继续加强地质灾害治理工作</w:t>
      </w:r>
    </w:p>
    <w:p>
      <w:pPr>
        <w:ind w:firstLine="640"/>
      </w:pPr>
      <w:r>
        <w:rPr>
          <w:rFonts w:hint="eastAsia"/>
        </w:rPr>
        <w:t>建议继续加强地质灾害治理工作，做到地质灾害治理无漏洞。</w:t>
      </w:r>
    </w:p>
    <w:p>
      <w:pPr>
        <w:ind w:firstLine="640"/>
      </w:pPr>
      <w:r>
        <w:rPr>
          <w:rFonts w:hint="eastAsia"/>
        </w:rPr>
        <w:t>4. 进一步提升项目绩效管理工作</w:t>
      </w:r>
    </w:p>
    <w:p>
      <w:pPr>
        <w:ind w:firstLine="640"/>
      </w:pPr>
      <w:r>
        <w:rPr>
          <w:rFonts w:hint="eastAsia"/>
        </w:rPr>
        <w:t>建议单位完善项目预算绩效管理工作制度，继续细化绩效指标内容，设置一整套清晰合理、可衡量、个性化的绩效指标体系，并加强指标评价体系在工作中的实际运用。将绩效评价工作贯穿于整个项目实施过程，并进一步对项目情况进行收集反馈，切实促进项目绩效管理工作。</w:t>
      </w:r>
    </w:p>
    <w:p>
      <w:pPr>
        <w:ind w:firstLine="640"/>
      </w:pPr>
      <w:r>
        <w:rPr>
          <w:rFonts w:hint="eastAsia"/>
        </w:rPr>
        <w:t>另建议规范绩效自评工作，按照绩效评价工作要求填写绩效自评表，分析扣分项的失分原因，并找出解决办法。</w:t>
      </w:r>
    </w:p>
    <w:p>
      <w:pPr>
        <w:pStyle w:val="2"/>
        <w:ind w:firstLine="640"/>
      </w:pPr>
    </w:p>
    <w:p>
      <w:pPr>
        <w:ind w:firstLine="960" w:firstLineChars="300"/>
        <w:jc w:val="right"/>
        <w:rPr>
          <w:rFonts w:hint="eastAsia" w:ascii="仿宋_GB2312" w:hAnsi="等线"/>
        </w:rPr>
      </w:pPr>
      <w:r>
        <w:rPr>
          <w:rFonts w:hint="eastAsia" w:ascii="仿宋_GB2312" w:hAnsi="仿宋_GB2312" w:cs="仿宋_GB2312"/>
          <w:bCs/>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A8CDD0"/>
    <w:multiLevelType w:val="singleLevel"/>
    <w:tmpl w:val="CBA8CDD0"/>
    <w:lvl w:ilvl="0" w:tentative="0">
      <w:start w:val="1"/>
      <w:numFmt w:val="chineseCounting"/>
      <w:suff w:val="nothing"/>
      <w:lvlText w:val="（%1）"/>
      <w:lvlJc w:val="left"/>
      <w:rPr>
        <w:rFonts w:hint="eastAsia"/>
      </w:rPr>
    </w:lvl>
  </w:abstractNum>
  <w:abstractNum w:abstractNumId="1">
    <w:nsid w:val="109C1F2F"/>
    <w:multiLevelType w:val="singleLevel"/>
    <w:tmpl w:val="109C1F2F"/>
    <w:lvl w:ilvl="0" w:tentative="0">
      <w:start w:val="1"/>
      <w:numFmt w:val="chineseCounting"/>
      <w:suff w:val="nothing"/>
      <w:lvlText w:val="%1、"/>
      <w:lvlJc w:val="left"/>
      <w:pPr>
        <w:ind w:left="3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077997"/>
    <w:rsid w:val="00071062"/>
    <w:rsid w:val="00077997"/>
    <w:rsid w:val="00107A09"/>
    <w:rsid w:val="004C65FB"/>
    <w:rsid w:val="004C6C9A"/>
    <w:rsid w:val="005337DA"/>
    <w:rsid w:val="005745F4"/>
    <w:rsid w:val="0061285B"/>
    <w:rsid w:val="006E73A0"/>
    <w:rsid w:val="00717A2C"/>
    <w:rsid w:val="00805C79"/>
    <w:rsid w:val="00836778"/>
    <w:rsid w:val="008B07A0"/>
    <w:rsid w:val="008F04C1"/>
    <w:rsid w:val="00A176C0"/>
    <w:rsid w:val="00A246DB"/>
    <w:rsid w:val="00AD7A31"/>
    <w:rsid w:val="00B00515"/>
    <w:rsid w:val="00B42A32"/>
    <w:rsid w:val="00C3505F"/>
    <w:rsid w:val="00C806C9"/>
    <w:rsid w:val="00DC1C63"/>
    <w:rsid w:val="00F009AF"/>
    <w:rsid w:val="00F755E9"/>
    <w:rsid w:val="01D46C6D"/>
    <w:rsid w:val="07C54AD9"/>
    <w:rsid w:val="08A6025D"/>
    <w:rsid w:val="0CF96D1F"/>
    <w:rsid w:val="0D164F00"/>
    <w:rsid w:val="11DB0B51"/>
    <w:rsid w:val="12AE057A"/>
    <w:rsid w:val="13A43F2F"/>
    <w:rsid w:val="15C44C09"/>
    <w:rsid w:val="193D71F3"/>
    <w:rsid w:val="1DA90758"/>
    <w:rsid w:val="1ED16F30"/>
    <w:rsid w:val="24295C50"/>
    <w:rsid w:val="27D8504D"/>
    <w:rsid w:val="2A061E11"/>
    <w:rsid w:val="2C7E6A0F"/>
    <w:rsid w:val="2DFF5DDF"/>
    <w:rsid w:val="2FFB44C2"/>
    <w:rsid w:val="318311E4"/>
    <w:rsid w:val="367217D1"/>
    <w:rsid w:val="368F6178"/>
    <w:rsid w:val="39760F12"/>
    <w:rsid w:val="39EA114B"/>
    <w:rsid w:val="3A91750A"/>
    <w:rsid w:val="3C601FC0"/>
    <w:rsid w:val="3CFA521A"/>
    <w:rsid w:val="3F384CFA"/>
    <w:rsid w:val="4531318A"/>
    <w:rsid w:val="458A0FC3"/>
    <w:rsid w:val="4AC9180A"/>
    <w:rsid w:val="4AF40FA1"/>
    <w:rsid w:val="56494DB0"/>
    <w:rsid w:val="570E068D"/>
    <w:rsid w:val="57875C52"/>
    <w:rsid w:val="57DA46C2"/>
    <w:rsid w:val="585F3CF0"/>
    <w:rsid w:val="59887928"/>
    <w:rsid w:val="5C3E0AF1"/>
    <w:rsid w:val="6025396A"/>
    <w:rsid w:val="60E52355"/>
    <w:rsid w:val="60F07D9B"/>
    <w:rsid w:val="61A44D62"/>
    <w:rsid w:val="61BE42DE"/>
    <w:rsid w:val="64783763"/>
    <w:rsid w:val="647A6C66"/>
    <w:rsid w:val="64FC7C2F"/>
    <w:rsid w:val="671B2967"/>
    <w:rsid w:val="671C49CF"/>
    <w:rsid w:val="689165D7"/>
    <w:rsid w:val="6A5D2190"/>
    <w:rsid w:val="6B0C1333"/>
    <w:rsid w:val="6CB12B16"/>
    <w:rsid w:val="6E0E0133"/>
    <w:rsid w:val="6E5E65A2"/>
    <w:rsid w:val="6FD8534C"/>
    <w:rsid w:val="720E6980"/>
    <w:rsid w:val="72765894"/>
    <w:rsid w:val="75B86038"/>
    <w:rsid w:val="75B92284"/>
    <w:rsid w:val="79606526"/>
    <w:rsid w:val="7AA85207"/>
    <w:rsid w:val="7B365B2B"/>
    <w:rsid w:val="7C736C00"/>
    <w:rsid w:val="7DEA0036"/>
    <w:rsid w:val="7E321080"/>
    <w:rsid w:val="7EC36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qFormat/>
    <w:uiPriority w:val="0"/>
    <w:pPr>
      <w:wordWrap w:val="0"/>
      <w:ind w:firstLine="0" w:firstLineChars="0"/>
      <w:jc w:val="left"/>
      <w:outlineLvl w:val="0"/>
    </w:pPr>
    <w:rPr>
      <w:rFonts w:eastAsia="宋体"/>
      <w:b/>
      <w:kern w:val="44"/>
      <w:sz w:val="44"/>
    </w:rPr>
  </w:style>
  <w:style w:type="paragraph" w:styleId="5">
    <w:name w:val="heading 2"/>
    <w:basedOn w:val="1"/>
    <w:next w:val="1"/>
    <w:link w:val="14"/>
    <w:unhideWhenUsed/>
    <w:qFormat/>
    <w:uiPriority w:val="0"/>
    <w:pPr>
      <w:outlineLvl w:val="1"/>
    </w:pPr>
    <w:rPr>
      <w:rFonts w:eastAsia="黑体"/>
    </w:rPr>
  </w:style>
  <w:style w:type="paragraph" w:styleId="6">
    <w:name w:val="heading 3"/>
    <w:basedOn w:val="1"/>
    <w:next w:val="1"/>
    <w:unhideWhenUsed/>
    <w:qFormat/>
    <w:uiPriority w:val="0"/>
    <w:pPr>
      <w:wordWrap w:val="0"/>
      <w:outlineLvl w:val="2"/>
    </w:pPr>
    <w:rPr>
      <w:rFonts w:eastAsia="楷体"/>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wordWrap w:val="0"/>
      <w:ind w:left="850"/>
    </w:pPr>
    <w:rPr>
      <w:rFonts w:ascii="Calibri" w:hAnsi="Calibri" w:cs="黑体"/>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spacing w:beforeAutospacing="1" w:afterAutospacing="1"/>
      <w:jc w:val="left"/>
    </w:pPr>
    <w:rPr>
      <w:kern w:val="0"/>
      <w:sz w:val="24"/>
    </w:rPr>
  </w:style>
  <w:style w:type="paragraph" w:customStyle="1" w:styleId="12">
    <w:name w:val="一级标题"/>
    <w:basedOn w:val="1"/>
    <w:qFormat/>
    <w:uiPriority w:val="0"/>
    <w:rPr>
      <w:rFonts w:hint="eastAsia" w:eastAsia="黑体" w:cs="黑体"/>
      <w:b/>
      <w:snapToGrid w:val="0"/>
      <w:kern w:val="0"/>
      <w:szCs w:val="32"/>
    </w:rPr>
  </w:style>
  <w:style w:type="paragraph" w:customStyle="1" w:styleId="13">
    <w:name w:val="二级标题"/>
    <w:basedOn w:val="1"/>
    <w:qFormat/>
    <w:uiPriority w:val="0"/>
    <w:rPr>
      <w:rFonts w:hint="eastAsia"/>
      <w:snapToGrid w:val="0"/>
      <w:kern w:val="0"/>
      <w:szCs w:val="32"/>
    </w:rPr>
  </w:style>
  <w:style w:type="character" w:customStyle="1" w:styleId="14">
    <w:name w:val="标题 2 字符"/>
    <w:link w:val="5"/>
    <w:qFormat/>
    <w:uiPriority w:val="0"/>
    <w:rPr>
      <w:rFonts w:ascii="Times New Roman" w:hAnsi="Times New Roman" w:eastAsia="黑体" w:cs="Times New Roman"/>
      <w:kern w:val="2"/>
      <w:sz w:val="32"/>
      <w:szCs w:val="24"/>
    </w:rPr>
  </w:style>
  <w:style w:type="paragraph" w:customStyle="1" w:styleId="15">
    <w:name w:val="正文格式"/>
    <w:basedOn w:val="1"/>
    <w:qFormat/>
    <w:uiPriority w:val="0"/>
    <w:pPr>
      <w:spacing w:line="600" w:lineRule="exact"/>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288</Words>
  <Characters>1644</Characters>
  <Lines>13</Lines>
  <Paragraphs>3</Paragraphs>
  <TotalTime>0</TotalTime>
  <ScaleCrop>false</ScaleCrop>
  <LinksUpToDate>false</LinksUpToDate>
  <CharactersWithSpaces>1929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2022-09-09T08:07:00Z</dcterms:created>
  <dc:creator>Administrator.DESKTOP-B1STNI9</dc:creator>
  <cp:lastModifiedBy>周怡</cp:lastModifiedBy>
  <dcterms:modified xsi:type="dcterms:W3CDTF">2022-12-01T03:34:58Z</dcterms:modified>
  <dc:title>2021年广州市规划和自然资源局从化区</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0002EDD15D0447EF89490D2ABDCAAAEB</vt:lpwstr>
  </property>
</Properties>
</file>