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atLeast"/>
        <w:jc w:val="center"/>
        <w:rPr>
          <w:rFonts w:hint="eastAsia" w:eastAsia="方正小标宋_GBK"/>
          <w:bCs/>
          <w:kern w:val="0"/>
          <w:sz w:val="36"/>
          <w:szCs w:val="36"/>
          <w:lang w:val="en-US" w:eastAsia="zh-CN"/>
        </w:rPr>
      </w:pP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方正小标宋_GBK" w:hAnsi="方正小标宋_GBK" w:eastAsia="方正小标宋_GBK" w:cs="方正小标宋_GBK"/>
          <w:bCs/>
          <w:kern w:val="0"/>
          <w:sz w:val="44"/>
          <w:szCs w:val="44"/>
        </w:rPr>
      </w:pPr>
      <w:r>
        <w:rPr>
          <w:rFonts w:hint="eastAsia" w:ascii="方正小标宋_GBK" w:hAnsi="方正小标宋_GBK" w:eastAsia="方正小标宋_GBK" w:cs="方正小标宋_GBK"/>
          <w:bCs/>
          <w:kern w:val="0"/>
          <w:sz w:val="44"/>
          <w:szCs w:val="44"/>
        </w:rPr>
        <w:t>2021年度广州市从化区风云岭森林公园日常运作及风云岭湿地公园设施维护、绿化</w:t>
      </w: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方正小标宋_GBK" w:hAnsi="方正小标宋_GBK" w:eastAsia="方正小标宋_GBK" w:cs="方正小标宋_GBK"/>
          <w:snapToGrid w:val="0"/>
          <w:kern w:val="0"/>
          <w:sz w:val="44"/>
          <w:szCs w:val="44"/>
        </w:rPr>
      </w:pPr>
      <w:r>
        <w:rPr>
          <w:rFonts w:hint="eastAsia" w:ascii="方正小标宋_GBK" w:hAnsi="方正小标宋_GBK" w:eastAsia="方正小标宋_GBK" w:cs="方正小标宋_GBK"/>
          <w:bCs/>
          <w:kern w:val="0"/>
          <w:sz w:val="44"/>
          <w:szCs w:val="44"/>
        </w:rPr>
        <w:t>管护经费项目绩效</w:t>
      </w:r>
      <w:bookmarkStart w:id="0" w:name="_Hlk109893128"/>
      <w:r>
        <w:rPr>
          <w:rFonts w:hint="eastAsia" w:ascii="方正小标宋_GBK" w:hAnsi="方正小标宋_GBK" w:eastAsia="方正小标宋_GBK" w:cs="方正小标宋_GBK"/>
          <w:bCs/>
          <w:kern w:val="0"/>
          <w:sz w:val="44"/>
          <w:szCs w:val="44"/>
        </w:rPr>
        <w:t>自评复核</w:t>
      </w:r>
      <w:bookmarkEnd w:id="0"/>
      <w:r>
        <w:rPr>
          <w:rFonts w:hint="eastAsia" w:ascii="方正小标宋_GBK" w:hAnsi="方正小标宋_GBK" w:eastAsia="方正小标宋_GBK" w:cs="方正小标宋_GBK"/>
          <w:bCs/>
          <w:kern w:val="0"/>
          <w:sz w:val="44"/>
          <w:szCs w:val="44"/>
          <w:lang w:val="en-US" w:eastAsia="zh-CN"/>
        </w:rPr>
        <w:t>简要</w:t>
      </w:r>
      <w:r>
        <w:rPr>
          <w:rFonts w:hint="eastAsia" w:ascii="方正小标宋_GBK" w:hAnsi="方正小标宋_GBK" w:eastAsia="方正小标宋_GBK" w:cs="方正小标宋_GBK"/>
          <w:bCs/>
          <w:kern w:val="0"/>
          <w:sz w:val="44"/>
          <w:szCs w:val="44"/>
        </w:rPr>
        <w:t>报告</w:t>
      </w:r>
    </w:p>
    <w:p>
      <w:pPr>
        <w:jc w:val="center"/>
      </w:pPr>
      <w:r>
        <w:rPr>
          <w:rFonts w:hint="eastAsia" w:eastAsia="仿宋_GB2312"/>
          <w:snapToGrid w:val="0"/>
          <w:kern w:val="0"/>
          <w:sz w:val="32"/>
          <w:szCs w:val="32"/>
        </w:rPr>
        <w:t>天津中审联有限责任会计师事务所</w:t>
      </w:r>
      <w:bookmarkStart w:id="1" w:name="_Toc26130"/>
      <w:bookmarkStart w:id="2" w:name="_Toc21945"/>
      <w:bookmarkStart w:id="3" w:name="_Toc6530"/>
      <w:bookmarkStart w:id="4" w:name="_Toc2979"/>
      <w:bookmarkStart w:id="5" w:name="_Toc29133"/>
      <w:bookmarkStart w:id="6" w:name="_Toc12794488"/>
      <w:bookmarkStart w:id="7" w:name="_Toc54364571"/>
      <w:bookmarkStart w:id="8" w:name="_Toc45111711"/>
    </w:p>
    <w:bookmarkEnd w:id="1"/>
    <w:bookmarkEnd w:id="2"/>
    <w:bookmarkEnd w:id="3"/>
    <w:bookmarkEnd w:id="4"/>
    <w:bookmarkEnd w:id="5"/>
    <w:bookmarkEnd w:id="6"/>
    <w:bookmarkEnd w:id="7"/>
    <w:bookmarkEnd w:id="8"/>
    <w:p>
      <w:pPr>
        <w:pStyle w:val="2"/>
      </w:pPr>
    </w:p>
    <w:p>
      <w:pPr>
        <w:adjustRightInd w:val="0"/>
        <w:snapToGrid w:val="0"/>
        <w:spacing w:line="560" w:lineRule="exact"/>
        <w:ind w:firstLine="640" w:firstLineChars="200"/>
        <w:rPr>
          <w:rFonts w:hint="eastAsia" w:ascii="Times New Roman" w:hAnsi="Times New Roman" w:eastAsia="仿宋_GB2312" w:cs="Times New Roman"/>
          <w:snapToGrid w:val="0"/>
          <w:kern w:val="0"/>
          <w:sz w:val="32"/>
          <w:szCs w:val="32"/>
          <w:lang w:val="en-US" w:eastAsia="zh-CN"/>
        </w:rPr>
      </w:pPr>
      <w:r>
        <w:rPr>
          <w:rFonts w:hint="eastAsia" w:ascii="Times New Roman" w:hAnsi="Times New Roman" w:eastAsia="仿宋_GB2312" w:cs="Times New Roman"/>
          <w:snapToGrid w:val="0"/>
          <w:kern w:val="0"/>
          <w:sz w:val="32"/>
          <w:szCs w:val="32"/>
          <w:lang w:val="en-US" w:eastAsia="zh-CN"/>
        </w:rPr>
        <w:t>根据《广州市从化区财政局关于开展2022年财政支出第三方绩效评价工作的通知》的要求，广州市财政局委托中审联（天津）会计师事务所对广州市从化区风云岭森林公园日常运作及风云岭湿地公园设施维护、绿化管护经费项目绩效自评报告及相关材料进行复核。</w:t>
      </w:r>
    </w:p>
    <w:p>
      <w:pPr>
        <w:adjustRightInd w:val="0"/>
        <w:snapToGrid w:val="0"/>
        <w:spacing w:line="560" w:lineRule="exact"/>
        <w:ind w:firstLine="640" w:firstLineChars="200"/>
        <w:rPr>
          <w:rFonts w:hint="eastAsia" w:ascii="Times New Roman" w:hAnsi="Times New Roman" w:eastAsia="仿宋_GB2312" w:cs="Times New Roman"/>
          <w:snapToGrid w:val="0"/>
          <w:kern w:val="0"/>
          <w:sz w:val="32"/>
          <w:szCs w:val="32"/>
          <w:lang w:val="en-US" w:eastAsia="zh-CN"/>
        </w:rPr>
      </w:pPr>
      <w:r>
        <w:rPr>
          <w:rFonts w:hint="eastAsia" w:ascii="Times New Roman" w:hAnsi="Times New Roman" w:eastAsia="仿宋_GB2312" w:cs="Times New Roman"/>
          <w:snapToGrid w:val="0"/>
          <w:kern w:val="0"/>
          <w:sz w:val="32"/>
          <w:szCs w:val="32"/>
          <w:lang w:val="en-US" w:eastAsia="zh-CN"/>
        </w:rPr>
        <w:t>复核意见是在审阅风云岭森林公园日常运作及风云岭湿地公园设施维护、绿化管护经费项目自评材料以及现场考察的基础上形成的。本次财政支出项目绩效分优、良、中、差四个等级，自评复核时间为2021年度。</w:t>
      </w:r>
    </w:p>
    <w:p>
      <w:pPr>
        <w:adjustRightInd w:val="0"/>
        <w:snapToGrid w:val="0"/>
        <w:spacing w:line="560" w:lineRule="exact"/>
        <w:ind w:firstLine="640" w:firstLineChars="200"/>
        <w:rPr>
          <w:rFonts w:hint="eastAsia" w:asciiTheme="minorHAnsi" w:hAnsiTheme="minorHAnsi" w:eastAsiaTheme="minorEastAsia" w:cstheme="minorBidi"/>
          <w:b w:val="0"/>
          <w:bCs w:val="0"/>
          <w:kern w:val="2"/>
          <w:sz w:val="21"/>
          <w:szCs w:val="24"/>
          <w:lang w:val="en-US" w:eastAsia="zh-CN" w:bidi="ar-SA"/>
        </w:rPr>
      </w:pPr>
      <w:r>
        <w:rPr>
          <w:rFonts w:hint="eastAsia" w:ascii="Times New Roman" w:hAnsi="Times New Roman" w:eastAsia="仿宋" w:cs="仿宋"/>
          <w:b w:val="0"/>
          <w:bCs w:val="0"/>
          <w:color w:val="000000"/>
          <w:sz w:val="32"/>
          <w:szCs w:val="32"/>
        </w:rPr>
        <w:t>经复核，风云岭森林公园日常运作及风云岭湿地公园设施维护、绿化管护经费项目绩效等级为“良”。</w:t>
      </w:r>
    </w:p>
    <w:p>
      <w:pPr>
        <w:pStyle w:val="3"/>
        <w:widowControl/>
        <w:snapToGrid w:val="0"/>
        <w:spacing w:before="0" w:beforeLines="-2147483648" w:beforeAutospacing="0" w:after="0" w:afterLines="-2147483648" w:afterAutospacing="0" w:line="560" w:lineRule="exact"/>
        <w:ind w:firstLine="640" w:firstLineChars="200"/>
        <w:rPr>
          <w:rFonts w:hint="eastAsia" w:ascii="宋体" w:hAnsi="宋体" w:eastAsia="黑体" w:cs="宋体"/>
          <w:b w:val="0"/>
          <w:bCs/>
          <w:kern w:val="2"/>
          <w:sz w:val="32"/>
          <w:szCs w:val="22"/>
          <w:lang w:val="en-US" w:eastAsia="zh-CN"/>
        </w:rPr>
      </w:pPr>
      <w:r>
        <w:rPr>
          <w:rFonts w:hint="eastAsia" w:ascii="宋体" w:hAnsi="宋体" w:eastAsia="黑体" w:cs="宋体"/>
          <w:b w:val="0"/>
          <w:bCs/>
          <w:kern w:val="2"/>
          <w:sz w:val="32"/>
          <w:szCs w:val="22"/>
          <w:lang w:val="en-US" w:eastAsia="zh-CN"/>
        </w:rPr>
        <w:t>一、基本情况</w:t>
      </w:r>
    </w:p>
    <w:p>
      <w:pPr>
        <w:pStyle w:val="4"/>
        <w:widowControl/>
        <w:snapToGrid w:val="0"/>
        <w:spacing w:before="0" w:after="0" w:line="560" w:lineRule="exact"/>
        <w:ind w:firstLine="640" w:firstLineChars="200"/>
        <w:rPr>
          <w:rFonts w:hint="eastAsia" w:ascii="楷体" w:hAnsi="楷体" w:eastAsia="楷体" w:cs="楷体"/>
          <w:b w:val="0"/>
          <w:bCs w:val="0"/>
          <w:color w:val="000000"/>
          <w:sz w:val="32"/>
          <w:szCs w:val="32"/>
          <w:lang w:val="en-US" w:eastAsia="zh-CN"/>
        </w:rPr>
      </w:pPr>
      <w:r>
        <w:rPr>
          <w:rFonts w:hint="eastAsia" w:ascii="楷体" w:hAnsi="楷体" w:eastAsia="楷体" w:cs="楷体"/>
          <w:b w:val="0"/>
          <w:bCs w:val="0"/>
          <w:color w:val="000000"/>
          <w:sz w:val="32"/>
          <w:szCs w:val="32"/>
          <w:lang w:val="en-US" w:eastAsia="zh-CN"/>
        </w:rPr>
        <w:t>（一）主要内容</w:t>
      </w:r>
    </w:p>
    <w:p>
      <w:pPr>
        <w:spacing w:line="560" w:lineRule="atLeast"/>
        <w:ind w:firstLine="640" w:firstLineChars="200"/>
        <w:rPr>
          <w:rFonts w:hint="eastAsia"/>
          <w:lang w:val="en-US" w:eastAsia="zh-CN"/>
        </w:rPr>
      </w:pPr>
      <w:r>
        <w:rPr>
          <w:rFonts w:hint="eastAsia" w:ascii="仿宋" w:hAnsi="仿宋" w:eastAsia="仿宋" w:cs="仿宋"/>
          <w:sz w:val="32"/>
          <w:szCs w:val="32"/>
          <w:lang w:val="en-US" w:eastAsia="zh-CN"/>
        </w:rPr>
        <w:t>项目内容主要包含三部分，第一部分是森林公园绿化面积以及湿地公园广场养护，草地、苗木养护。风云岭森林公园绿化面积为共为95310㎡，其中新增风云岭森林公园（S355线公园入口-山顶发射塔）道路两侧景观绿化升级改造工程</w:t>
      </w:r>
      <w:bookmarkStart w:id="13" w:name="_GoBack"/>
      <w:bookmarkEnd w:id="13"/>
      <w:r>
        <w:rPr>
          <w:rFonts w:hint="eastAsia" w:ascii="仿宋" w:hAnsi="仿宋" w:eastAsia="仿宋" w:cs="仿宋"/>
          <w:sz w:val="32"/>
          <w:szCs w:val="32"/>
          <w:lang w:val="en-US" w:eastAsia="zh-CN"/>
        </w:rPr>
        <w:t>绿化面积28044㎡，风云岭环山公路修复绿化工程绿化面积30970㎡，风云岭森林公园（入口广场）绿化景观提升工程绿化面积4961㎡。有乔木3000棵，行道紫荆244株；湿地公园广场面积为101283㎡。第二部分是对公园进行日常管理，保障公园环境整洁，维修、维护公园设施，维护公园秩序，及时处理游客反馈。第三部分是对广州市城市主题花景建设风云岭湿地公园种植苗木进行养护。</w:t>
      </w:r>
    </w:p>
    <w:p>
      <w:pPr>
        <w:pStyle w:val="4"/>
        <w:widowControl/>
        <w:snapToGrid w:val="0"/>
        <w:spacing w:before="0" w:after="0" w:line="560" w:lineRule="exact"/>
        <w:ind w:firstLine="640" w:firstLineChars="200"/>
        <w:rPr>
          <w:rFonts w:hint="eastAsia" w:ascii="楷体" w:hAnsi="楷体" w:eastAsia="楷体" w:cs="楷体"/>
          <w:b w:val="0"/>
          <w:bCs w:val="0"/>
          <w:color w:val="000000"/>
          <w:sz w:val="32"/>
          <w:szCs w:val="32"/>
          <w:lang w:val="en-US" w:eastAsia="zh-CN"/>
        </w:rPr>
      </w:pPr>
      <w:r>
        <w:rPr>
          <w:rFonts w:hint="eastAsia" w:ascii="楷体" w:hAnsi="楷体" w:eastAsia="楷体" w:cs="楷体"/>
          <w:b w:val="0"/>
          <w:bCs w:val="0"/>
          <w:color w:val="000000"/>
          <w:sz w:val="32"/>
          <w:szCs w:val="32"/>
          <w:lang w:val="en-US" w:eastAsia="zh-CN"/>
        </w:rPr>
        <w:t>（二）部门资金情况</w:t>
      </w:r>
    </w:p>
    <w:p>
      <w:pPr>
        <w:spacing w:line="560" w:lineRule="atLeast"/>
        <w:ind w:firstLine="640" w:firstLineChars="200"/>
      </w:pPr>
      <w:r>
        <w:rPr>
          <w:rFonts w:hint="eastAsia" w:ascii="仿宋" w:hAnsi="仿宋" w:eastAsia="仿宋" w:cs="仿宋"/>
          <w:sz w:val="32"/>
          <w:szCs w:val="32"/>
          <w:lang w:val="en-US" w:eastAsia="zh-CN"/>
        </w:rPr>
        <w:t>2021年2月22日，林业和园林局审批同意了广州市从化区风云岭森林公园管理所的预算，其中风云岭森林公园日常运作及风云岭湿地公园设施维护、绿化管护项目经费为319.74万元，实际支出为319.74万元，预算执行率为100%。</w:t>
      </w:r>
    </w:p>
    <w:p>
      <w:pPr>
        <w:pStyle w:val="3"/>
        <w:widowControl/>
        <w:snapToGrid w:val="0"/>
        <w:spacing w:before="0" w:beforeLines="-2147483648" w:beforeAutospacing="0" w:after="0" w:afterLines="-2147483648" w:afterAutospacing="0" w:line="560" w:lineRule="exact"/>
        <w:ind w:firstLine="640" w:firstLineChars="200"/>
        <w:rPr>
          <w:rFonts w:hint="eastAsia" w:ascii="宋体" w:hAnsi="宋体" w:eastAsia="黑体" w:cs="宋体"/>
          <w:b w:val="0"/>
          <w:bCs/>
          <w:kern w:val="2"/>
          <w:sz w:val="32"/>
          <w:szCs w:val="22"/>
          <w:lang w:val="en-US" w:eastAsia="zh-CN"/>
        </w:rPr>
      </w:pPr>
      <w:r>
        <w:rPr>
          <w:rFonts w:hint="eastAsia" w:ascii="宋体" w:hAnsi="宋体" w:eastAsia="黑体" w:cs="宋体"/>
          <w:b w:val="0"/>
          <w:bCs/>
          <w:kern w:val="2"/>
          <w:sz w:val="32"/>
          <w:szCs w:val="22"/>
          <w:lang w:val="en-US" w:eastAsia="zh-CN"/>
        </w:rPr>
        <w:t>二、部门绩效目标完成情况</w:t>
      </w:r>
    </w:p>
    <w:p>
      <w:pPr>
        <w:pStyle w:val="4"/>
        <w:widowControl/>
        <w:snapToGrid w:val="0"/>
        <w:spacing w:before="0" w:after="0" w:line="560" w:lineRule="exact"/>
        <w:ind w:firstLine="640" w:firstLineChars="200"/>
        <w:rPr>
          <w:rFonts w:hint="eastAsia" w:ascii="楷体" w:hAnsi="楷体" w:eastAsia="楷体" w:cs="楷体"/>
          <w:b w:val="0"/>
          <w:bCs w:val="0"/>
          <w:kern w:val="2"/>
          <w:sz w:val="32"/>
          <w:szCs w:val="32"/>
          <w:lang w:val="en-US" w:eastAsia="zh-CN" w:bidi="ar-SA"/>
        </w:rPr>
      </w:pPr>
      <w:r>
        <w:rPr>
          <w:rFonts w:hint="eastAsia" w:ascii="楷体" w:hAnsi="楷体" w:eastAsia="楷体" w:cs="楷体"/>
          <w:b w:val="0"/>
          <w:bCs w:val="0"/>
          <w:kern w:val="2"/>
          <w:sz w:val="32"/>
          <w:szCs w:val="32"/>
          <w:lang w:val="en-US" w:eastAsia="zh-CN" w:bidi="ar-SA"/>
        </w:rPr>
        <w:t>（一）预期绩效目标</w:t>
      </w:r>
    </w:p>
    <w:p>
      <w:pPr>
        <w:spacing w:line="560" w:lineRule="atLeas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项目主要目标为对风云岭森林公园95310㎡的绿化面积、101283㎡的湿地公园广场面积以及3244株绿植进行养护，保护公园生态环境，从而提高从化区绿化水平。并对森林公园的公共设施、管护设备进行维修、维护，保障公园整洁，维护公园秩序。对裸露草皮进行补种，替换和补种枯死花卉、苗木，为当地居民提供良好的游乐休憩场所。</w:t>
      </w:r>
    </w:p>
    <w:p>
      <w:pPr>
        <w:pStyle w:val="4"/>
        <w:widowControl/>
        <w:snapToGrid w:val="0"/>
        <w:spacing w:before="0" w:after="0" w:line="560" w:lineRule="exact"/>
        <w:ind w:firstLine="640" w:firstLineChars="200"/>
        <w:rPr>
          <w:rFonts w:hint="eastAsia" w:ascii="楷体" w:hAnsi="楷体" w:eastAsia="楷体" w:cs="楷体"/>
          <w:b w:val="0"/>
          <w:bCs w:val="0"/>
          <w:kern w:val="2"/>
          <w:sz w:val="32"/>
          <w:szCs w:val="32"/>
          <w:lang w:val="en-US" w:eastAsia="zh-CN" w:bidi="ar-SA"/>
        </w:rPr>
      </w:pPr>
      <w:r>
        <w:rPr>
          <w:rFonts w:hint="eastAsia" w:ascii="楷体" w:hAnsi="楷体" w:eastAsia="楷体" w:cs="楷体"/>
          <w:b w:val="0"/>
          <w:bCs w:val="0"/>
          <w:kern w:val="2"/>
          <w:sz w:val="32"/>
          <w:szCs w:val="32"/>
          <w:lang w:val="en-US" w:eastAsia="zh-CN" w:bidi="ar-SA"/>
        </w:rPr>
        <w:t>（二）绩效目标完成情况</w:t>
      </w:r>
    </w:p>
    <w:p>
      <w:pPr>
        <w:spacing w:line="560" w:lineRule="atLeas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1.对95310㎡的绿化森林面积、101283㎡的湿地公园面积以及3244棵绿植实施养护。</w:t>
      </w:r>
    </w:p>
    <w:p>
      <w:pPr>
        <w:spacing w:line="560" w:lineRule="atLeas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2.苗木成活率达到85%以上，未达到95%以上的绩效目标要求。</w:t>
      </w:r>
    </w:p>
    <w:p>
      <w:pPr>
        <w:spacing w:line="560" w:lineRule="atLeas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3.处理16起投诉事项和1起信访事项。</w:t>
      </w:r>
    </w:p>
    <w:p>
      <w:pPr>
        <w:spacing w:line="560" w:lineRule="atLeas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4.2021年度期间未发生安全事故。</w:t>
      </w:r>
    </w:p>
    <w:p>
      <w:pPr>
        <w:spacing w:line="560" w:lineRule="atLeas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5.发放65份满意度调查问卷，达到比较满意程度的问卷有65份。</w:t>
      </w:r>
    </w:p>
    <w:p>
      <w:pPr>
        <w:pStyle w:val="3"/>
        <w:widowControl/>
        <w:snapToGrid w:val="0"/>
        <w:spacing w:before="0" w:beforeLines="-2147483648" w:beforeAutospacing="0" w:after="0" w:afterLines="-2147483648" w:afterAutospacing="0" w:line="560" w:lineRule="exact"/>
        <w:ind w:firstLine="640" w:firstLineChars="200"/>
        <w:rPr>
          <w:rFonts w:hint="eastAsia" w:ascii="宋体" w:hAnsi="宋体" w:eastAsia="黑体" w:cs="宋体"/>
          <w:b w:val="0"/>
          <w:bCs/>
          <w:kern w:val="2"/>
          <w:sz w:val="32"/>
          <w:szCs w:val="22"/>
          <w:lang w:val="en-US" w:eastAsia="zh-CN"/>
        </w:rPr>
      </w:pPr>
      <w:r>
        <w:rPr>
          <w:rFonts w:hint="eastAsia" w:ascii="宋体" w:hAnsi="宋体" w:eastAsia="黑体" w:cs="宋体"/>
          <w:b w:val="0"/>
          <w:bCs/>
          <w:kern w:val="2"/>
          <w:sz w:val="32"/>
          <w:szCs w:val="22"/>
          <w:lang w:val="en-US" w:eastAsia="zh-CN"/>
        </w:rPr>
        <w:t>三、存在的问题及建议</w:t>
      </w:r>
    </w:p>
    <w:p>
      <w:pPr>
        <w:ind w:firstLine="640" w:firstLineChars="200"/>
        <w:rPr>
          <w:rFonts w:hint="eastAsia" w:ascii="楷体" w:hAnsi="楷体" w:eastAsia="楷体" w:cs="楷体"/>
          <w:sz w:val="32"/>
          <w:szCs w:val="32"/>
          <w:lang w:val="en-US" w:eastAsia="zh-CN"/>
        </w:rPr>
      </w:pPr>
      <w:r>
        <w:rPr>
          <w:rFonts w:hint="eastAsia" w:ascii="楷体" w:hAnsi="楷体" w:eastAsia="楷体" w:cs="楷体"/>
          <w:b w:val="0"/>
          <w:bCs/>
          <w:kern w:val="2"/>
          <w:sz w:val="32"/>
          <w:szCs w:val="32"/>
          <w:lang w:val="en-US" w:eastAsia="zh-CN"/>
        </w:rPr>
        <w:t>（一）存在的问题</w:t>
      </w:r>
    </w:p>
    <w:p>
      <w:pPr>
        <w:pStyle w:val="4"/>
        <w:widowControl/>
        <w:snapToGrid w:val="0"/>
        <w:spacing w:before="0" w:after="0" w:line="560" w:lineRule="exact"/>
        <w:ind w:firstLine="640" w:firstLineChars="200"/>
        <w:rPr>
          <w:rFonts w:hint="eastAsia" w:ascii="仿宋_GB2312" w:hAnsi="仿宋_GB2312" w:eastAsia="仿宋_GB2312" w:cs="仿宋_GB2312"/>
          <w:b w:val="0"/>
          <w:bCs w:val="0"/>
          <w:kern w:val="2"/>
          <w:sz w:val="32"/>
          <w:szCs w:val="32"/>
          <w:lang w:val="en-US" w:eastAsia="zh-CN" w:bidi="ar-SA"/>
        </w:rPr>
      </w:pPr>
      <w:bookmarkStart w:id="9" w:name="_Toc16680"/>
      <w:r>
        <w:rPr>
          <w:rFonts w:hint="eastAsia" w:ascii="仿宋_GB2312" w:hAnsi="仿宋_GB2312" w:eastAsia="仿宋_GB2312" w:cs="仿宋_GB2312"/>
          <w:b w:val="0"/>
          <w:bCs w:val="0"/>
          <w:kern w:val="2"/>
          <w:sz w:val="32"/>
          <w:szCs w:val="32"/>
          <w:lang w:val="en-US" w:eastAsia="zh-CN" w:bidi="ar-SA"/>
        </w:rPr>
        <w:t>1.绩效指标设定不够全面</w:t>
      </w:r>
      <w:bookmarkEnd w:id="9"/>
    </w:p>
    <w:p>
      <w:pPr>
        <w:pStyle w:val="9"/>
        <w:spacing w:line="560" w:lineRule="exact"/>
        <w:ind w:firstLine="640"/>
        <w:outlineLvl w:val="9"/>
        <w:rPr>
          <w:rFonts w:ascii="仿宋_GB2312" w:hAnsi="微软雅黑" w:eastAsia="仿宋_GB2312" w:cs="仿宋_GB2312"/>
          <w:color w:val="333333"/>
          <w:sz w:val="32"/>
          <w:shd w:val="clear" w:color="auto" w:fill="FFFFFF"/>
        </w:rPr>
      </w:pPr>
      <w:r>
        <w:rPr>
          <w:rFonts w:hint="eastAsia" w:ascii="仿宋" w:hAnsi="仿宋" w:eastAsia="仿宋" w:cs="仿宋"/>
          <w:bCs w:val="0"/>
          <w:kern w:val="2"/>
          <w:sz w:val="32"/>
          <w:szCs w:val="32"/>
          <w:lang w:val="en-US" w:eastAsia="zh-CN" w:bidi="ar-SA"/>
        </w:rPr>
        <w:t>项目实施单位在绩效目标设定方面，未能完全体现该项目主要内容，目标设置较为笼统。在反映项目实施方面不够清晰和全面。比如效益类指标的设定未完全反映出设立该项目所带来的生态效益，无法体现出公园为当地环境带来的改善，也无法体现出公园带来的便民作用。绩效指标未设置成本类指标，用以体现项目实施过程中成本控制与节约的情况。</w:t>
      </w:r>
    </w:p>
    <w:p>
      <w:pPr>
        <w:pStyle w:val="4"/>
        <w:widowControl/>
        <w:snapToGrid w:val="0"/>
        <w:spacing w:before="0" w:after="0" w:line="560" w:lineRule="exact"/>
        <w:ind w:firstLine="640" w:firstLineChars="200"/>
        <w:rPr>
          <w:rFonts w:hint="eastAsia" w:ascii="仿宋_GB2312" w:hAnsi="仿宋_GB2312" w:eastAsia="仿宋_GB2312" w:cs="仿宋_GB2312"/>
          <w:b w:val="0"/>
          <w:bCs w:val="0"/>
          <w:kern w:val="2"/>
          <w:sz w:val="32"/>
          <w:szCs w:val="32"/>
          <w:lang w:val="en-US" w:eastAsia="zh-CN" w:bidi="ar-SA"/>
        </w:rPr>
      </w:pPr>
      <w:bookmarkStart w:id="10" w:name="_Toc19231"/>
      <w:r>
        <w:rPr>
          <w:rFonts w:hint="eastAsia" w:ascii="仿宋_GB2312" w:hAnsi="仿宋_GB2312" w:eastAsia="仿宋_GB2312" w:cs="仿宋_GB2312"/>
          <w:b w:val="0"/>
          <w:bCs w:val="0"/>
          <w:kern w:val="2"/>
          <w:sz w:val="32"/>
          <w:szCs w:val="32"/>
          <w:lang w:val="en-US" w:eastAsia="zh-CN" w:bidi="ar-SA"/>
        </w:rPr>
        <w:t>2.绩效指标计算标准不够清晰合理</w:t>
      </w:r>
      <w:bookmarkEnd w:id="10"/>
    </w:p>
    <w:p>
      <w:pPr>
        <w:numPr>
          <w:ilvl w:val="255"/>
          <w:numId w:val="0"/>
        </w:numPr>
        <w:ind w:firstLine="640" w:firstLineChars="200"/>
        <w:rPr>
          <w:rFonts w:hint="eastAsia" w:ascii="仿宋" w:hAnsi="仿宋" w:eastAsia="仿宋" w:cs="仿宋"/>
          <w:bCs w:val="0"/>
          <w:kern w:val="2"/>
          <w:sz w:val="32"/>
          <w:szCs w:val="32"/>
          <w:lang w:val="en-US" w:eastAsia="zh-CN" w:bidi="ar-SA"/>
        </w:rPr>
      </w:pPr>
      <w:r>
        <w:rPr>
          <w:rFonts w:hint="eastAsia" w:ascii="仿宋" w:hAnsi="仿宋" w:eastAsia="仿宋" w:cs="仿宋"/>
          <w:bCs w:val="0"/>
          <w:kern w:val="2"/>
          <w:sz w:val="32"/>
          <w:szCs w:val="32"/>
          <w:lang w:val="en-US" w:eastAsia="zh-CN" w:bidi="ar-SA"/>
        </w:rPr>
        <w:t>项目实施单位在自评指标中设置的预算执行率指标，分值为10分，但未对该指标具体计分规则进行明确，打分的规则不够清晰；质量指标中的合格率指标评分标准设置不够合理，根据计分规则“年度指标值为：苗木成活率达到95%及以上”，但是该项目与广州市绍基农业发展有限公司签订的《绿化苗木采购合同》约定，苗木的验收成活率为85%以上，实际验收资料中以85%的成活率作为验收标准，公园管理所设置95%以上的年度指标，与合同约定存在差异且无相关的验收资料证明该指标是否完成。</w:t>
      </w:r>
    </w:p>
    <w:p>
      <w:pPr>
        <w:pStyle w:val="3"/>
        <w:widowControl/>
        <w:snapToGrid w:val="0"/>
        <w:spacing w:before="0" w:beforeLines="-2147483648" w:beforeAutospacing="0" w:after="0" w:afterLines="-2147483648" w:afterAutospacing="0" w:line="560" w:lineRule="exact"/>
        <w:ind w:firstLine="640" w:firstLineChars="200"/>
        <w:rPr>
          <w:rFonts w:hint="eastAsia" w:ascii="楷体" w:hAnsi="楷体" w:eastAsia="楷体" w:cs="楷体"/>
          <w:b w:val="0"/>
          <w:bCs/>
          <w:kern w:val="2"/>
          <w:sz w:val="32"/>
          <w:szCs w:val="22"/>
          <w:lang w:val="en-US" w:eastAsia="zh-CN"/>
        </w:rPr>
      </w:pPr>
      <w:r>
        <w:rPr>
          <w:rFonts w:hint="eastAsia" w:ascii="楷体" w:hAnsi="楷体" w:eastAsia="楷体" w:cs="楷体"/>
          <w:b w:val="0"/>
          <w:bCs/>
          <w:kern w:val="2"/>
          <w:sz w:val="32"/>
          <w:szCs w:val="22"/>
          <w:lang w:val="en-US" w:eastAsia="zh-CN"/>
        </w:rPr>
        <w:t>（二）相关建议</w:t>
      </w:r>
    </w:p>
    <w:p>
      <w:pPr>
        <w:pStyle w:val="4"/>
        <w:widowControl/>
        <w:snapToGrid w:val="0"/>
        <w:spacing w:before="0" w:after="0" w:line="560" w:lineRule="exact"/>
        <w:ind w:firstLine="640" w:firstLineChars="200"/>
        <w:rPr>
          <w:rFonts w:hint="eastAsia" w:ascii="仿宋_GB2312" w:hAnsi="仿宋_GB2312" w:eastAsia="仿宋_GB2312" w:cs="仿宋_GB2312"/>
          <w:b w:val="0"/>
          <w:bCs w:val="0"/>
          <w:kern w:val="2"/>
          <w:sz w:val="32"/>
          <w:szCs w:val="32"/>
          <w:lang w:val="en-US" w:eastAsia="zh-CN" w:bidi="ar-SA"/>
        </w:rPr>
      </w:pPr>
      <w:bookmarkStart w:id="11" w:name="_Toc1212"/>
      <w:r>
        <w:rPr>
          <w:rFonts w:hint="eastAsia" w:ascii="仿宋_GB2312" w:hAnsi="仿宋_GB2312" w:eastAsia="仿宋_GB2312" w:cs="仿宋_GB2312"/>
          <w:b w:val="0"/>
          <w:bCs w:val="0"/>
          <w:kern w:val="2"/>
          <w:sz w:val="32"/>
          <w:szCs w:val="32"/>
          <w:lang w:val="en-US" w:eastAsia="zh-CN" w:bidi="ar-SA"/>
        </w:rPr>
        <w:t>1.根据项目实施情况，完善项目绩效指标设置</w:t>
      </w:r>
      <w:bookmarkEnd w:id="11"/>
    </w:p>
    <w:p>
      <w:pPr>
        <w:numPr>
          <w:ilvl w:val="255"/>
          <w:numId w:val="0"/>
        </w:numPr>
        <w:ind w:firstLine="640" w:firstLineChars="200"/>
        <w:rPr>
          <w:rFonts w:hint="eastAsia" w:ascii="仿宋" w:hAnsi="仿宋" w:eastAsia="仿宋" w:cs="仿宋"/>
          <w:bCs w:val="0"/>
          <w:kern w:val="2"/>
          <w:sz w:val="32"/>
          <w:szCs w:val="32"/>
          <w:lang w:val="en-US" w:eastAsia="zh-CN" w:bidi="ar-SA"/>
        </w:rPr>
      </w:pPr>
      <w:r>
        <w:rPr>
          <w:rFonts w:hint="eastAsia" w:ascii="仿宋" w:hAnsi="仿宋" w:eastAsia="仿宋" w:cs="仿宋"/>
          <w:bCs w:val="0"/>
          <w:kern w:val="2"/>
          <w:sz w:val="32"/>
          <w:szCs w:val="32"/>
          <w:lang w:val="en-US" w:eastAsia="zh-CN" w:bidi="ar-SA"/>
        </w:rPr>
        <w:t>建议项目实施单位根据项目具体情况与项目目的，设置更为清晰的绩效目标，增强指标的相关性，以达到项目绩效管理的目的。 在产出方面，可设置成本指标，用于衡量成本控制情况，比如可设置政府采购率指标，用以衡量政府采购情况，以达到成本节约的目的。在效益方面，可设置生态效益指标，用于衡量该项目的设立为当地生态环境带来的改善，比如可根据公园面积设置绿化率指标，根据绿化率来衡量对生态环境带来的改善。</w:t>
      </w:r>
    </w:p>
    <w:p>
      <w:pPr>
        <w:pStyle w:val="4"/>
        <w:widowControl/>
        <w:snapToGrid w:val="0"/>
        <w:spacing w:before="0" w:after="0" w:line="560" w:lineRule="exact"/>
        <w:ind w:firstLine="640" w:firstLineChars="200"/>
        <w:rPr>
          <w:rFonts w:hint="eastAsia" w:ascii="仿宋_GB2312" w:hAnsi="仿宋_GB2312" w:eastAsia="仿宋_GB2312" w:cs="仿宋_GB2312"/>
          <w:b w:val="0"/>
          <w:bCs w:val="0"/>
          <w:kern w:val="2"/>
          <w:sz w:val="32"/>
          <w:szCs w:val="32"/>
          <w:lang w:val="en-US" w:eastAsia="zh-CN" w:bidi="ar-SA"/>
        </w:rPr>
      </w:pPr>
      <w:bookmarkStart w:id="12" w:name="_Toc19780"/>
      <w:r>
        <w:rPr>
          <w:rFonts w:hint="eastAsia" w:ascii="仿宋_GB2312" w:hAnsi="仿宋_GB2312" w:eastAsia="仿宋_GB2312" w:cs="仿宋_GB2312"/>
          <w:b w:val="0"/>
          <w:bCs w:val="0"/>
          <w:kern w:val="2"/>
          <w:sz w:val="32"/>
          <w:szCs w:val="32"/>
          <w:lang w:val="en-US" w:eastAsia="zh-CN" w:bidi="ar-SA"/>
        </w:rPr>
        <w:t>2.根据绩效指标设置内容，完善绩效指标评分标准</w:t>
      </w:r>
      <w:bookmarkEnd w:id="12"/>
    </w:p>
    <w:p>
      <w:pPr>
        <w:numPr>
          <w:ilvl w:val="255"/>
          <w:numId w:val="0"/>
        </w:numPr>
        <w:ind w:firstLine="640" w:firstLineChars="200"/>
        <w:rPr>
          <w:rFonts w:hint="eastAsia" w:ascii="仿宋" w:hAnsi="仿宋" w:eastAsia="仿宋" w:cs="仿宋"/>
          <w:bCs w:val="0"/>
          <w:kern w:val="2"/>
          <w:sz w:val="32"/>
          <w:szCs w:val="32"/>
          <w:lang w:val="en-US" w:eastAsia="zh-CN" w:bidi="ar-SA"/>
        </w:rPr>
      </w:pPr>
      <w:r>
        <w:rPr>
          <w:rFonts w:hint="eastAsia" w:ascii="仿宋" w:hAnsi="仿宋" w:eastAsia="仿宋" w:cs="仿宋"/>
          <w:bCs w:val="0"/>
          <w:kern w:val="2"/>
          <w:sz w:val="32"/>
          <w:szCs w:val="32"/>
          <w:lang w:val="en-US" w:eastAsia="zh-CN" w:bidi="ar-SA"/>
        </w:rPr>
        <w:t>项目实施单位在进行绩效指标评分标准设置时，应根据具体指标内容设置清晰合理的评分规则，以确保评分的准确性及合理性，同时在指标设置时，应结合项目合同、验收文件等资料，确保评分过程与相关材料一一对应，评分结果有据可依，增强自评报告的说服力。</w:t>
      </w:r>
    </w:p>
    <w:p>
      <w:pPr>
        <w:pStyle w:val="2"/>
        <w:numPr>
          <w:ilvl w:val="0"/>
          <w:numId w:val="0"/>
        </w:numPr>
        <w:rPr>
          <w:rFonts w:hint="eastAsia"/>
          <w:lang w:val="en-US" w:eastAsia="zh-CN"/>
        </w:rPr>
      </w:pPr>
    </w:p>
    <w:p>
      <w:pPr>
        <w:pStyle w:val="2"/>
      </w:pPr>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7"/>
                            <w:rPr>
                              <w:rFonts w:hint="eastAsia" w:eastAsiaTheme="minorEastAsia"/>
                              <w:lang w:eastAsia="zh-CN"/>
                            </w:rPr>
                          </w:pPr>
                          <w:r>
                            <w:rPr>
                              <w:rFonts w:hint="eastAsia"/>
                              <w:lang w:eastAsia="zh-CN"/>
                            </w:rPr>
                            <w:t xml:space="preserve">—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7"/>
                      <w:rPr>
                        <w:rFonts w:hint="eastAsia" w:eastAsiaTheme="minorEastAsia"/>
                        <w:lang w:eastAsia="zh-CN"/>
                      </w:rPr>
                    </w:pPr>
                    <w:r>
                      <w:rPr>
                        <w:rFonts w:hint="eastAsia"/>
                        <w:lang w:eastAsia="zh-CN"/>
                      </w:rPr>
                      <w:t xml:space="preserve">—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E2ZTA1ZTZhOTBjNWU4NTM2Zjg2MDY4MjAyODM4OTgifQ=="/>
  </w:docVars>
  <w:rsids>
    <w:rsidRoot w:val="00000000"/>
    <w:rsid w:val="045E7630"/>
    <w:rsid w:val="389427DD"/>
    <w:rsid w:val="3CED451E"/>
    <w:rsid w:val="4B8E0EA3"/>
    <w:rsid w:val="5C9726A9"/>
    <w:rsid w:val="7C467D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2"/>
    <w:basedOn w:val="1"/>
    <w:next w:val="1"/>
    <w:unhideWhenUsed/>
    <w:qFormat/>
    <w:uiPriority w:val="0"/>
    <w:pPr>
      <w:keepNext/>
      <w:keepLines/>
      <w:spacing w:before="260" w:after="260" w:line="413" w:lineRule="auto"/>
      <w:outlineLvl w:val="1"/>
    </w:pPr>
    <w:rPr>
      <w:rFonts w:ascii="Arial" w:hAnsi="Arial" w:eastAsia="黑体"/>
      <w:b/>
      <w:sz w:val="32"/>
    </w:rPr>
  </w:style>
  <w:style w:type="character" w:default="1" w:styleId="11">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customStyle="1" w:styleId="2">
    <w:name w:val="Heading2"/>
    <w:basedOn w:val="1"/>
    <w:next w:val="1"/>
    <w:qFormat/>
    <w:uiPriority w:val="0"/>
    <w:pPr>
      <w:keepNext/>
      <w:keepLines/>
      <w:spacing w:line="600" w:lineRule="exact"/>
    </w:pPr>
    <w:rPr>
      <w:rFonts w:ascii="Cambria" w:hAnsi="Cambria" w:eastAsia="黑体" w:cs="宋体"/>
      <w:sz w:val="32"/>
      <w:szCs w:val="32"/>
    </w:rPr>
  </w:style>
  <w:style w:type="paragraph" w:styleId="5">
    <w:name w:val="Normal Indent"/>
    <w:basedOn w:val="1"/>
    <w:next w:val="6"/>
    <w:qFormat/>
    <w:uiPriority w:val="0"/>
    <w:pPr>
      <w:spacing w:line="600" w:lineRule="exact"/>
      <w:ind w:firstLine="420" w:firstLineChars="200"/>
    </w:pPr>
  </w:style>
  <w:style w:type="paragraph" w:styleId="6">
    <w:name w:val="toc 4"/>
    <w:basedOn w:val="1"/>
    <w:next w:val="1"/>
    <w:semiHidden/>
    <w:qFormat/>
    <w:uiPriority w:val="0"/>
    <w:pPr>
      <w:ind w:left="1260" w:leftChars="600"/>
    </w:p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Subtitle"/>
    <w:basedOn w:val="1"/>
    <w:next w:val="1"/>
    <w:qFormat/>
    <w:uiPriority w:val="0"/>
    <w:pPr>
      <w:ind w:firstLine="200" w:firstLineChars="200"/>
      <w:jc w:val="left"/>
      <w:outlineLvl w:val="2"/>
    </w:pPr>
    <w:rPr>
      <w:rFonts w:ascii="Cambria" w:hAnsi="Cambria" w:eastAsia="黑体"/>
      <w:bCs/>
      <w:kern w:val="28"/>
      <w:sz w:val="28"/>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1740</Words>
  <Characters>1843</Characters>
  <Lines>0</Lines>
  <Paragraphs>0</Paragraphs>
  <TotalTime>1</TotalTime>
  <ScaleCrop>false</ScaleCrop>
  <LinksUpToDate>false</LinksUpToDate>
  <CharactersWithSpaces>1862</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2022-09-09T09:41:00Z</dcterms:created>
  <dc:creator>abc</dc:creator>
  <cp:lastModifiedBy>区财政局</cp:lastModifiedBy>
  <dcterms:modified xsi:type="dcterms:W3CDTF">2022-10-08T10:56:37Z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9801C281CD194993862E97D828834B3D</vt:lpwstr>
  </property>
</Properties>
</file>