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2"/>
        <w:rPr>
          <w:rFonts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val="en-US" w:eastAsia="zh-CN"/>
        </w:rPr>
        <w:t>从化区</w:t>
      </w:r>
      <w:r>
        <w:rPr>
          <w:rFonts w:hint="eastAsia" w:ascii="Times New Roman" w:hAnsi="Times New Roman" w:eastAsia="方正小标宋简体" w:cs="Times New Roman"/>
          <w:color w:val="auto"/>
          <w:sz w:val="44"/>
          <w:szCs w:val="44"/>
        </w:rPr>
        <w:t>上市后备企业培育工作指引</w:t>
      </w:r>
    </w:p>
    <w:p>
      <w:pPr>
        <w:jc w:val="center"/>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为贯彻落实</w:t>
      </w:r>
      <w:r>
        <w:rPr>
          <w:rFonts w:hint="default" w:ascii="Times New Roman" w:hAnsi="Times New Roman" w:eastAsia="仿宋_GB2312" w:cs="Times New Roman"/>
          <w:color w:val="auto"/>
          <w:sz w:val="32"/>
          <w:szCs w:val="32"/>
        </w:rPr>
        <w:t>《广州市加快推进企业上市高质量发展“领头羊”助力产业领跑行动计划（2023-2025）》（穗金融〔2023〕11号）</w:t>
      </w:r>
      <w:r>
        <w:rPr>
          <w:rFonts w:hint="eastAsia" w:ascii="Times New Roman" w:hAnsi="Times New Roman" w:eastAsia="仿宋_GB2312" w:cs="Times New Roman"/>
          <w:color w:val="auto"/>
          <w:sz w:val="32"/>
          <w:szCs w:val="32"/>
          <w:lang w:eastAsia="zh-CN"/>
        </w:rPr>
        <w:t>、《广州市关于巩固提升“领头羊”品牌推进企业上市培育工作的若干措施》（穗金融〔2024〕</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auto"/>
          <w:sz w:val="32"/>
          <w:szCs w:val="32"/>
        </w:rPr>
        <w:t>等文件精神，进一步完善企业上市工作服务协调机制，</w:t>
      </w:r>
      <w:r>
        <w:rPr>
          <w:rFonts w:hint="eastAsia" w:ascii="Times New Roman" w:hAnsi="Times New Roman" w:eastAsia="仿宋_GB2312" w:cs="Times New Roman"/>
          <w:color w:val="auto"/>
          <w:sz w:val="32"/>
          <w:szCs w:val="32"/>
          <w:lang w:eastAsia="zh-CN"/>
        </w:rPr>
        <w:t>加强对拟上市企业的培育和辅导，提升拟上市企业规范化水平，支持优质企业到境内外资本市场上市、在“新三板”精选层挂牌及转板上市，大力提高企业经营质量和可持续发展能力，为促进我区经济高质量发展提供有力支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结合我区实际，</w:t>
      </w:r>
      <w:r>
        <w:rPr>
          <w:rFonts w:hint="default" w:ascii="Times New Roman" w:hAnsi="Times New Roman" w:eastAsia="仿宋_GB2312" w:cs="Times New Roman"/>
          <w:color w:val="auto"/>
          <w:sz w:val="32"/>
          <w:szCs w:val="32"/>
        </w:rPr>
        <w:t>制定本工作指引。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一、入库对象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从化区科工商信局建立从化区上市后备企业库。入库对象为工商注册地在从化区，满足入库标准，有意愿或已启动在境内外证券交易所上市的企业，其中境内企业境内发行上市或直接境外发行上市的，入库对象为上市主体；境内企业间接境外发行上市的，入库对象为向中国证监会申报境外上市备案的境内主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二、入库分类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按照“培育一批、股改一批、辅导一批、申报一批、上市一批”的发展思路，遵循“小升规、规改股、股上市”的培育路径，构建分层管理机制。上市后备企业库分为培育层、优选层和申报层，入库企业应符合国家、省、市、区产业鼓励方向。</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（一）培育层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有意愿启动在境内外资本市场上市的企业，符合我区重点产业规划，具备专精特新企业、高新技术企业、瞪羚企业、独角兽企业等至少一项资质。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（二）优选层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已进入广州市上市后备企业库的企业，且满足以下条件之一：1.已聘请改制上市财务顾问；2.正筹备股份制改造；3.已完成股份制改造并签订上市工作协议；4.属于“新三板”创新层。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（三）申报层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已进入广州市上市后备企业库的企业，基本达到上市发行条件，满足以下条件之一：1.已在广东证监局辅导备案；2.已申报证监会或交易所上市审核；3.属于“新三板”精选层。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三、入库流程及管理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（一）申报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企业申请纳入上市后备企业库，应向从化区科工商信局提交以下申请材料：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1.上市后备企业备案入库登记表；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2.企业入库前二年的财务报表和审计报告（新成立不满二年的企业，应在企业成立满二年后补充提交上述材料）；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3.上市筹备情况。包括上市中介信息、上市进度等；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4.其它与企业上市有关的材料。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（二）分类备案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1.从化区科工商信局收到企业申请材料后，根据入库分类要求及企业所处行业、核心竞争力、发展潜力等因素，对企业进行分类；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2.从化区科工商信局于每季度末将结果反馈给提出申请的企业，如企业提交申请材料时间距季度末不满十五个工作日则顺延至下一季度。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lang w:eastAsia="zh-CN"/>
        </w:rPr>
        <w:t>在库要求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）在库</w:t>
      </w:r>
      <w:r>
        <w:rPr>
          <w:rFonts w:hint="eastAsia" w:ascii="仿宋_GB2312" w:hAnsi="仿宋_GB2312" w:eastAsia="仿宋_GB2312" w:cs="仿宋_GB2312"/>
          <w:color w:val="auto"/>
          <w:sz w:val="32"/>
          <w:szCs w:val="32"/>
        </w:rPr>
        <w:t>企业应在每年</w:t>
      </w:r>
      <w:r>
        <w:rPr>
          <w:rFonts w:hint="eastAsia" w:ascii="仿宋_GB2312" w:hAnsi="仿宋_GB2312" w:eastAsia="仿宋_GB2312" w:cs="仿宋_GB2312"/>
          <w:color w:val="auto"/>
          <w:sz w:val="32"/>
          <w:szCs w:val="32"/>
          <w:lang w:val="en-US" w:eastAsia="zh-CN"/>
        </w:rPr>
        <w:t>1月底之前</w:t>
      </w:r>
      <w:r>
        <w:rPr>
          <w:rFonts w:hint="eastAsia" w:ascii="仿宋_GB2312" w:hAnsi="仿宋_GB2312" w:eastAsia="仿宋_GB2312" w:cs="仿宋_GB2312"/>
          <w:color w:val="auto"/>
          <w:sz w:val="32"/>
          <w:szCs w:val="32"/>
        </w:rPr>
        <w:t>向从化区科工商信局报送</w:t>
      </w:r>
      <w:r>
        <w:rPr>
          <w:rFonts w:hint="eastAsia" w:ascii="Times New Roman" w:hAnsi="Times New Roman" w:eastAsia="仿宋_GB2312" w:cs="Times New Roman"/>
          <w:color w:val="auto"/>
          <w:sz w:val="32"/>
          <w:szCs w:val="32"/>
          <w:highlight w:val="none"/>
          <w:lang w:eastAsia="zh-CN"/>
        </w:rPr>
        <w:t>上年度</w:t>
      </w:r>
      <w:r>
        <w:rPr>
          <w:rFonts w:hint="eastAsia" w:ascii="仿宋_GB2312" w:hAnsi="仿宋_GB2312" w:eastAsia="仿宋_GB2312" w:cs="仿宋_GB2312"/>
          <w:color w:val="auto"/>
          <w:sz w:val="32"/>
          <w:szCs w:val="32"/>
        </w:rPr>
        <w:t>企业发展情况相关的书面材料（包括但不限于企业主要财务指标等）；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）在库</w:t>
      </w:r>
      <w:r>
        <w:rPr>
          <w:rFonts w:hint="eastAsia" w:ascii="仿宋_GB2312" w:hAnsi="仿宋_GB2312" w:eastAsia="仿宋_GB2312" w:cs="仿宋_GB2312"/>
          <w:color w:val="auto"/>
          <w:sz w:val="32"/>
          <w:szCs w:val="32"/>
        </w:rPr>
        <w:t>企业应及时向从化区科工商信局反馈上市重要环节进展及重大事项进展（包括但不限于：中介机构进场、股份制改造、辅导备案、券商内核、辅导验收、首发申报、材料受理、预审、初审、上会、上市等）。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）在库企业每年参加市、区相关部门主导开展的相关培训、辅导活动应不少于三次（含）。</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2.出库</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对纳入</w:t>
      </w:r>
      <w:r>
        <w:rPr>
          <w:rFonts w:hint="eastAsia" w:ascii="仿宋_GB2312" w:hAnsi="仿宋_GB2312" w:eastAsia="仿宋_GB2312" w:cs="仿宋_GB2312"/>
          <w:color w:val="auto"/>
          <w:sz w:val="32"/>
          <w:szCs w:val="32"/>
          <w:highlight w:val="none"/>
          <w:lang w:eastAsia="zh-CN"/>
        </w:rPr>
        <w:t>从化区</w:t>
      </w:r>
      <w:r>
        <w:rPr>
          <w:rFonts w:hint="eastAsia" w:ascii="仿宋_GB2312" w:hAnsi="仿宋_GB2312" w:eastAsia="仿宋_GB2312" w:cs="仿宋_GB2312"/>
          <w:color w:val="auto"/>
          <w:sz w:val="32"/>
          <w:szCs w:val="32"/>
          <w:highlight w:val="none"/>
        </w:rPr>
        <w:t>上市后备企业库的企业实施动态管理，入库企业有以下情形之一的，自动出库：</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商事登记地迁出</w:t>
      </w:r>
      <w:r>
        <w:rPr>
          <w:rFonts w:hint="eastAsia" w:ascii="仿宋_GB2312" w:hAnsi="仿宋_GB2312" w:eastAsia="仿宋_GB2312" w:cs="仿宋_GB2312"/>
          <w:color w:val="auto"/>
          <w:sz w:val="32"/>
          <w:szCs w:val="32"/>
          <w:highlight w:val="none"/>
          <w:lang w:eastAsia="zh-CN"/>
        </w:rPr>
        <w:t>从化区</w:t>
      </w:r>
      <w:r>
        <w:rPr>
          <w:rFonts w:hint="eastAsia" w:ascii="仿宋_GB2312" w:hAnsi="仿宋_GB2312" w:eastAsia="仿宋_GB2312" w:cs="仿宋_GB2312"/>
          <w:color w:val="auto"/>
          <w:sz w:val="32"/>
          <w:szCs w:val="32"/>
          <w:highlight w:val="none"/>
        </w:rPr>
        <w:t>或已停止经营活动；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未按期向</w:t>
      </w:r>
      <w:r>
        <w:rPr>
          <w:rFonts w:hint="eastAsia" w:ascii="仿宋_GB2312" w:hAnsi="仿宋_GB2312" w:eastAsia="仿宋_GB2312" w:cs="仿宋_GB2312"/>
          <w:color w:val="auto"/>
          <w:sz w:val="32"/>
          <w:szCs w:val="32"/>
          <w:highlight w:val="none"/>
          <w:lang w:eastAsia="zh-CN"/>
        </w:rPr>
        <w:t>从化区科工商信局</w:t>
      </w:r>
      <w:r>
        <w:rPr>
          <w:rFonts w:hint="eastAsia" w:ascii="仿宋_GB2312" w:hAnsi="仿宋_GB2312" w:eastAsia="仿宋_GB2312" w:cs="仿宋_GB2312"/>
          <w:color w:val="auto"/>
          <w:sz w:val="32"/>
          <w:szCs w:val="32"/>
          <w:highlight w:val="none"/>
        </w:rPr>
        <w:t>提交入库企业</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材料，不配合从化区科工商信局收集了解企业相关情况；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企业被列入经营异常名录、失信被执行人名单；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企业入库后违反市场监管、税收、土地、环保、海关或其他法律、行政法规，受过行政或司法处罚；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）连续两</w:t>
      </w:r>
      <w:bookmarkStart w:id="0" w:name="_GoBack"/>
      <w:bookmarkEnd w:id="0"/>
      <w:r>
        <w:rPr>
          <w:rFonts w:hint="eastAsia" w:ascii="仿宋_GB2312" w:hAnsi="仿宋_GB2312" w:eastAsia="仿宋_GB2312" w:cs="仿宋_GB2312"/>
          <w:color w:val="auto"/>
          <w:sz w:val="32"/>
          <w:szCs w:val="32"/>
          <w:highlight w:val="none"/>
          <w:lang w:eastAsia="zh-CN"/>
        </w:rPr>
        <w:t>年未参加市、区相关部门主导开展的相关培训、辅导活动；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企业提交申请自愿出库。</w:t>
      </w:r>
    </w:p>
    <w:p>
      <w:pPr>
        <w:keepNext w:val="0"/>
        <w:keepLines w:val="0"/>
        <w:pageBreakBefore w:val="0"/>
        <w:kinsoku/>
        <w:wordWrap/>
        <w:overflowPunct/>
        <w:topLinePunct w:val="0"/>
        <w:autoSpaceDE/>
        <w:autoSpaceDN/>
        <w:bidi w:val="0"/>
        <w:adjustRightInd/>
        <w:spacing w:line="600" w:lineRule="exact"/>
        <w:ind w:firstLine="640"/>
        <w:textAlignment w:val="auto"/>
        <w:rPr>
          <w:color w:val="auto"/>
        </w:rPr>
      </w:pPr>
      <w:r>
        <w:rPr>
          <w:rFonts w:hint="eastAsia" w:ascii="仿宋_GB2312" w:hAnsi="仿宋_GB2312" w:eastAsia="仿宋_GB2312" w:cs="仿宋_GB2312"/>
          <w:color w:val="auto"/>
          <w:sz w:val="32"/>
          <w:szCs w:val="32"/>
          <w:highlight w:val="none"/>
          <w:lang w:eastAsia="zh-CN"/>
        </w:rPr>
        <w:t>从化区科工商信局</w:t>
      </w:r>
      <w:r>
        <w:rPr>
          <w:rFonts w:hint="eastAsia" w:ascii="仿宋_GB2312" w:hAnsi="仿宋_GB2312" w:eastAsia="仿宋_GB2312" w:cs="仿宋_GB2312"/>
          <w:color w:val="auto"/>
          <w:sz w:val="32"/>
          <w:szCs w:val="32"/>
          <w:highlight w:val="none"/>
        </w:rPr>
        <w:t>负责向企业反馈出库情况。已出库企业符合条件的，可再次申请入库。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四、入库服务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1.享受“绿色通道”服务。</w:t>
      </w:r>
      <w:r>
        <w:rPr>
          <w:rFonts w:hint="eastAsia" w:ascii="Times New Roman" w:hAnsi="Times New Roman" w:eastAsia="仿宋_GB2312" w:cs="Times New Roman"/>
          <w:color w:val="auto"/>
          <w:sz w:val="32"/>
          <w:szCs w:val="32"/>
          <w:lang w:val="en-US" w:eastAsia="zh-CN"/>
        </w:rPr>
        <w:t>由从化区科工商信局协调解决企业上市过程中遇到的问题及困难。通过发送协调函，协调各部门依企业申请依法依规、及时出具企业上市所需各类合规证明文件；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对企业上市涉及的社保、土地、环评、税收等问题予以优先快办、特事特办。对涉及上级事权的事项，积极向上级部门协调解决。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lang w:val="en-US" w:eastAsia="zh-CN"/>
        </w:rPr>
        <w:t>2.咨询服务。</w:t>
      </w:r>
      <w:r>
        <w:rPr>
          <w:rFonts w:hint="eastAsia" w:ascii="Times New Roman" w:hAnsi="Times New Roman" w:eastAsia="仿宋_GB2312" w:cs="Times New Roman"/>
          <w:color w:val="auto"/>
          <w:sz w:val="32"/>
          <w:szCs w:val="32"/>
          <w:lang w:val="en-US" w:eastAsia="zh-CN"/>
        </w:rPr>
        <w:t>充分利用广州资本市场专业服务机构库、广州市资本市场融资对接服务平台等平台资源优势，为入库企业提供上市前期规划咨询和分析诊断，对上市后备企业进行走访，了解企业经营情况，引导企业科学规划上市路径和规范经营。组织券商、律师事务所、会计师事务所等中介机构对入库企业提供咨询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eastAsia" w:ascii="楷体_GB2312" w:hAnsi="楷体_GB2312" w:eastAsia="楷体_GB2312" w:cs="楷体_GB2312"/>
          <w:color w:val="auto"/>
          <w:sz w:val="32"/>
          <w:szCs w:val="32"/>
        </w:rPr>
        <w:t>培训辅导。</w:t>
      </w: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eastAsia="zh-CN"/>
        </w:rPr>
        <w:t>从化区</w:t>
      </w:r>
      <w:r>
        <w:rPr>
          <w:rFonts w:hint="eastAsia" w:ascii="仿宋_GB2312" w:hAnsi="仿宋_GB2312" w:eastAsia="仿宋_GB2312" w:cs="仿宋_GB2312"/>
          <w:color w:val="auto"/>
          <w:sz w:val="32"/>
          <w:szCs w:val="32"/>
        </w:rPr>
        <w:t>上市后备企业库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，推荐申报</w:t>
      </w:r>
      <w:r>
        <w:rPr>
          <w:rFonts w:hint="eastAsia" w:ascii="Times New Roman" w:hAnsi="Times New Roman" w:eastAsia="仿宋_GB2312" w:cs="Times New Roman"/>
          <w:color w:val="auto"/>
          <w:sz w:val="32"/>
          <w:szCs w:val="32"/>
          <w:highlight w:val="none"/>
          <w:lang w:val="en-US" w:eastAsia="zh-CN"/>
        </w:rPr>
        <w:t>广州市上市后备企业库，积极支持参加广州拟上市企业“领头羊”评选活动。</w:t>
      </w:r>
      <w:r>
        <w:rPr>
          <w:rFonts w:hint="eastAsia" w:ascii="Times New Roman" w:hAnsi="Times New Roman" w:eastAsia="仿宋_GB2312" w:cs="Times New Roman"/>
          <w:color w:val="auto"/>
          <w:sz w:val="32"/>
          <w:szCs w:val="32"/>
          <w:lang w:eastAsia="zh-CN"/>
        </w:rPr>
        <w:t>加强对</w:t>
      </w:r>
      <w:r>
        <w:rPr>
          <w:rFonts w:hint="default" w:ascii="Times New Roman" w:hAnsi="Times New Roman" w:eastAsia="仿宋_GB2312" w:cs="Times New Roman"/>
          <w:color w:val="auto"/>
          <w:sz w:val="32"/>
          <w:szCs w:val="32"/>
        </w:rPr>
        <w:t>企业走访、产融对接等培育服务</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eastAsia="zh-CN"/>
        </w:rPr>
        <w:t>组织入库企业参加资本市场培训、政策宣讲、专项业务培训、合规经营培训等。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4.融资服务。</w:t>
      </w:r>
      <w:r>
        <w:rPr>
          <w:rFonts w:hint="eastAsia" w:ascii="仿宋_GB2312" w:hAnsi="仿宋_GB2312" w:eastAsia="仿宋_GB2312" w:cs="仿宋_GB2312"/>
          <w:color w:val="auto"/>
          <w:sz w:val="32"/>
          <w:szCs w:val="32"/>
          <w:lang w:val="en-US" w:eastAsia="zh-CN"/>
        </w:rPr>
        <w:t>引导银行机构定制专属信贷产品，从授信额度、利率成本等多方面给予入库企业支持。支持区属基金投向符合条件的入库企业。定期举办产融对接会、项目路演、政策宣讲等活动，帮助入库企业对接风投创投资本、产业资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扶持服务。</w:t>
      </w:r>
      <w:r>
        <w:rPr>
          <w:rFonts w:hint="eastAsia" w:ascii="仿宋_GB2312" w:hAnsi="仿宋_GB2312" w:eastAsia="仿宋_GB2312" w:cs="仿宋_GB2312"/>
          <w:color w:val="auto"/>
          <w:sz w:val="32"/>
          <w:szCs w:val="32"/>
        </w:rPr>
        <w:t>入库企业利用多层次资本市场融资发展的，按</w:t>
      </w:r>
      <w:r>
        <w:rPr>
          <w:rFonts w:hint="eastAsia" w:ascii="仿宋_GB2312" w:hAnsi="仿宋_GB2312" w:eastAsia="仿宋_GB2312" w:cs="仿宋_GB2312"/>
          <w:color w:val="auto"/>
          <w:sz w:val="32"/>
          <w:szCs w:val="32"/>
          <w:lang w:eastAsia="zh-CN"/>
        </w:rPr>
        <w:t>从化区</w:t>
      </w:r>
      <w:r>
        <w:rPr>
          <w:rFonts w:hint="eastAsia" w:ascii="仿宋_GB2312" w:hAnsi="仿宋_GB2312" w:eastAsia="仿宋_GB2312" w:cs="仿宋_GB2312"/>
          <w:color w:val="auto"/>
          <w:sz w:val="32"/>
          <w:szCs w:val="32"/>
        </w:rPr>
        <w:t>出台的相关政策给予扶持。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640" w:firstLineChars="200"/>
        <w:jc w:val="left"/>
        <w:textAlignment w:val="auto"/>
        <w:rPr>
          <w:rFonts w:hint="eastAsia" w:ascii="楷体" w:hAnsi="楷体" w:eastAsia="楷体" w:cs="楷体"/>
          <w:color w:val="auto"/>
          <w:sz w:val="32"/>
          <w:szCs w:val="32"/>
          <w:lang w:eastAsia="zh-CN"/>
        </w:rPr>
      </w:pPr>
      <w:r>
        <w:rPr>
          <w:rFonts w:hint="eastAsia" w:ascii="黑体" w:hAnsi="黑体" w:eastAsia="黑体" w:cs="黑体"/>
          <w:color w:val="auto"/>
          <w:sz w:val="32"/>
          <w:szCs w:val="32"/>
          <w:lang w:eastAsia="zh-CN"/>
        </w:rPr>
        <w:t>五、附则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 w:hAnsi="楷体" w:eastAsia="楷体" w:cs="楷体"/>
          <w:color w:val="auto"/>
          <w:sz w:val="32"/>
          <w:szCs w:val="32"/>
          <w:lang w:eastAsia="zh-CN"/>
        </w:rPr>
      </w:pPr>
      <w:r>
        <w:rPr>
          <w:rFonts w:hint="eastAsia" w:ascii="Times New Roman" w:hAnsi="Times New Roman" w:eastAsia="仿宋_GB2312" w:cs="Times New Roman"/>
          <w:color w:val="auto"/>
          <w:sz w:val="32"/>
          <w:szCs w:val="32"/>
          <w:lang w:val="en-US" w:eastAsia="zh-CN"/>
        </w:rPr>
        <w:t>本工作指引自印发之日起施行，有效期三年。本工作指引有效期内如遇法律、法规或有关政策调整变化的，从其规定。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640" w:firstLineChars="200"/>
        <w:jc w:val="left"/>
        <w:textAlignment w:val="auto"/>
        <w:rPr>
          <w:rFonts w:hint="eastAsia" w:ascii="楷体" w:hAnsi="楷体" w:eastAsia="楷体" w:cs="楷体"/>
          <w:color w:val="auto"/>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640" w:firstLineChars="200"/>
        <w:jc w:val="left"/>
        <w:textAlignment w:val="auto"/>
        <w:rPr>
          <w:color w:val="auto"/>
        </w:rPr>
      </w:pPr>
      <w:r>
        <w:rPr>
          <w:rFonts w:hint="eastAsia" w:ascii="仿宋_GB2312" w:hAnsi="仿宋_GB2312" w:eastAsia="仿宋_GB2312" w:cs="仿宋_GB2312"/>
          <w:color w:val="auto"/>
          <w:sz w:val="32"/>
          <w:szCs w:val="32"/>
          <w:lang w:eastAsia="zh-CN"/>
        </w:rPr>
        <w:t>附件：从化区</w:t>
      </w:r>
      <w:r>
        <w:rPr>
          <w:rFonts w:hint="eastAsia" w:ascii="仿宋_GB2312" w:hAnsi="仿宋_GB2312" w:eastAsia="仿宋_GB2312" w:cs="仿宋_GB2312"/>
          <w:color w:val="auto"/>
          <w:sz w:val="32"/>
          <w:szCs w:val="32"/>
        </w:rPr>
        <w:t>上市后备企业备案入库登记表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480" w:firstLineChars="200"/>
        <w:jc w:val="left"/>
        <w:textAlignment w:val="auto"/>
        <w:rPr>
          <w:color w:val="auto"/>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480" w:firstLineChars="200"/>
        <w:jc w:val="left"/>
        <w:textAlignment w:val="auto"/>
        <w:rPr>
          <w:color w:val="auto"/>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480"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color w:val="auto"/>
          <w:lang w:val="en-US" w:eastAsia="zh-CN"/>
        </w:rPr>
        <w:t xml:space="preserve">                                      </w:t>
      </w:r>
      <w:r>
        <w:rPr>
          <w:rFonts w:hint="eastAsia" w:ascii="楷体" w:hAnsi="楷体" w:eastAsia="楷体" w:cs="楷体"/>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从化区科工商信局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60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2024年4月9日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80" w:lineRule="exact"/>
        <w:ind w:left="0" w:right="0"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80" w:lineRule="exact"/>
        <w:ind w:left="0" w:right="0" w:firstLine="480" w:firstLineChars="200"/>
        <w:jc w:val="left"/>
        <w:textAlignment w:val="auto"/>
        <w:rPr>
          <w:color w:val="auto"/>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80" w:lineRule="exact"/>
        <w:ind w:left="0" w:right="0" w:firstLine="480" w:firstLineChars="200"/>
        <w:jc w:val="left"/>
        <w:textAlignment w:val="auto"/>
        <w:rPr>
          <w:color w:val="auto"/>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580" w:lineRule="exact"/>
        <w:ind w:right="0"/>
        <w:jc w:val="left"/>
        <w:textAlignment w:val="auto"/>
        <w:rPr>
          <w:color w:val="auto"/>
        </w:rPr>
      </w:pP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spacing w:line="575" w:lineRule="exact"/>
        <w:jc w:val="center"/>
        <w:rPr>
          <w:rFonts w:hint="eastAsia" w:ascii="方正小标宋简体" w:hAnsi="黑体" w:eastAsia="方正小标宋简体"/>
          <w:color w:val="auto"/>
          <w:sz w:val="40"/>
          <w:szCs w:val="40"/>
          <w:lang w:eastAsia="zh-CN"/>
        </w:rPr>
      </w:pPr>
      <w:r>
        <w:rPr>
          <w:rFonts w:hint="eastAsia" w:ascii="方正小标宋简体" w:hAnsi="黑体" w:eastAsia="方正小标宋简体"/>
          <w:color w:val="auto"/>
          <w:sz w:val="40"/>
          <w:szCs w:val="40"/>
          <w:lang w:eastAsia="zh-CN"/>
        </w:rPr>
        <w:t>从化区上市后备企业备案入库登记表</w:t>
      </w:r>
    </w:p>
    <w:p>
      <w:pPr>
        <w:pStyle w:val="3"/>
        <w:rPr>
          <w:rFonts w:hint="eastAsia"/>
          <w:color w:val="auto"/>
        </w:rPr>
      </w:pPr>
    </w:p>
    <w:tbl>
      <w:tblPr>
        <w:tblStyle w:val="9"/>
        <w:tblW w:w="8952" w:type="dxa"/>
        <w:jc w:val="center"/>
        <w:tblInd w:w="0" w:type="dxa"/>
        <w:tblLayout w:type="fixed"/>
        <w:tblCellMar>
          <w:top w:w="0" w:type="dxa"/>
          <w:left w:w="108" w:type="dxa"/>
          <w:bottom w:w="0" w:type="dxa"/>
          <w:right w:w="108" w:type="dxa"/>
        </w:tblCellMar>
      </w:tblPr>
      <w:tblGrid>
        <w:gridCol w:w="1485"/>
        <w:gridCol w:w="1259"/>
        <w:gridCol w:w="525"/>
        <w:gridCol w:w="870"/>
        <w:gridCol w:w="451"/>
        <w:gridCol w:w="1560"/>
        <w:gridCol w:w="2802"/>
      </w:tblGrid>
      <w:tr>
        <w:tblPrEx>
          <w:tblLayout w:type="fixed"/>
          <w:tblCellMar>
            <w:top w:w="0" w:type="dxa"/>
            <w:left w:w="108" w:type="dxa"/>
            <w:bottom w:w="0" w:type="dxa"/>
            <w:right w:w="108" w:type="dxa"/>
          </w:tblCellMar>
        </w:tblPrEx>
        <w:trPr>
          <w:trHeight w:val="850"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公司名称</w:t>
            </w:r>
          </w:p>
        </w:tc>
        <w:tc>
          <w:tcPr>
            <w:tcW w:w="3105" w:type="dxa"/>
            <w:gridSpan w:val="4"/>
            <w:tcBorders>
              <w:top w:val="single" w:color="auto" w:sz="4" w:space="0"/>
              <w:left w:val="nil"/>
              <w:bottom w:val="single" w:color="auto" w:sz="4" w:space="0"/>
              <w:right w:val="single" w:color="auto" w:sz="4" w:space="0"/>
            </w:tcBorders>
            <w:noWrap w:val="0"/>
            <w:vAlign w:val="center"/>
          </w:tcPr>
          <w:p>
            <w:pPr>
              <w:spacing w:line="520" w:lineRule="exact"/>
              <w:jc w:val="center"/>
              <w:rPr>
                <w:rFonts w:ascii="仿宋_GB2312" w:hAnsi="黑体" w:eastAsia="仿宋_GB2312"/>
                <w:b w:val="0"/>
                <w:bCs w:val="0"/>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统一社会信用代码</w:t>
            </w:r>
          </w:p>
        </w:tc>
        <w:tc>
          <w:tcPr>
            <w:tcW w:w="2802" w:type="dxa"/>
            <w:tcBorders>
              <w:top w:val="single" w:color="auto" w:sz="4" w:space="0"/>
              <w:left w:val="nil"/>
              <w:bottom w:val="single" w:color="auto" w:sz="4" w:space="0"/>
              <w:right w:val="single" w:color="auto" w:sz="4" w:space="0"/>
            </w:tcBorders>
            <w:noWrap w:val="0"/>
            <w:vAlign w:val="center"/>
          </w:tcPr>
          <w:p>
            <w:pPr>
              <w:spacing w:line="52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705"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注册资本</w:t>
            </w:r>
          </w:p>
        </w:tc>
        <w:tc>
          <w:tcPr>
            <w:tcW w:w="3105" w:type="dxa"/>
            <w:gridSpan w:val="4"/>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成立时间</w:t>
            </w:r>
          </w:p>
        </w:tc>
        <w:tc>
          <w:tcPr>
            <w:tcW w:w="28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850"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公司性质</w:t>
            </w:r>
          </w:p>
        </w:tc>
        <w:tc>
          <w:tcPr>
            <w:tcW w:w="3105" w:type="dxa"/>
            <w:gridSpan w:val="4"/>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所属行业</w:t>
            </w:r>
          </w:p>
        </w:tc>
        <w:tc>
          <w:tcPr>
            <w:tcW w:w="28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850"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公司地址</w:t>
            </w:r>
          </w:p>
        </w:tc>
        <w:tc>
          <w:tcPr>
            <w:tcW w:w="3105" w:type="dxa"/>
            <w:gridSpan w:val="4"/>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高企资质</w:t>
            </w:r>
          </w:p>
        </w:tc>
        <w:tc>
          <w:tcPr>
            <w:tcW w:w="28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r>
              <w:rPr>
                <w:rFonts w:hint="eastAsia" w:ascii="仿宋_GB2312" w:hAnsi="宋体" w:eastAsia="仿宋_GB2312" w:cs="宋体"/>
                <w:color w:val="auto"/>
                <w:kern w:val="0"/>
                <w:sz w:val="24"/>
                <w:szCs w:val="24"/>
              </w:rPr>
              <w:t>□否 □国家/省/市级</w:t>
            </w:r>
          </w:p>
        </w:tc>
      </w:tr>
      <w:tr>
        <w:tblPrEx>
          <w:tblLayout w:type="fixed"/>
          <w:tblCellMar>
            <w:top w:w="0" w:type="dxa"/>
            <w:left w:w="108" w:type="dxa"/>
            <w:bottom w:w="0" w:type="dxa"/>
            <w:right w:w="108" w:type="dxa"/>
          </w:tblCellMar>
        </w:tblPrEx>
        <w:trPr>
          <w:trHeight w:val="850" w:hRule="atLeast"/>
          <w:jc w:val="center"/>
        </w:trPr>
        <w:tc>
          <w:tcPr>
            <w:tcW w:w="1485" w:type="dxa"/>
            <w:vMerge w:val="restart"/>
            <w:tcBorders>
              <w:top w:val="nil"/>
              <w:left w:val="single" w:color="auto" w:sz="4" w:space="0"/>
              <w:right w:val="single" w:color="auto" w:sz="4" w:space="0"/>
            </w:tcBorders>
            <w:noWrap w:val="0"/>
            <w:vAlign w:val="center"/>
          </w:tcPr>
          <w:p>
            <w:pPr>
              <w:spacing w:line="540" w:lineRule="exact"/>
              <w:jc w:val="center"/>
              <w:rPr>
                <w:rFonts w:ascii="仿宋_GB2312" w:hAnsi="黑体" w:eastAsia="仿宋_GB2312"/>
                <w:b/>
                <w:bCs/>
                <w:color w:val="auto"/>
                <w:sz w:val="28"/>
                <w:szCs w:val="28"/>
              </w:rPr>
            </w:pPr>
            <w:r>
              <w:rPr>
                <w:rFonts w:hint="eastAsia" w:ascii="仿宋_GB2312" w:hAnsi="黑体" w:eastAsia="仿宋_GB2312"/>
                <w:b w:val="0"/>
                <w:bCs w:val="0"/>
                <w:color w:val="auto"/>
                <w:sz w:val="28"/>
                <w:szCs w:val="28"/>
              </w:rPr>
              <w:t>联系人</w:t>
            </w:r>
          </w:p>
        </w:tc>
        <w:tc>
          <w:tcPr>
            <w:tcW w:w="1784"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职务</w:t>
            </w:r>
          </w:p>
        </w:tc>
        <w:tc>
          <w:tcPr>
            <w:tcW w:w="1321"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姓名</w:t>
            </w:r>
          </w:p>
        </w:tc>
        <w:tc>
          <w:tcPr>
            <w:tcW w:w="1560"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联系电话</w:t>
            </w:r>
          </w:p>
        </w:tc>
        <w:tc>
          <w:tcPr>
            <w:tcW w:w="28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电子邮件</w:t>
            </w:r>
          </w:p>
        </w:tc>
      </w:tr>
      <w:tr>
        <w:tblPrEx>
          <w:tblLayout w:type="fixed"/>
          <w:tblCellMar>
            <w:top w:w="0" w:type="dxa"/>
            <w:left w:w="108" w:type="dxa"/>
            <w:bottom w:w="0" w:type="dxa"/>
            <w:right w:w="108" w:type="dxa"/>
          </w:tblCellMar>
        </w:tblPrEx>
        <w:trPr>
          <w:trHeight w:val="850" w:hRule="atLeast"/>
          <w:jc w:val="center"/>
        </w:trPr>
        <w:tc>
          <w:tcPr>
            <w:tcW w:w="1485" w:type="dxa"/>
            <w:vMerge w:val="continue"/>
            <w:tcBorders>
              <w:left w:val="single" w:color="auto" w:sz="4" w:space="0"/>
              <w:right w:val="single" w:color="auto" w:sz="4" w:space="0"/>
            </w:tcBorders>
            <w:noWrap w:val="0"/>
            <w:vAlign w:val="center"/>
          </w:tcPr>
          <w:p>
            <w:pPr>
              <w:widowControl/>
              <w:spacing w:line="540" w:lineRule="exact"/>
              <w:jc w:val="left"/>
              <w:rPr>
                <w:rFonts w:ascii="仿宋_GB2312" w:hAnsi="黑体" w:eastAsia="仿宋_GB2312"/>
                <w:b/>
                <w:bCs/>
                <w:color w:val="auto"/>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bCs/>
                <w:color w:val="auto"/>
                <w:sz w:val="28"/>
                <w:szCs w:val="28"/>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法定代表人</w:t>
            </w:r>
            <w:r>
              <w:rPr>
                <w:rFonts w:hint="eastAsia" w:ascii="仿宋" w:hAnsi="仿宋" w:eastAsia="仿宋" w:cs="仿宋"/>
                <w:b w:val="0"/>
                <w:bCs w:val="0"/>
                <w:color w:val="auto"/>
                <w:sz w:val="24"/>
                <w:szCs w:val="24"/>
              </w:rPr>
              <w:t>）</w:t>
            </w:r>
          </w:p>
        </w:tc>
        <w:tc>
          <w:tcPr>
            <w:tcW w:w="1321"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c>
          <w:tcPr>
            <w:tcW w:w="28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850" w:hRule="atLeast"/>
          <w:jc w:val="center"/>
        </w:trPr>
        <w:tc>
          <w:tcPr>
            <w:tcW w:w="1485" w:type="dxa"/>
            <w:vMerge w:val="continue"/>
            <w:tcBorders>
              <w:left w:val="single" w:color="auto" w:sz="4" w:space="0"/>
              <w:right w:val="single" w:color="auto" w:sz="4" w:space="0"/>
            </w:tcBorders>
            <w:noWrap w:val="0"/>
            <w:vAlign w:val="center"/>
          </w:tcPr>
          <w:p>
            <w:pPr>
              <w:widowControl/>
              <w:spacing w:line="540" w:lineRule="exact"/>
              <w:jc w:val="left"/>
              <w:rPr>
                <w:rFonts w:ascii="仿宋_GB2312" w:hAnsi="黑体" w:eastAsia="仿宋_GB2312"/>
                <w:b/>
                <w:bCs/>
                <w:color w:val="auto"/>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bCs/>
                <w:color w:val="auto"/>
                <w:sz w:val="28"/>
                <w:szCs w:val="28"/>
              </w:rPr>
            </w:pPr>
            <w:r>
              <w:rPr>
                <w:rFonts w:hint="eastAsia" w:ascii="仿宋" w:hAnsi="仿宋" w:eastAsia="仿宋" w:cs="仿宋"/>
                <w:b w:val="0"/>
                <w:bCs w:val="0"/>
                <w:color w:val="auto"/>
                <w:sz w:val="24"/>
                <w:szCs w:val="24"/>
              </w:rPr>
              <w:t>（董事会秘书）</w:t>
            </w:r>
          </w:p>
        </w:tc>
        <w:tc>
          <w:tcPr>
            <w:tcW w:w="1321"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c>
          <w:tcPr>
            <w:tcW w:w="2802" w:type="dxa"/>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737" w:hRule="atLeast"/>
          <w:jc w:val="center"/>
        </w:trPr>
        <w:tc>
          <w:tcPr>
            <w:tcW w:w="1485" w:type="dxa"/>
            <w:vMerge w:val="continue"/>
            <w:tcBorders>
              <w:left w:val="single" w:color="auto" w:sz="4" w:space="0"/>
              <w:bottom w:val="single" w:color="auto" w:sz="4" w:space="0"/>
              <w:right w:val="single" w:color="auto" w:sz="4" w:space="0"/>
            </w:tcBorders>
            <w:noWrap w:val="0"/>
            <w:vAlign w:val="center"/>
          </w:tcPr>
          <w:p>
            <w:pPr>
              <w:widowControl/>
              <w:spacing w:line="540" w:lineRule="exact"/>
              <w:jc w:val="left"/>
              <w:rPr>
                <w:rFonts w:ascii="仿宋_GB2312" w:hAnsi="黑体" w:eastAsia="仿宋_GB2312"/>
                <w:b/>
                <w:bCs/>
                <w:color w:val="auto"/>
                <w:sz w:val="28"/>
                <w:szCs w:val="28"/>
              </w:rPr>
            </w:pPr>
          </w:p>
        </w:tc>
        <w:tc>
          <w:tcPr>
            <w:tcW w:w="178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pacing w:val="-11"/>
                <w:sz w:val="24"/>
                <w:szCs w:val="24"/>
                <w:lang w:val="en-US" w:eastAsia="zh-CN"/>
              </w:rPr>
              <w:t>(证券事务代表)</w:t>
            </w:r>
          </w:p>
        </w:tc>
        <w:tc>
          <w:tcPr>
            <w:tcW w:w="132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黑体" w:eastAsia="仿宋_GB2312"/>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黑体" w:eastAsia="仿宋_GB2312"/>
                <w:color w:val="auto"/>
                <w:sz w:val="28"/>
                <w:szCs w:val="28"/>
              </w:rPr>
            </w:pPr>
          </w:p>
        </w:tc>
        <w:tc>
          <w:tcPr>
            <w:tcW w:w="28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1134"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基本情况</w:t>
            </w:r>
          </w:p>
        </w:tc>
        <w:tc>
          <w:tcPr>
            <w:tcW w:w="3105" w:type="dxa"/>
            <w:gridSpan w:val="4"/>
            <w:tcBorders>
              <w:top w:val="single" w:color="auto" w:sz="4" w:space="0"/>
              <w:left w:val="nil"/>
              <w:bottom w:val="single" w:color="auto" w:sz="4" w:space="0"/>
              <w:right w:val="single" w:color="auto" w:sz="4" w:space="0"/>
            </w:tcBorders>
            <w:noWrap w:val="0"/>
            <w:vAlign w:val="center"/>
          </w:tcPr>
          <w:p>
            <w:pPr>
              <w:spacing w:line="540" w:lineRule="exact"/>
              <w:jc w:val="center"/>
              <w:rPr>
                <w:rFonts w:hint="eastAsia" w:ascii="仿宋_GB2312" w:hAnsi="黑体" w:eastAsia="仿宋_GB2312"/>
                <w:b w:val="0"/>
                <w:bCs w:val="0"/>
                <w:color w:val="auto"/>
                <w:spacing w:val="0"/>
                <w:sz w:val="28"/>
                <w:szCs w:val="28"/>
              </w:rPr>
            </w:pPr>
            <w:r>
              <w:rPr>
                <w:rFonts w:hint="eastAsia" w:ascii="仿宋_GB2312" w:hAnsi="黑体" w:eastAsia="仿宋_GB2312"/>
                <w:b w:val="0"/>
                <w:bCs w:val="0"/>
                <w:color w:val="auto"/>
                <w:spacing w:val="0"/>
                <w:sz w:val="28"/>
                <w:szCs w:val="28"/>
              </w:rPr>
              <w:t>主要股东及持股</w:t>
            </w:r>
          </w:p>
          <w:p>
            <w:pPr>
              <w:spacing w:line="540" w:lineRule="exact"/>
              <w:jc w:val="center"/>
              <w:rPr>
                <w:rFonts w:hint="eastAsia" w:ascii="仿宋_GB2312" w:hAnsi="黑体" w:eastAsia="仿宋_GB2312"/>
                <w:b w:val="0"/>
                <w:bCs w:val="0"/>
                <w:color w:val="auto"/>
                <w:sz w:val="28"/>
                <w:szCs w:val="28"/>
                <w:lang w:eastAsia="zh-CN"/>
              </w:rPr>
            </w:pPr>
            <w:r>
              <w:rPr>
                <w:rFonts w:hint="eastAsia" w:ascii="仿宋_GB2312" w:hAnsi="黑体" w:eastAsia="仿宋_GB2312"/>
                <w:b w:val="0"/>
                <w:bCs w:val="0"/>
                <w:color w:val="auto"/>
                <w:spacing w:val="0"/>
                <w:sz w:val="28"/>
                <w:szCs w:val="28"/>
              </w:rPr>
              <w:t>比例</w:t>
            </w:r>
            <w:r>
              <w:rPr>
                <w:rFonts w:hint="eastAsia" w:ascii="仿宋_GB2312" w:hAnsi="黑体" w:eastAsia="仿宋_GB2312"/>
                <w:b w:val="0"/>
                <w:bCs w:val="0"/>
                <w:color w:val="auto"/>
                <w:spacing w:val="0"/>
                <w:sz w:val="28"/>
                <w:szCs w:val="28"/>
                <w:lang w:eastAsia="zh-CN"/>
              </w:rPr>
              <w:t>情况</w:t>
            </w:r>
          </w:p>
        </w:tc>
        <w:tc>
          <w:tcPr>
            <w:tcW w:w="4362" w:type="dxa"/>
            <w:gridSpan w:val="2"/>
            <w:tcBorders>
              <w:top w:val="single" w:color="auto" w:sz="4" w:space="0"/>
              <w:left w:val="nil"/>
              <w:bottom w:val="single" w:color="auto" w:sz="4" w:space="0"/>
              <w:right w:val="single" w:color="auto" w:sz="4" w:space="0"/>
            </w:tcBorders>
            <w:noWrap w:val="0"/>
            <w:vAlign w:val="center"/>
          </w:tcPr>
          <w:p>
            <w:pPr>
              <w:spacing w:line="540" w:lineRule="exact"/>
              <w:jc w:val="center"/>
              <w:rPr>
                <w:rFonts w:ascii="仿宋_GB2312" w:hAnsi="黑体" w:eastAsia="仿宋_GB2312"/>
                <w:b w:val="0"/>
                <w:bCs w:val="0"/>
                <w:color w:val="auto"/>
                <w:sz w:val="28"/>
                <w:szCs w:val="28"/>
              </w:rPr>
            </w:pPr>
          </w:p>
        </w:tc>
      </w:tr>
      <w:tr>
        <w:tblPrEx>
          <w:tblLayout w:type="fixed"/>
          <w:tblCellMar>
            <w:top w:w="0" w:type="dxa"/>
            <w:left w:w="108" w:type="dxa"/>
            <w:bottom w:w="0" w:type="dxa"/>
            <w:right w:w="108" w:type="dxa"/>
          </w:tblCellMar>
        </w:tblPrEx>
        <w:trPr>
          <w:trHeight w:val="819"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黑体" w:eastAsia="仿宋_GB2312"/>
                <w:b w:val="0"/>
                <w:bCs w:val="0"/>
                <w:color w:val="auto"/>
                <w:sz w:val="28"/>
                <w:szCs w:val="28"/>
              </w:rPr>
            </w:pPr>
          </w:p>
        </w:tc>
        <w:tc>
          <w:tcPr>
            <w:tcW w:w="3105" w:type="dxa"/>
            <w:gridSpan w:val="4"/>
            <w:tcBorders>
              <w:top w:val="single" w:color="auto" w:sz="4" w:space="0"/>
              <w:left w:val="nil"/>
              <w:bottom w:val="single" w:color="auto" w:sz="4" w:space="0"/>
              <w:right w:val="single" w:color="auto" w:sz="4" w:space="0"/>
            </w:tcBorders>
            <w:noWrap w:val="0"/>
            <w:vAlign w:val="center"/>
          </w:tcPr>
          <w:p>
            <w:pPr>
              <w:spacing w:line="0" w:lineRule="atLeas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主营业务范围</w:t>
            </w:r>
          </w:p>
        </w:tc>
        <w:tc>
          <w:tcPr>
            <w:tcW w:w="4362" w:type="dxa"/>
            <w:gridSpan w:val="2"/>
            <w:tcBorders>
              <w:top w:val="single" w:color="auto" w:sz="4" w:space="0"/>
              <w:left w:val="nil"/>
              <w:bottom w:val="single" w:color="auto" w:sz="4" w:space="0"/>
              <w:right w:val="single" w:color="auto" w:sz="4" w:space="0"/>
            </w:tcBorders>
            <w:noWrap w:val="0"/>
            <w:vAlign w:val="center"/>
          </w:tcPr>
          <w:p>
            <w:pPr>
              <w:spacing w:line="575" w:lineRule="exact"/>
              <w:jc w:val="center"/>
              <w:rPr>
                <w:rFonts w:ascii="仿宋_GB2312" w:hAnsi="黑体" w:eastAsia="仿宋_GB2312"/>
                <w:b w:val="0"/>
                <w:bCs w:val="0"/>
                <w:color w:val="auto"/>
                <w:sz w:val="28"/>
                <w:szCs w:val="28"/>
              </w:rPr>
            </w:pPr>
          </w:p>
        </w:tc>
      </w:tr>
      <w:tr>
        <w:tblPrEx>
          <w:tblLayout w:type="fixed"/>
          <w:tblCellMar>
            <w:top w:w="0" w:type="dxa"/>
            <w:left w:w="108" w:type="dxa"/>
            <w:bottom w:w="0" w:type="dxa"/>
            <w:right w:w="108" w:type="dxa"/>
          </w:tblCellMar>
        </w:tblPrEx>
        <w:trPr>
          <w:trHeight w:val="850" w:hRule="atLeast"/>
          <w:jc w:val="center"/>
        </w:trPr>
        <w:tc>
          <w:tcPr>
            <w:tcW w:w="1485" w:type="dxa"/>
            <w:vMerge w:val="restart"/>
            <w:tcBorders>
              <w:top w:val="nil"/>
              <w:left w:val="single" w:color="auto" w:sz="4" w:space="0"/>
              <w:bottom w:val="single" w:color="auto" w:sz="4" w:space="0"/>
              <w:right w:val="single" w:color="auto" w:sz="4" w:space="0"/>
            </w:tcBorders>
            <w:noWrap w:val="0"/>
            <w:vAlign w:val="center"/>
          </w:tcPr>
          <w:p>
            <w:pPr>
              <w:spacing w:line="575" w:lineRule="exact"/>
              <w:jc w:val="center"/>
              <w:rPr>
                <w:rFonts w:ascii="仿宋_GB2312" w:hAnsi="黑体" w:eastAsia="仿宋_GB2312"/>
                <w:b w:val="0"/>
                <w:bCs w:val="0"/>
                <w:color w:val="auto"/>
              </w:rPr>
            </w:pPr>
            <w:r>
              <w:rPr>
                <w:rFonts w:hint="eastAsia" w:ascii="仿宋_GB2312" w:hAnsi="黑体" w:eastAsia="仿宋_GB2312"/>
                <w:b w:val="0"/>
                <w:bCs w:val="0"/>
                <w:color w:val="auto"/>
                <w:sz w:val="28"/>
                <w:szCs w:val="28"/>
              </w:rPr>
              <w:t>近三年运营情况</w:t>
            </w:r>
          </w:p>
        </w:tc>
        <w:tc>
          <w:tcPr>
            <w:tcW w:w="12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年度</w:t>
            </w:r>
          </w:p>
        </w:tc>
        <w:tc>
          <w:tcPr>
            <w:tcW w:w="1846"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黑体" w:eastAsia="仿宋_GB2312" w:cs="Times New Roman"/>
                <w:b w:val="0"/>
                <w:bCs w:val="0"/>
                <w:color w:val="auto"/>
                <w:sz w:val="28"/>
                <w:szCs w:val="28"/>
                <w:lang w:eastAsia="zh-CN"/>
              </w:rPr>
            </w:pPr>
            <w:r>
              <w:rPr>
                <w:rFonts w:hint="eastAsia" w:ascii="仿宋_GB2312" w:hAnsi="黑体" w:eastAsia="仿宋_GB2312" w:cs="Times New Roman"/>
                <w:b w:val="0"/>
                <w:bCs w:val="0"/>
                <w:color w:val="auto"/>
                <w:sz w:val="28"/>
                <w:szCs w:val="28"/>
                <w:lang w:eastAsia="zh-CN"/>
              </w:rPr>
              <w:t>营业收入</w:t>
            </w:r>
            <w:r>
              <w:rPr>
                <w:rFonts w:hint="eastAsia" w:ascii="仿宋_GB2312" w:hAnsi="黑体" w:eastAsia="仿宋_GB2312" w:cs="Times New Roman"/>
                <w:b w:val="0"/>
                <w:bCs w:val="0"/>
                <w:color w:val="auto"/>
                <w:sz w:val="24"/>
                <w:szCs w:val="24"/>
                <w:lang w:eastAsia="zh-CN"/>
              </w:rPr>
              <w:t>（万元）</w:t>
            </w:r>
          </w:p>
        </w:tc>
        <w:tc>
          <w:tcPr>
            <w:tcW w:w="156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黑体" w:eastAsia="仿宋_GB2312" w:cs="Times New Roman"/>
                <w:b w:val="0"/>
                <w:bCs w:val="0"/>
                <w:color w:val="auto"/>
                <w:sz w:val="28"/>
                <w:szCs w:val="28"/>
                <w:lang w:eastAsia="zh-CN"/>
              </w:rPr>
            </w:pPr>
            <w:r>
              <w:rPr>
                <w:rFonts w:hint="eastAsia" w:ascii="仿宋_GB2312" w:hAnsi="黑体" w:eastAsia="仿宋_GB2312" w:cs="Times New Roman"/>
                <w:b w:val="0"/>
                <w:bCs w:val="0"/>
                <w:color w:val="auto"/>
                <w:sz w:val="28"/>
                <w:szCs w:val="28"/>
                <w:lang w:eastAsia="zh-CN"/>
              </w:rPr>
              <w:t>净利润</w:t>
            </w:r>
          </w:p>
          <w:p>
            <w:pPr>
              <w:spacing w:line="300" w:lineRule="exact"/>
              <w:jc w:val="center"/>
              <w:rPr>
                <w:rFonts w:hint="eastAsia" w:ascii="仿宋_GB2312" w:hAnsi="黑体" w:eastAsia="仿宋_GB2312" w:cs="Times New Roman"/>
                <w:b w:val="0"/>
                <w:bCs w:val="0"/>
                <w:color w:val="auto"/>
                <w:sz w:val="28"/>
                <w:szCs w:val="28"/>
                <w:lang w:eastAsia="zh-CN"/>
              </w:rPr>
            </w:pPr>
            <w:r>
              <w:rPr>
                <w:rFonts w:hint="eastAsia" w:ascii="仿宋_GB2312" w:hAnsi="黑体" w:eastAsia="仿宋_GB2312" w:cs="Times New Roman"/>
                <w:b w:val="0"/>
                <w:bCs w:val="0"/>
                <w:color w:val="auto"/>
                <w:sz w:val="24"/>
                <w:szCs w:val="24"/>
                <w:lang w:eastAsia="zh-CN"/>
              </w:rPr>
              <w:t>（万元）</w:t>
            </w:r>
          </w:p>
        </w:tc>
        <w:tc>
          <w:tcPr>
            <w:tcW w:w="28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黑体" w:eastAsia="仿宋_GB2312" w:cs="Times New Roman"/>
                <w:b w:val="0"/>
                <w:bCs w:val="0"/>
                <w:color w:val="auto"/>
                <w:sz w:val="28"/>
                <w:szCs w:val="28"/>
                <w:lang w:eastAsia="zh-CN"/>
              </w:rPr>
            </w:pPr>
            <w:r>
              <w:rPr>
                <w:rFonts w:hint="default" w:ascii="仿宋_GB2312" w:hAnsi="黑体" w:eastAsia="仿宋_GB2312" w:cs="Times New Roman"/>
                <w:b w:val="0"/>
                <w:bCs w:val="0"/>
                <w:color w:val="auto"/>
                <w:sz w:val="28"/>
                <w:szCs w:val="28"/>
              </w:rPr>
              <w:t>研发投入</w:t>
            </w:r>
            <w:r>
              <w:rPr>
                <w:rFonts w:hint="eastAsia" w:ascii="仿宋_GB2312" w:hAnsi="黑体" w:eastAsia="仿宋_GB2312" w:cs="Times New Roman"/>
                <w:b w:val="0"/>
                <w:bCs w:val="0"/>
                <w:color w:val="auto"/>
                <w:sz w:val="24"/>
                <w:szCs w:val="24"/>
                <w:lang w:eastAsia="zh-CN"/>
              </w:rPr>
              <w:t>（万元）</w:t>
            </w:r>
          </w:p>
        </w:tc>
      </w:tr>
      <w:tr>
        <w:tblPrEx>
          <w:tblLayout w:type="fixed"/>
          <w:tblCellMar>
            <w:top w:w="0" w:type="dxa"/>
            <w:left w:w="108" w:type="dxa"/>
            <w:bottom w:w="0" w:type="dxa"/>
            <w:right w:w="108" w:type="dxa"/>
          </w:tblCellMar>
        </w:tblPrEx>
        <w:trPr>
          <w:trHeight w:val="730"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黑体" w:eastAsia="仿宋_GB2312"/>
                <w:color w:val="auto"/>
              </w:rPr>
            </w:pPr>
          </w:p>
        </w:tc>
        <w:tc>
          <w:tcPr>
            <w:tcW w:w="1259" w:type="dxa"/>
            <w:tcBorders>
              <w:top w:val="single" w:color="auto" w:sz="4" w:space="0"/>
              <w:left w:val="nil"/>
              <w:bottom w:val="single" w:color="auto" w:sz="4" w:space="0"/>
              <w:right w:val="single" w:color="auto" w:sz="4" w:space="0"/>
            </w:tcBorders>
            <w:noWrap w:val="0"/>
            <w:vAlign w:val="center"/>
          </w:tcPr>
          <w:p>
            <w:pPr>
              <w:spacing w:line="575" w:lineRule="exact"/>
              <w:jc w:val="center"/>
              <w:rPr>
                <w:rFonts w:ascii="仿宋_GB2312" w:hAnsi="黑体" w:eastAsia="仿宋_GB2312"/>
                <w:color w:val="auto"/>
                <w:sz w:val="28"/>
                <w:szCs w:val="28"/>
              </w:rPr>
            </w:pPr>
          </w:p>
        </w:tc>
        <w:tc>
          <w:tcPr>
            <w:tcW w:w="1846" w:type="dxa"/>
            <w:gridSpan w:val="3"/>
            <w:tcBorders>
              <w:top w:val="single" w:color="auto" w:sz="4" w:space="0"/>
              <w:left w:val="nil"/>
              <w:bottom w:val="single" w:color="auto" w:sz="4" w:space="0"/>
              <w:right w:val="single" w:color="auto" w:sz="4" w:space="0"/>
            </w:tcBorders>
            <w:noWrap w:val="0"/>
            <w:vAlign w:val="center"/>
          </w:tcPr>
          <w:p>
            <w:pPr>
              <w:spacing w:line="575" w:lineRule="exact"/>
              <w:jc w:val="center"/>
              <w:rPr>
                <w:rFonts w:ascii="仿宋_GB2312" w:hAnsi="黑体" w:eastAsia="仿宋_GB2312"/>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575" w:lineRule="exact"/>
              <w:jc w:val="center"/>
              <w:rPr>
                <w:rFonts w:ascii="仿宋_GB2312" w:hAnsi="黑体" w:eastAsia="仿宋_GB2312"/>
                <w:color w:val="auto"/>
                <w:sz w:val="28"/>
                <w:szCs w:val="28"/>
              </w:rPr>
            </w:pPr>
          </w:p>
        </w:tc>
        <w:tc>
          <w:tcPr>
            <w:tcW w:w="2802" w:type="dxa"/>
            <w:tcBorders>
              <w:top w:val="single" w:color="auto" w:sz="4" w:space="0"/>
              <w:left w:val="nil"/>
              <w:bottom w:val="single" w:color="auto" w:sz="4" w:space="0"/>
              <w:right w:val="single" w:color="auto" w:sz="4" w:space="0"/>
            </w:tcBorders>
            <w:noWrap w:val="0"/>
            <w:vAlign w:val="center"/>
          </w:tcPr>
          <w:p>
            <w:pPr>
              <w:spacing w:line="575"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850"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黑体" w:eastAsia="仿宋_GB2312"/>
                <w:color w:val="auto"/>
              </w:rPr>
            </w:pPr>
          </w:p>
        </w:tc>
        <w:tc>
          <w:tcPr>
            <w:tcW w:w="12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c>
          <w:tcPr>
            <w:tcW w:w="1846"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c>
          <w:tcPr>
            <w:tcW w:w="28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850" w:hRule="atLeast"/>
          <w:jc w:val="center"/>
        </w:trPr>
        <w:tc>
          <w:tcPr>
            <w:tcW w:w="1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黑体" w:eastAsia="仿宋_GB2312"/>
                <w:color w:val="auto"/>
              </w:rPr>
            </w:pPr>
          </w:p>
        </w:tc>
        <w:tc>
          <w:tcPr>
            <w:tcW w:w="125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c>
          <w:tcPr>
            <w:tcW w:w="1846"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c>
          <w:tcPr>
            <w:tcW w:w="156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c>
          <w:tcPr>
            <w:tcW w:w="28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黑体" w:eastAsia="仿宋_GB2312"/>
                <w:color w:val="auto"/>
                <w:sz w:val="28"/>
                <w:szCs w:val="28"/>
              </w:rPr>
            </w:pPr>
          </w:p>
        </w:tc>
      </w:tr>
      <w:tr>
        <w:tblPrEx>
          <w:tblLayout w:type="fixed"/>
          <w:tblCellMar>
            <w:top w:w="0" w:type="dxa"/>
            <w:left w:w="108" w:type="dxa"/>
            <w:bottom w:w="0" w:type="dxa"/>
            <w:right w:w="108" w:type="dxa"/>
          </w:tblCellMar>
        </w:tblPrEx>
        <w:trPr>
          <w:trHeight w:val="2058"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黑体" w:eastAsia="仿宋_GB2312"/>
                <w:b w:val="0"/>
                <w:bCs w:val="0"/>
                <w:color w:val="auto"/>
                <w:sz w:val="28"/>
                <w:szCs w:val="28"/>
                <w:lang w:eastAsia="zh-CN"/>
              </w:rPr>
            </w:pPr>
            <w:r>
              <w:rPr>
                <w:rFonts w:hint="eastAsia" w:ascii="仿宋_GB2312" w:hAnsi="黑体" w:eastAsia="仿宋_GB2312"/>
                <w:b w:val="0"/>
                <w:bCs w:val="0"/>
                <w:color w:val="auto"/>
                <w:sz w:val="28"/>
                <w:szCs w:val="28"/>
                <w:lang w:eastAsia="zh-CN"/>
              </w:rPr>
              <w:t>发展计划</w:t>
            </w:r>
          </w:p>
        </w:tc>
        <w:tc>
          <w:tcPr>
            <w:tcW w:w="7467" w:type="dxa"/>
            <w:gridSpan w:val="6"/>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color w:val="auto"/>
              </w:rPr>
            </w:pPr>
          </w:p>
          <w:p>
            <w:pPr>
              <w:pStyle w:val="2"/>
              <w:rPr>
                <w:rFonts w:hint="eastAsia" w:ascii="仿宋_GB2312" w:hAnsi="黑体" w:eastAsia="仿宋_GB2312"/>
                <w:color w:val="auto"/>
                <w:sz w:val="24"/>
                <w:szCs w:val="24"/>
              </w:rPr>
            </w:pPr>
          </w:p>
          <w:p>
            <w:pPr>
              <w:pStyle w:val="2"/>
              <w:rPr>
                <w:rFonts w:hint="eastAsia" w:ascii="仿宋_GB2312" w:hAnsi="黑体" w:eastAsia="仿宋_GB2312"/>
                <w:color w:val="auto"/>
                <w:sz w:val="24"/>
                <w:szCs w:val="24"/>
              </w:rPr>
            </w:pPr>
          </w:p>
          <w:p>
            <w:pPr>
              <w:pStyle w:val="2"/>
              <w:rPr>
                <w:rFonts w:hint="eastAsia" w:ascii="仿宋_GB2312" w:hAnsi="黑体" w:eastAsia="仿宋_GB2312"/>
                <w:color w:val="auto"/>
                <w:sz w:val="24"/>
                <w:szCs w:val="24"/>
              </w:rPr>
            </w:pPr>
          </w:p>
          <w:p>
            <w:pPr>
              <w:pStyle w:val="2"/>
              <w:jc w:val="both"/>
              <w:rPr>
                <w:rFonts w:hint="eastAsia" w:ascii="仿宋_GB2312" w:hAnsi="黑体" w:eastAsia="仿宋_GB2312"/>
                <w:color w:val="auto"/>
                <w:sz w:val="24"/>
                <w:szCs w:val="24"/>
              </w:rPr>
            </w:pPr>
          </w:p>
        </w:tc>
      </w:tr>
      <w:tr>
        <w:tblPrEx>
          <w:tblLayout w:type="fixed"/>
          <w:tblCellMar>
            <w:top w:w="0" w:type="dxa"/>
            <w:left w:w="108" w:type="dxa"/>
            <w:bottom w:w="0" w:type="dxa"/>
            <w:right w:w="108" w:type="dxa"/>
          </w:tblCellMar>
        </w:tblPrEx>
        <w:trPr>
          <w:trHeight w:val="2086"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黑体" w:eastAsia="仿宋_GB2312"/>
                <w:b w:val="0"/>
                <w:bCs w:val="0"/>
                <w:color w:val="auto"/>
                <w:sz w:val="28"/>
                <w:szCs w:val="28"/>
                <w:lang w:eastAsia="zh-CN"/>
              </w:rPr>
            </w:pPr>
            <w:r>
              <w:rPr>
                <w:rFonts w:hint="eastAsia" w:ascii="仿宋_GB2312" w:hAnsi="黑体" w:eastAsia="仿宋_GB2312"/>
                <w:b w:val="0"/>
                <w:bCs w:val="0"/>
                <w:color w:val="auto"/>
                <w:sz w:val="28"/>
                <w:szCs w:val="28"/>
                <w:lang w:eastAsia="zh-CN"/>
              </w:rPr>
              <w:t>融资经历</w:t>
            </w:r>
          </w:p>
        </w:tc>
        <w:tc>
          <w:tcPr>
            <w:tcW w:w="7467" w:type="dxa"/>
            <w:gridSpan w:val="6"/>
            <w:tcBorders>
              <w:top w:val="single" w:color="auto" w:sz="4" w:space="0"/>
              <w:left w:val="nil"/>
              <w:bottom w:val="single" w:color="auto" w:sz="4" w:space="0"/>
              <w:right w:val="single" w:color="auto" w:sz="4" w:space="0"/>
            </w:tcBorders>
            <w:noWrap w:val="0"/>
            <w:vAlign w:val="center"/>
          </w:tcPr>
          <w:p>
            <w:pPr>
              <w:spacing w:line="520" w:lineRule="exact"/>
              <w:jc w:val="center"/>
              <w:rPr>
                <w:rFonts w:hint="eastAsia" w:ascii="仿宋_GB2312" w:hAnsi="黑体" w:eastAsia="仿宋_GB2312"/>
                <w:color w:val="auto"/>
                <w:sz w:val="24"/>
                <w:szCs w:val="24"/>
              </w:rPr>
            </w:pPr>
            <w:r>
              <w:rPr>
                <w:rFonts w:hint="eastAsia" w:ascii="仿宋_GB2312" w:hAnsi="黑体" w:eastAsia="仿宋_GB2312"/>
                <w:color w:val="auto"/>
                <w:sz w:val="24"/>
                <w:szCs w:val="24"/>
                <w:lang w:eastAsia="zh-CN"/>
              </w:rPr>
              <w:t>（</w:t>
            </w:r>
            <w:r>
              <w:rPr>
                <w:rFonts w:hint="eastAsia" w:ascii="仿宋_GB2312" w:hAnsi="黑体" w:eastAsia="仿宋_GB2312"/>
                <w:color w:val="auto"/>
                <w:sz w:val="24"/>
                <w:szCs w:val="24"/>
              </w:rPr>
              <w:t>包括股权融资和债权融资，根据融资方式提供融资时间，融资轮次，融资金额、企业估值等，并提供相关证明材料等</w:t>
            </w:r>
            <w:r>
              <w:rPr>
                <w:rFonts w:hint="eastAsia" w:ascii="仿宋_GB2312" w:hAnsi="黑体" w:eastAsia="仿宋_GB2312"/>
                <w:color w:val="auto"/>
                <w:sz w:val="24"/>
                <w:szCs w:val="24"/>
                <w:lang w:eastAsia="zh-CN"/>
              </w:rPr>
              <w:t>）</w:t>
            </w:r>
          </w:p>
        </w:tc>
      </w:tr>
      <w:tr>
        <w:tblPrEx>
          <w:tblLayout w:type="fixed"/>
          <w:tblCellMar>
            <w:top w:w="0" w:type="dxa"/>
            <w:left w:w="0" w:type="dxa"/>
            <w:bottom w:w="0" w:type="dxa"/>
            <w:right w:w="0" w:type="dxa"/>
          </w:tblCellMar>
        </w:tblPrEx>
        <w:trPr>
          <w:trHeight w:val="737" w:hRule="atLeast"/>
          <w:jc w:val="center"/>
        </w:trPr>
        <w:tc>
          <w:tcPr>
            <w:tcW w:w="1485" w:type="dxa"/>
            <w:vMerge w:val="restart"/>
            <w:tcBorders>
              <w:top w:val="single" w:color="auto" w:sz="8" w:space="0"/>
              <w:left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挂牌、上市</w:t>
            </w:r>
          </w:p>
          <w:p>
            <w:pPr>
              <w:spacing w:line="575" w:lineRule="exact"/>
              <w:jc w:val="center"/>
              <w:rPr>
                <w:rFonts w:hint="eastAsia" w:ascii="仿宋_GB2312" w:hAnsi="黑体" w:eastAsia="仿宋_GB2312"/>
                <w:b w:val="0"/>
                <w:bCs w:val="0"/>
                <w:color w:val="auto"/>
                <w:sz w:val="28"/>
                <w:szCs w:val="28"/>
              </w:rPr>
            </w:pPr>
            <w:r>
              <w:rPr>
                <w:rFonts w:hint="eastAsia" w:ascii="仿宋_GB2312" w:hAnsi="黑体" w:eastAsia="仿宋_GB2312"/>
                <w:b w:val="0"/>
                <w:bCs w:val="0"/>
                <w:color w:val="auto"/>
                <w:sz w:val="28"/>
                <w:szCs w:val="28"/>
              </w:rPr>
              <w:t>计划</w:t>
            </w: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r>
              <w:rPr>
                <w:rFonts w:hint="eastAsia" w:ascii="仿宋_GB2312" w:hAnsi="黑体" w:eastAsia="仿宋_GB2312"/>
                <w:b w:val="0"/>
                <w:bCs w:val="0"/>
                <w:color w:val="auto"/>
                <w:sz w:val="28"/>
                <w:szCs w:val="28"/>
                <w:lang w:val="en-US" w:eastAsia="zh-CN"/>
              </w:rPr>
              <w:t>拟挂牌、上市交易场所</w:t>
            </w:r>
          </w:p>
        </w:tc>
        <w:tc>
          <w:tcPr>
            <w:tcW w:w="4813"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r>
      <w:tr>
        <w:tblPrEx>
          <w:tblLayout w:type="fixed"/>
          <w:tblCellMar>
            <w:top w:w="0" w:type="dxa"/>
            <w:left w:w="0" w:type="dxa"/>
            <w:bottom w:w="0" w:type="dxa"/>
            <w:right w:w="0" w:type="dxa"/>
          </w:tblCellMar>
        </w:tblPrEx>
        <w:trPr>
          <w:trHeight w:val="1017" w:hRule="atLeast"/>
          <w:jc w:val="center"/>
        </w:trPr>
        <w:tc>
          <w:tcPr>
            <w:tcW w:w="1485" w:type="dxa"/>
            <w:vMerge w:val="continue"/>
            <w:tcBorders>
              <w:left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r>
              <w:rPr>
                <w:rFonts w:hint="eastAsia" w:ascii="仿宋_GB2312" w:hAnsi="黑体" w:eastAsia="仿宋_GB2312"/>
                <w:b w:val="0"/>
                <w:bCs w:val="0"/>
                <w:color w:val="auto"/>
                <w:sz w:val="28"/>
                <w:szCs w:val="28"/>
                <w:lang w:val="en-US" w:eastAsia="zh-CN"/>
              </w:rPr>
              <w:t>拟挂牌、上市时间</w:t>
            </w:r>
          </w:p>
        </w:tc>
        <w:tc>
          <w:tcPr>
            <w:tcW w:w="4813"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r>
      <w:tr>
        <w:tblPrEx>
          <w:tblLayout w:type="fixed"/>
          <w:tblCellMar>
            <w:top w:w="0" w:type="dxa"/>
            <w:left w:w="0" w:type="dxa"/>
            <w:bottom w:w="0" w:type="dxa"/>
            <w:right w:w="0" w:type="dxa"/>
          </w:tblCellMar>
        </w:tblPrEx>
        <w:trPr>
          <w:trHeight w:val="987" w:hRule="atLeast"/>
          <w:jc w:val="center"/>
        </w:trPr>
        <w:tc>
          <w:tcPr>
            <w:tcW w:w="1485" w:type="dxa"/>
            <w:vMerge w:val="continue"/>
            <w:tcBorders>
              <w:left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r>
              <w:rPr>
                <w:rFonts w:hint="eastAsia" w:ascii="仿宋_GB2312" w:hAnsi="黑体" w:eastAsia="仿宋_GB2312"/>
                <w:b w:val="0"/>
                <w:bCs w:val="0"/>
                <w:color w:val="auto"/>
                <w:sz w:val="28"/>
                <w:szCs w:val="28"/>
                <w:lang w:val="en-US" w:eastAsia="zh-CN"/>
              </w:rPr>
              <w:t>会计师事务所</w:t>
            </w:r>
          </w:p>
        </w:tc>
        <w:tc>
          <w:tcPr>
            <w:tcW w:w="4813"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r>
      <w:tr>
        <w:tblPrEx>
          <w:tblLayout w:type="fixed"/>
          <w:tblCellMar>
            <w:top w:w="0" w:type="dxa"/>
            <w:left w:w="0" w:type="dxa"/>
            <w:bottom w:w="0" w:type="dxa"/>
            <w:right w:w="0" w:type="dxa"/>
          </w:tblCellMar>
        </w:tblPrEx>
        <w:trPr>
          <w:trHeight w:val="1077" w:hRule="atLeast"/>
          <w:jc w:val="center"/>
        </w:trPr>
        <w:tc>
          <w:tcPr>
            <w:tcW w:w="1485" w:type="dxa"/>
            <w:vMerge w:val="continue"/>
            <w:tcBorders>
              <w:left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r>
              <w:rPr>
                <w:rFonts w:hint="eastAsia" w:ascii="仿宋_GB2312" w:hAnsi="黑体" w:eastAsia="仿宋_GB2312"/>
                <w:b w:val="0"/>
                <w:bCs w:val="0"/>
                <w:color w:val="auto"/>
                <w:sz w:val="28"/>
                <w:szCs w:val="28"/>
                <w:lang w:val="en-US" w:eastAsia="zh-CN"/>
              </w:rPr>
              <w:t>律师事务所</w:t>
            </w:r>
          </w:p>
        </w:tc>
        <w:tc>
          <w:tcPr>
            <w:tcW w:w="4813"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p>
        </w:tc>
      </w:tr>
      <w:tr>
        <w:tblPrEx>
          <w:tblLayout w:type="fixed"/>
          <w:tblCellMar>
            <w:top w:w="0" w:type="dxa"/>
            <w:left w:w="0" w:type="dxa"/>
            <w:bottom w:w="0" w:type="dxa"/>
            <w:right w:w="0" w:type="dxa"/>
          </w:tblCellMar>
        </w:tblPrEx>
        <w:trPr>
          <w:trHeight w:val="1047" w:hRule="atLeast"/>
          <w:jc w:val="center"/>
        </w:trPr>
        <w:tc>
          <w:tcPr>
            <w:tcW w:w="1485" w:type="dxa"/>
            <w:vMerge w:val="continue"/>
            <w:tcBorders>
              <w:left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r>
              <w:rPr>
                <w:rFonts w:hint="eastAsia" w:ascii="仿宋_GB2312" w:hAnsi="黑体" w:eastAsia="仿宋_GB2312"/>
                <w:b w:val="0"/>
                <w:bCs w:val="0"/>
                <w:color w:val="auto"/>
                <w:sz w:val="28"/>
                <w:szCs w:val="28"/>
                <w:lang w:val="en-US" w:eastAsia="zh-CN"/>
              </w:rPr>
              <w:t>主办券商或保荐机构</w:t>
            </w:r>
          </w:p>
        </w:tc>
        <w:tc>
          <w:tcPr>
            <w:tcW w:w="4813"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p>
        </w:tc>
      </w:tr>
      <w:tr>
        <w:tblPrEx>
          <w:tblLayout w:type="fixed"/>
          <w:tblCellMar>
            <w:top w:w="0" w:type="dxa"/>
            <w:left w:w="0" w:type="dxa"/>
            <w:bottom w:w="0" w:type="dxa"/>
            <w:right w:w="0" w:type="dxa"/>
          </w:tblCellMar>
        </w:tblPrEx>
        <w:trPr>
          <w:trHeight w:val="1134" w:hRule="atLeast"/>
          <w:jc w:val="center"/>
        </w:trPr>
        <w:tc>
          <w:tcPr>
            <w:tcW w:w="1485" w:type="dxa"/>
            <w:vMerge w:val="continue"/>
            <w:tcBorders>
              <w:left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rPr>
            </w:pPr>
          </w:p>
        </w:tc>
        <w:tc>
          <w:tcPr>
            <w:tcW w:w="2654"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8"/>
                <w:szCs w:val="28"/>
                <w:lang w:val="en-US" w:eastAsia="zh-CN"/>
              </w:rPr>
            </w:pPr>
            <w:r>
              <w:rPr>
                <w:rFonts w:hint="eastAsia" w:ascii="仿宋_GB2312" w:hAnsi="黑体" w:eastAsia="仿宋_GB2312"/>
                <w:b w:val="0"/>
                <w:bCs w:val="0"/>
                <w:color w:val="auto"/>
                <w:sz w:val="28"/>
                <w:szCs w:val="28"/>
                <w:lang w:val="en-US" w:eastAsia="zh-CN"/>
              </w:rPr>
              <w:t>其他</w:t>
            </w:r>
          </w:p>
        </w:tc>
        <w:tc>
          <w:tcPr>
            <w:tcW w:w="4813" w:type="dxa"/>
            <w:gridSpan w:val="3"/>
            <w:tcBorders>
              <w:top w:val="single" w:color="auto" w:sz="8" w:space="0"/>
              <w:left w:val="single" w:color="auto" w:sz="8" w:space="0"/>
              <w:bottom w:val="single" w:color="auto" w:sz="8" w:space="0"/>
              <w:right w:val="single" w:color="auto" w:sz="8" w:space="0"/>
            </w:tcBorders>
            <w:noWrap w:val="0"/>
            <w:vAlign w:val="center"/>
          </w:tcPr>
          <w:p>
            <w:pPr>
              <w:spacing w:line="575" w:lineRule="exact"/>
              <w:jc w:val="center"/>
              <w:rPr>
                <w:rFonts w:hint="eastAsia" w:ascii="仿宋_GB2312" w:hAnsi="黑体" w:eastAsia="仿宋_GB2312"/>
                <w:b w:val="0"/>
                <w:bCs w:val="0"/>
                <w:color w:val="auto"/>
                <w:sz w:val="24"/>
                <w:szCs w:val="24"/>
              </w:rPr>
            </w:pPr>
            <w:r>
              <w:rPr>
                <w:rFonts w:hint="eastAsia" w:ascii="仿宋_GB2312" w:hAnsi="黑体" w:eastAsia="仿宋_GB2312"/>
                <w:b w:val="0"/>
                <w:bCs w:val="0"/>
                <w:color w:val="auto"/>
                <w:sz w:val="24"/>
                <w:szCs w:val="24"/>
              </w:rPr>
              <w:t>（是否已确定股改计划、</w:t>
            </w:r>
          </w:p>
          <w:p>
            <w:pPr>
              <w:spacing w:line="575" w:lineRule="exact"/>
              <w:jc w:val="center"/>
              <w:rPr>
                <w:rFonts w:hint="eastAsia" w:ascii="仿宋_GB2312" w:hAnsi="黑体" w:eastAsia="仿宋_GB2312"/>
                <w:b w:val="0"/>
                <w:bCs w:val="0"/>
                <w:color w:val="auto"/>
                <w:sz w:val="28"/>
                <w:szCs w:val="28"/>
              </w:rPr>
            </w:pPr>
            <w:r>
              <w:rPr>
                <w:rFonts w:hint="eastAsia" w:ascii="仿宋_GB2312" w:hAnsi="黑体" w:eastAsia="仿宋_GB2312"/>
                <w:b w:val="0"/>
                <w:bCs w:val="0"/>
                <w:color w:val="auto"/>
                <w:sz w:val="24"/>
                <w:szCs w:val="24"/>
              </w:rPr>
              <w:t>向广东证监局报送辅导计划等）</w:t>
            </w:r>
          </w:p>
        </w:tc>
      </w:tr>
      <w:tr>
        <w:tblPrEx>
          <w:tblLayout w:type="fixed"/>
          <w:tblCellMar>
            <w:top w:w="0" w:type="dxa"/>
            <w:left w:w="108" w:type="dxa"/>
            <w:bottom w:w="0" w:type="dxa"/>
            <w:right w:w="108" w:type="dxa"/>
          </w:tblCellMar>
        </w:tblPrEx>
        <w:trPr>
          <w:trHeight w:val="1638" w:hRule="atLeast"/>
          <w:jc w:val="center"/>
        </w:trPr>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黑体" w:eastAsia="仿宋_GB2312"/>
                <w:b/>
                <w:bCs/>
                <w:color w:val="auto"/>
                <w:sz w:val="28"/>
                <w:szCs w:val="28"/>
                <w:lang w:eastAsia="zh-CN"/>
              </w:rPr>
            </w:pPr>
            <w:r>
              <w:rPr>
                <w:rFonts w:hint="eastAsia" w:ascii="仿宋_GB2312" w:hAnsi="黑体" w:eastAsia="仿宋_GB2312"/>
                <w:b w:val="0"/>
                <w:bCs w:val="0"/>
                <w:color w:val="auto"/>
                <w:sz w:val="28"/>
                <w:szCs w:val="28"/>
                <w:lang w:eastAsia="zh-CN"/>
              </w:rPr>
              <w:t>主要问题</w:t>
            </w:r>
          </w:p>
        </w:tc>
        <w:tc>
          <w:tcPr>
            <w:tcW w:w="7467" w:type="dxa"/>
            <w:gridSpan w:val="6"/>
            <w:tcBorders>
              <w:top w:val="single" w:color="auto" w:sz="4" w:space="0"/>
              <w:left w:val="nil"/>
              <w:bottom w:val="single" w:color="auto" w:sz="4" w:space="0"/>
              <w:right w:val="single" w:color="auto" w:sz="4" w:space="0"/>
            </w:tcBorders>
            <w:noWrap w:val="0"/>
            <w:vAlign w:val="center"/>
          </w:tcPr>
          <w:p>
            <w:pPr>
              <w:spacing w:line="575" w:lineRule="exact"/>
              <w:jc w:val="center"/>
              <w:rPr>
                <w:rFonts w:hint="eastAsia" w:ascii="仿宋_GB2312" w:hAnsi="黑体" w:eastAsia="仿宋_GB2312"/>
                <w:b w:val="0"/>
                <w:bCs w:val="0"/>
                <w:color w:val="auto"/>
                <w:sz w:val="24"/>
                <w:szCs w:val="24"/>
              </w:rPr>
            </w:pPr>
          </w:p>
          <w:p>
            <w:pPr>
              <w:spacing w:line="575" w:lineRule="exact"/>
              <w:jc w:val="center"/>
              <w:rPr>
                <w:rFonts w:hint="eastAsia" w:ascii="仿宋_GB2312" w:hAnsi="黑体" w:eastAsia="仿宋_GB2312"/>
                <w:b w:val="0"/>
                <w:bCs w:val="0"/>
                <w:color w:val="auto"/>
                <w:sz w:val="24"/>
                <w:szCs w:val="24"/>
              </w:rPr>
            </w:pPr>
            <w:r>
              <w:rPr>
                <w:rFonts w:hint="eastAsia" w:ascii="仿宋_GB2312" w:hAnsi="黑体" w:eastAsia="仿宋_GB2312"/>
                <w:b w:val="0"/>
                <w:bCs w:val="0"/>
                <w:color w:val="auto"/>
                <w:sz w:val="24"/>
                <w:szCs w:val="24"/>
              </w:rPr>
              <w:t>（挂牌、上市进程中遇到的主要障碍及</w:t>
            </w:r>
          </w:p>
          <w:p>
            <w:pPr>
              <w:spacing w:line="575" w:lineRule="exact"/>
              <w:jc w:val="center"/>
              <w:rPr>
                <w:rFonts w:hint="eastAsia" w:ascii="仿宋_GB2312" w:hAnsi="黑体" w:eastAsia="仿宋_GB2312"/>
                <w:color w:val="auto"/>
                <w:sz w:val="24"/>
                <w:szCs w:val="24"/>
              </w:rPr>
            </w:pPr>
            <w:r>
              <w:rPr>
                <w:rFonts w:hint="eastAsia" w:ascii="仿宋_GB2312" w:hAnsi="黑体" w:eastAsia="仿宋_GB2312"/>
                <w:b w:val="0"/>
                <w:bCs w:val="0"/>
                <w:color w:val="auto"/>
                <w:sz w:val="24"/>
                <w:szCs w:val="24"/>
              </w:rPr>
              <w:t>需要政府部门协调解决的主要问题）</w:t>
            </w:r>
          </w:p>
        </w:tc>
      </w:tr>
    </w:tbl>
    <w:p>
      <w:pPr>
        <w:spacing w:line="300" w:lineRule="exact"/>
        <w:jc w:val="left"/>
        <w:rPr>
          <w:rFonts w:hint="eastAsia" w:ascii="仿宋_GB2312" w:hAnsi="仿宋_GB2312" w:eastAsia="仿宋_GB2312" w:cs="仿宋_GB2312"/>
          <w:b w:val="0"/>
          <w:bCs w:val="0"/>
          <w:color w:val="auto"/>
          <w:sz w:val="28"/>
          <w:szCs w:val="28"/>
          <w:lang w:val="en-US" w:eastAsia="zh-CN"/>
        </w:rPr>
      </w:pPr>
    </w:p>
    <w:p>
      <w:pPr>
        <w:spacing w:line="300" w:lineRule="exact"/>
        <w:jc w:val="left"/>
        <w:rPr>
          <w:rFonts w:hint="eastAsia"/>
          <w:color w:val="auto"/>
          <w:lang w:eastAsia="zh-CN"/>
        </w:rPr>
      </w:pPr>
      <w:r>
        <w:rPr>
          <w:rFonts w:hint="eastAsia" w:ascii="仿宋_GB2312" w:hAnsi="仿宋_GB2312" w:eastAsia="仿宋_GB2312" w:cs="仿宋_GB2312"/>
          <w:b w:val="0"/>
          <w:bCs w:val="0"/>
          <w:color w:val="auto"/>
          <w:sz w:val="28"/>
          <w:szCs w:val="28"/>
          <w:lang w:val="en-US" w:eastAsia="zh-CN"/>
        </w:rPr>
        <w:t>申请单位（盖章）:                                年  月  日</w:t>
      </w:r>
    </w:p>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116D2E"/>
    <w:rsid w:val="06971860"/>
    <w:rsid w:val="07571DAC"/>
    <w:rsid w:val="08923091"/>
    <w:rsid w:val="0ABF0948"/>
    <w:rsid w:val="0B867103"/>
    <w:rsid w:val="0BEB203B"/>
    <w:rsid w:val="0D6C7F3F"/>
    <w:rsid w:val="0E6C0AB7"/>
    <w:rsid w:val="0E716FB0"/>
    <w:rsid w:val="0FAA7F75"/>
    <w:rsid w:val="15044A62"/>
    <w:rsid w:val="158D2735"/>
    <w:rsid w:val="163A7083"/>
    <w:rsid w:val="167821B5"/>
    <w:rsid w:val="19410B0E"/>
    <w:rsid w:val="19EC0A79"/>
    <w:rsid w:val="1AFB098F"/>
    <w:rsid w:val="1B993624"/>
    <w:rsid w:val="1BA16EE5"/>
    <w:rsid w:val="1D310DEE"/>
    <w:rsid w:val="1ECD2EB0"/>
    <w:rsid w:val="1EF642F4"/>
    <w:rsid w:val="1FCE33A2"/>
    <w:rsid w:val="200B1FA9"/>
    <w:rsid w:val="203E66EB"/>
    <w:rsid w:val="217B0D8B"/>
    <w:rsid w:val="223D0F38"/>
    <w:rsid w:val="234818B9"/>
    <w:rsid w:val="236537EF"/>
    <w:rsid w:val="24A577E3"/>
    <w:rsid w:val="24DF150B"/>
    <w:rsid w:val="255771D8"/>
    <w:rsid w:val="27AE606D"/>
    <w:rsid w:val="289E0FB2"/>
    <w:rsid w:val="28A86DF5"/>
    <w:rsid w:val="295F55E0"/>
    <w:rsid w:val="299953D1"/>
    <w:rsid w:val="2ADF27E6"/>
    <w:rsid w:val="2D354EB8"/>
    <w:rsid w:val="2EF96879"/>
    <w:rsid w:val="2F135743"/>
    <w:rsid w:val="300955D1"/>
    <w:rsid w:val="30F91281"/>
    <w:rsid w:val="31186FA4"/>
    <w:rsid w:val="329F5AF8"/>
    <w:rsid w:val="33A118C1"/>
    <w:rsid w:val="34AF4B37"/>
    <w:rsid w:val="35BD5164"/>
    <w:rsid w:val="361004BC"/>
    <w:rsid w:val="361C23EB"/>
    <w:rsid w:val="37F62EDD"/>
    <w:rsid w:val="38197078"/>
    <w:rsid w:val="384714EB"/>
    <w:rsid w:val="39950B1A"/>
    <w:rsid w:val="3C073D48"/>
    <w:rsid w:val="3C565622"/>
    <w:rsid w:val="3DB80111"/>
    <w:rsid w:val="3F1E1864"/>
    <w:rsid w:val="40CF0168"/>
    <w:rsid w:val="42133757"/>
    <w:rsid w:val="42F56C92"/>
    <w:rsid w:val="4486754E"/>
    <w:rsid w:val="46783284"/>
    <w:rsid w:val="47830694"/>
    <w:rsid w:val="479F54CE"/>
    <w:rsid w:val="47B972C0"/>
    <w:rsid w:val="47FF421C"/>
    <w:rsid w:val="481B6899"/>
    <w:rsid w:val="48984329"/>
    <w:rsid w:val="499A49CE"/>
    <w:rsid w:val="49D27D5B"/>
    <w:rsid w:val="4B9647F5"/>
    <w:rsid w:val="4C570B4A"/>
    <w:rsid w:val="4CC6078A"/>
    <w:rsid w:val="4D7270B7"/>
    <w:rsid w:val="4F2421D2"/>
    <w:rsid w:val="4FAB08DA"/>
    <w:rsid w:val="4FF86042"/>
    <w:rsid w:val="50293F7A"/>
    <w:rsid w:val="525656FC"/>
    <w:rsid w:val="52B216F6"/>
    <w:rsid w:val="54815C87"/>
    <w:rsid w:val="54DC2F6B"/>
    <w:rsid w:val="54E63D3C"/>
    <w:rsid w:val="569A3C99"/>
    <w:rsid w:val="56C25885"/>
    <w:rsid w:val="59501EA5"/>
    <w:rsid w:val="59EF3CFA"/>
    <w:rsid w:val="5C090941"/>
    <w:rsid w:val="5C213622"/>
    <w:rsid w:val="5E326A6F"/>
    <w:rsid w:val="5F1416FA"/>
    <w:rsid w:val="600E1625"/>
    <w:rsid w:val="612C2306"/>
    <w:rsid w:val="61683EF9"/>
    <w:rsid w:val="62127EDD"/>
    <w:rsid w:val="62DC39AA"/>
    <w:rsid w:val="63EE3C91"/>
    <w:rsid w:val="67920993"/>
    <w:rsid w:val="6A6A2BB1"/>
    <w:rsid w:val="6A7C1326"/>
    <w:rsid w:val="6B1C336D"/>
    <w:rsid w:val="6B46188F"/>
    <w:rsid w:val="6CB30423"/>
    <w:rsid w:val="6F0246DD"/>
    <w:rsid w:val="6F1E7F02"/>
    <w:rsid w:val="6FF70194"/>
    <w:rsid w:val="70F3716D"/>
    <w:rsid w:val="714A141F"/>
    <w:rsid w:val="71D84CE0"/>
    <w:rsid w:val="729C4398"/>
    <w:rsid w:val="72C13BCF"/>
    <w:rsid w:val="738E461A"/>
    <w:rsid w:val="758D0E68"/>
    <w:rsid w:val="77FC1EE6"/>
    <w:rsid w:val="7A26207C"/>
    <w:rsid w:val="7A630F04"/>
    <w:rsid w:val="7C050BE5"/>
    <w:rsid w:val="7C2E283E"/>
    <w:rsid w:val="7CA25614"/>
    <w:rsid w:val="7D5054F5"/>
    <w:rsid w:val="7E97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outlineLvl w:val="1"/>
    </w:pPr>
    <w:rPr>
      <w:b/>
      <w:bCs/>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right="0"/>
      <w:jc w:val="center"/>
    </w:pPr>
    <w:rPr>
      <w:rFonts w:hint="eastAsia" w:ascii="宋体" w:hAnsi="宋体" w:eastAsia="仿宋_GB2312" w:cs="宋体"/>
      <w:b/>
      <w:bCs/>
      <w:kern w:val="0"/>
      <w:sz w:val="44"/>
      <w:szCs w:val="44"/>
      <w:lang w:val="en-US" w:eastAsia="zh-CN" w:bidi="ar"/>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15"/>
    <w:basedOn w:val="10"/>
    <w:qFormat/>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2024-02-27T07:19:00Z</dcterms:created>
  <dc:creator>Administrator</dc:creator>
  <cp:lastModifiedBy>戚柏成</cp:lastModifiedBy>
  <dcterms:modified xsi:type="dcterms:W3CDTF">2024-12-19T09:29:43Z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9CB30A2CEEE34F0B99874BD0206E3F5A</vt:lpwstr>
  </property>
</Properties>
</file>