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0 -->
  <w:body>
    <w:p>
      <w:pPr>
        <w:pStyle w:val="Heading1"/>
        <w:keepNext w:val="0"/>
        <w:keepLines w:val="0"/>
        <w:widowControl/>
        <w:spacing w:before="0" w:after="322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</w:rPr>
      </w:pPr>
      <w:bookmarkStart w:id="0" w:name="_GoBack"/>
      <w:bookmarkStart w:id="1" w:name="a000"/>
      <w:r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  <w:t>2023年广州市从化区部门决算批复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  <w:r>
        <w:rPr>
          <w:rFonts w:ascii="仿宋GB2312" w:eastAsia="仿宋GB2312" w:hAnsi="仿宋GB2312" w:cs="仿宋GB2312"/>
          <w:kern w:val="0"/>
          <w:sz w:val="32"/>
          <w:szCs w:val="32"/>
        </w:rPr>
        <w:t>广州市从化区妇女联合会： 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  <w:r>
        <w:rPr>
          <w:rFonts w:ascii="仿宋GB2312" w:eastAsia="仿宋GB2312" w:hAnsi="仿宋GB2312" w:cs="仿宋GB2312"/>
          <w:kern w:val="0"/>
          <w:sz w:val="32"/>
          <w:szCs w:val="32"/>
        </w:rPr>
        <w:t>根据《中华人民共和国预算法》和财政财务管理有关规定，经对你部门（单位）报送的2023年度部门决算进行审核[所报送的决算数据的真实性、准确性、完整性由你部门（单位）负责]，现批复如下：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  <w:r>
        <w:rPr>
          <w:rFonts w:ascii="仿宋GB2312" w:eastAsia="仿宋GB2312" w:hAnsi="仿宋GB2312" w:cs="仿宋GB2312"/>
          <w:b/>
          <w:bCs/>
          <w:kern w:val="0"/>
          <w:sz w:val="32"/>
          <w:szCs w:val="32"/>
        </w:rPr>
        <w:t>一、基本收支情况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  <w:r>
        <w:rPr>
          <w:rFonts w:ascii="仿宋GB2312" w:eastAsia="仿宋GB2312" w:hAnsi="仿宋GB2312" w:cs="仿宋GB2312"/>
          <w:b/>
          <w:bCs/>
          <w:kern w:val="0"/>
          <w:sz w:val="32"/>
          <w:szCs w:val="32"/>
        </w:rPr>
        <w:t>（一）总收支。</w:t>
      </w:r>
      <w:r>
        <w:rPr>
          <w:rFonts w:ascii="仿宋GB2312" w:eastAsia="仿宋GB2312" w:hAnsi="仿宋GB2312" w:cs="仿宋GB2312"/>
          <w:kern w:val="0"/>
          <w:sz w:val="32"/>
          <w:szCs w:val="32"/>
        </w:rPr>
        <w:t>2023年度年初结转和结余0.00万元，本年收入1,720.72万元，本年支出1,720.72万元，使用非财政拨款结余0.00万元，结余分配0.00万元，年末结转和结余0.00万元。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  <w:r>
        <w:rPr>
          <w:rFonts w:ascii="仿宋GB2312" w:eastAsia="仿宋GB2312" w:hAnsi="仿宋GB2312" w:cs="仿宋GB2312"/>
          <w:b/>
          <w:bCs/>
          <w:kern w:val="0"/>
          <w:sz w:val="32"/>
          <w:szCs w:val="32"/>
        </w:rPr>
        <w:t>（二）一般公共预算财政拨款收支。</w:t>
      </w:r>
      <w:r>
        <w:rPr>
          <w:rFonts w:ascii="仿宋GB2312" w:eastAsia="仿宋GB2312" w:hAnsi="仿宋GB2312" w:cs="仿宋GB2312"/>
          <w:kern w:val="0"/>
          <w:sz w:val="32"/>
          <w:szCs w:val="32"/>
        </w:rPr>
        <w:t>2023年度一般公共预算财政拨款年初结转和结余0.00万元，本年收入1,720.72万元，本年支出1,720.72万元，年末结转和结余0.00万元。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  <w:r>
        <w:rPr>
          <w:rFonts w:ascii="仿宋GB2312" w:eastAsia="仿宋GB2312" w:hAnsi="仿宋GB2312" w:cs="仿宋GB2312"/>
          <w:b/>
          <w:bCs/>
          <w:kern w:val="0"/>
          <w:sz w:val="32"/>
          <w:szCs w:val="32"/>
        </w:rPr>
        <w:t>（三）政府性基金预算财政拨款收支。</w:t>
      </w:r>
      <w:r>
        <w:rPr>
          <w:rFonts w:ascii="仿宋GB2312" w:eastAsia="仿宋GB2312" w:hAnsi="仿宋GB2312" w:cs="仿宋GB2312"/>
          <w:kern w:val="0"/>
          <w:sz w:val="32"/>
          <w:szCs w:val="32"/>
        </w:rPr>
        <w:t>2023年度政府性基金预算财政拨款年初结转和结余0.00万元，本年收入0.00万元，本年支出0.00万元，年末结转和结余0.00万元。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  <w:r>
        <w:rPr>
          <w:rFonts w:ascii="仿宋GB2312" w:eastAsia="仿宋GB2312" w:hAnsi="仿宋GB2312" w:cs="仿宋GB2312"/>
          <w:b/>
          <w:bCs/>
          <w:kern w:val="0"/>
          <w:sz w:val="32"/>
          <w:szCs w:val="32"/>
        </w:rPr>
        <w:t>（四）国有资本经营预算财政拨款收支。</w:t>
      </w:r>
      <w:r>
        <w:rPr>
          <w:rFonts w:ascii="仿宋GB2312" w:eastAsia="仿宋GB2312" w:hAnsi="仿宋GB2312" w:cs="仿宋GB2312"/>
          <w:kern w:val="0"/>
          <w:sz w:val="32"/>
          <w:szCs w:val="32"/>
        </w:rPr>
        <w:t>2023年度国有资本经营预算财政拨款年初结转和结余0.00万元，本年收入0.00万元，本年支出0.00万元，年末结转和结余0.00万元。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  <w:r>
        <w:rPr>
          <w:rFonts w:ascii="仿宋GB2312" w:eastAsia="仿宋GB2312" w:hAnsi="仿宋GB2312" w:cs="仿宋GB2312"/>
          <w:b/>
          <w:bCs/>
          <w:kern w:val="0"/>
          <w:sz w:val="32"/>
          <w:szCs w:val="32"/>
        </w:rPr>
        <w:t>二、有关工作要求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  <w:r>
        <w:rPr>
          <w:rFonts w:ascii="仿宋GB2312" w:eastAsia="仿宋GB2312" w:hAnsi="仿宋GB2312" w:cs="仿宋GB2312"/>
          <w:kern w:val="0"/>
          <w:sz w:val="32"/>
          <w:szCs w:val="32"/>
        </w:rPr>
        <w:t>（一）你部门（单位）应当自财政批复决算之日起15日内，依据《关于批准从化区2023年决算的决议》（穗从常[2024]40号）向本级和所属单位批复决算。批复时，不得随意进行单位之间的决算数据调整及预算科目、收支项目间的数据调整。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  <w:r>
        <w:rPr>
          <w:rFonts w:ascii="仿宋GB2312" w:eastAsia="仿宋GB2312" w:hAnsi="仿宋GB2312" w:cs="仿宋GB2312"/>
          <w:kern w:val="0"/>
          <w:sz w:val="32"/>
          <w:szCs w:val="32"/>
        </w:rPr>
        <w:t>（二）请你部门（单位）依法依规履行公开主体责任和义务，做好本部门决算公开工作，按照《中华人民共和国预算法》《中华人民共和国政府信息公开条例》、省财政厅《关于做好2023年度部门决算批复和公开工作的通知》（粤财库〔2024〕8号）等要求，请你部门务必在2024年10月25日（星期五）当天，在区政府门户网站（其中有部门网站的也需在部门网站公开）公开本部门决算信息，对有关事项作出说明，并保持长期公开状态。部门本级和所属单位需同时在主管部门门户网站进行公开。信息公开后，各部门需密切关注社会舆情反应，并及时汇总本部门和所属单位的公开情况报送区财政局。对涉及国家秘密的内容，部门（含本级）及所属单位需根据《中华人民共和国保守国家秘密法》及其实施条例、《广州市财政局关于进一步推进我市财政信息公开工作的通知》等有关规定，报保密行政管理部门确认，在决算公开中予以剥离，并由部门汇总于各公开日前将有关书面文件报送区财政局。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  <w:r>
        <w:rPr>
          <w:rFonts w:ascii="仿宋GB2312" w:eastAsia="仿宋GB2312" w:hAnsi="仿宋GB2312" w:cs="仿宋GB2312"/>
          <w:kern w:val="0"/>
          <w:sz w:val="32"/>
          <w:szCs w:val="32"/>
        </w:rPr>
        <w:t>（三）请按照决算审核意见，进一步加强单位财务管理，改进预算编制，规范预算执行和会计核算，提高预算绩效管理水平。</w:t>
      </w:r>
    </w:p>
    <w:p>
      <w:pPr>
        <w:widowControl/>
        <w:spacing w:before="0" w:after="0"/>
        <w:ind w:firstLine="639"/>
        <w:rPr>
          <w:rFonts w:ascii="仿宋GB2312" w:eastAsia="仿宋GB2312" w:hAnsi="仿宋GB2312" w:cs="仿宋GB2312"/>
          <w:kern w:val="0"/>
          <w:sz w:val="32"/>
          <w:szCs w:val="32"/>
        </w:rPr>
      </w:pPr>
    </w:p>
    <w:p>
      <w:pPr>
        <w:jc w:val="both"/>
      </w:pPr>
      <w:bookmarkEnd w:id="1"/>
    </w:p>
    <w:bookmarkEnd w:id="0"/>
    <w:sectPr>
      <w:footerReference w:type="default" r:id="rId4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宋体" w:eastAsia="宋体" w:hAnsi="宋体" w:cs="宋体"/>
        <w:sz w:val="18"/>
      </w:rPr>
      <w:fldChar w:fldCharType="begin"/>
    </w:r>
    <w:r>
      <w:rPr>
        <w:rFonts w:ascii="宋体" w:eastAsia="宋体" w:hAnsi="宋体" w:cs="宋体"/>
        <w:sz w:val="18"/>
      </w:rPr>
      <w:instrText xml:space="preserve"> PAGE </w:instrText>
    </w:r>
    <w:r>
      <w:rPr>
        <w:rFonts w:ascii="宋体" w:eastAsia="宋体" w:hAnsi="宋体" w:cs="宋体"/>
        <w:sz w:val="18"/>
      </w:rPr>
      <w:fldChar w:fldCharType="separate"/>
    </w:r>
    <w:r>
      <w:rPr>
        <w:rFonts w:ascii="宋体" w:eastAsia="宋体" w:hAnsi="宋体" w:cs="宋体"/>
        <w:sz w:val="18"/>
      </w:rPr>
      <w:t>3</w:t>
    </w:r>
    <w:r>
      <w:rPr>
        <w:rFonts w:ascii="宋体" w:eastAsia="宋体" w:hAnsi="宋体" w:cs="宋体"/>
        <w:sz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52060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rsid w:val="00EF7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5B5" w:themeColor="accent1" w:themeShade="BF"/>
      <w:sz w:val="28"/>
      <w:szCs w:val="28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sjw</dc:creator>
  <cp:lastModifiedBy>sjw</cp:lastModifiedBy>
  <cp:revision>0</cp:revision>
  <dcterms:created xsi:type="dcterms:W3CDTF">2024-07-03T03:09:58Z</dcterms:created>
  <dcterms:modified xsi:type="dcterms:W3CDTF">2024-07-03T03:10:27Z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06D301D58DB04309AB55A1B105977365</vt:lpwstr>
  </property>
  <property fmtid="{D5CDD505-2E9C-101B-9397-08002B2CF9AE}" pid="3" name="KSOProductBuildVer">
    <vt:lpwstr>2052-11.8.2.12055</vt:lpwstr>
  </property>
</Properties>
</file>