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color w:val="auto"/>
          <w:sz w:val="32"/>
          <w:lang w:val="en-US"/>
        </w:rPr>
      </w:pPr>
      <w:r>
        <w:rPr>
          <w:rFonts w:hint="eastAsia" w:ascii="黑体" w:hAnsi="黑体" w:eastAsia="黑体" w:cs="黑体"/>
          <w:color w:val="auto"/>
          <w:sz w:val="32"/>
          <w:szCs w:val="32"/>
          <w:lang w:val="en-US" w:eastAsia="zh-CN"/>
        </w:rPr>
        <w:t>附件4</w:t>
      </w:r>
    </w:p>
    <w:p>
      <w:pPr>
        <w:ind w:firstLine="315" w:firstLineChars="98"/>
        <w:rPr>
          <w:rFonts w:hint="eastAsia"/>
          <w:b/>
          <w:bCs/>
          <w:color w:val="auto"/>
          <w:sz w:val="32"/>
        </w:rPr>
      </w:pPr>
      <w:r>
        <w:rPr>
          <w:rFonts w:hint="eastAsia"/>
          <w:b/>
          <w:bCs/>
          <w:color w:val="auto"/>
          <w:sz w:val="32"/>
        </w:rPr>
        <w:t>申请编号：                       受理编号：</w:t>
      </w:r>
    </w:p>
    <w:p>
      <w:pPr>
        <w:rPr>
          <w:rFonts w:hint="eastAsia"/>
          <w:b/>
          <w:bCs/>
          <w:color w:val="auto"/>
          <w:sz w:val="32"/>
        </w:rPr>
      </w:pPr>
      <w:r>
        <w:rPr>
          <w:rFonts w:hint="eastAsia"/>
          <w:b/>
          <w:bCs/>
          <w:color w:val="auto"/>
          <w:sz w:val="32"/>
        </w:rPr>
        <w:t xml:space="preserve">  申请日期：                       受理日期：</w:t>
      </w:r>
    </w:p>
    <w:p>
      <w:pPr>
        <w:rPr>
          <w:rFonts w:hint="eastAsia"/>
          <w:b/>
          <w:bCs/>
          <w:color w:val="auto"/>
          <w:sz w:val="18"/>
          <w:szCs w:val="18"/>
        </w:rPr>
      </w:pPr>
    </w:p>
    <w:p>
      <w:pPr>
        <w:jc w:val="center"/>
        <w:rPr>
          <w:rFonts w:hint="eastAsia"/>
          <w:b/>
          <w:bCs/>
          <w:color w:val="auto"/>
          <w:sz w:val="18"/>
          <w:szCs w:val="18"/>
        </w:rPr>
      </w:pP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烟 花 爆 竹</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经 营（零售）许 可 证</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申 请 书</w:t>
      </w:r>
    </w:p>
    <w:p>
      <w:pPr>
        <w:jc w:val="center"/>
        <w:rPr>
          <w:rFonts w:hint="eastAsia" w:ascii="方正小标宋简体" w:eastAsia="方正小标宋简体"/>
          <w:b/>
          <w:bCs/>
          <w:color w:val="auto"/>
          <w:sz w:val="18"/>
          <w:szCs w:val="18"/>
        </w:rPr>
      </w:pPr>
    </w:p>
    <w:p>
      <w:pPr>
        <w:jc w:val="center"/>
        <w:rPr>
          <w:rFonts w:hint="eastAsia" w:ascii="宋体" w:hAnsi="宋体"/>
          <w:bCs/>
          <w:color w:val="auto"/>
          <w:sz w:val="44"/>
          <w:szCs w:val="44"/>
        </w:rPr>
      </w:pPr>
      <w:r>
        <w:rPr>
          <w:rFonts w:hint="eastAsia" w:ascii="宋体" w:hAnsi="宋体"/>
          <w:bCs/>
          <w:color w:val="auto"/>
          <w:sz w:val="44"/>
          <w:szCs w:val="44"/>
        </w:rPr>
        <w:t>□申请   □变更</w:t>
      </w:r>
    </w:p>
    <w:p>
      <w:pPr>
        <w:jc w:val="center"/>
        <w:rPr>
          <w:rFonts w:hint="eastAsia" w:ascii="宋体" w:hAnsi="宋体"/>
          <w:bCs/>
          <w:color w:val="auto"/>
          <w:sz w:val="18"/>
          <w:szCs w:val="18"/>
        </w:rPr>
      </w:pPr>
    </w:p>
    <w:p>
      <w:pPr>
        <w:jc w:val="center"/>
        <w:rPr>
          <w:rFonts w:hint="eastAsia" w:ascii="宋体" w:hAnsi="宋体"/>
          <w:bCs/>
          <w:color w:val="auto"/>
          <w:sz w:val="18"/>
          <w:szCs w:val="18"/>
        </w:rPr>
      </w:pPr>
    </w:p>
    <w:p>
      <w:pPr>
        <w:jc w:val="center"/>
        <w:rPr>
          <w:rFonts w:hint="eastAsia" w:ascii="宋体" w:hAnsi="宋体"/>
          <w:bCs/>
          <w:color w:val="auto"/>
          <w:sz w:val="18"/>
          <w:szCs w:val="18"/>
        </w:rPr>
      </w:pPr>
    </w:p>
    <w:p>
      <w:pPr>
        <w:ind w:firstLine="885" w:firstLineChars="245"/>
        <w:rPr>
          <w:rFonts w:hint="eastAsia"/>
          <w:b/>
          <w:bCs/>
          <w:color w:val="auto"/>
          <w:sz w:val="36"/>
          <w:szCs w:val="36"/>
        </w:rPr>
      </w:pPr>
      <w:r>
        <w:rPr>
          <w:rFonts w:hint="eastAsia" w:ascii="宋体" w:hAnsi="宋体"/>
          <w:b/>
          <w:bCs/>
          <w:color w:val="auto"/>
          <w:sz w:val="36"/>
          <w:szCs w:val="36"/>
        </w:rPr>
        <w:t xml:space="preserve">单位名称 </w:t>
      </w:r>
      <w:r>
        <w:rPr>
          <w:rFonts w:hint="eastAsia" w:ascii="宋体" w:hAnsi="宋体"/>
          <w:b/>
          <w:bCs/>
          <w:color w:val="auto"/>
          <w:sz w:val="36"/>
          <w:szCs w:val="36"/>
          <w:u w:val="single"/>
        </w:rPr>
        <w:t xml:space="preserve">                          </w:t>
      </w:r>
      <w:r>
        <w:rPr>
          <w:rFonts w:hint="eastAsia" w:ascii="宋体" w:hAnsi="宋体"/>
          <w:b/>
          <w:bCs/>
          <w:color w:val="auto"/>
          <w:sz w:val="2"/>
          <w:szCs w:val="2"/>
          <w:u w:val="single"/>
          <w:lang w:eastAsia="zh-CN"/>
        </w:rPr>
        <w:t>。</w:t>
      </w:r>
      <w:r>
        <w:rPr>
          <w:rFonts w:hint="eastAsia" w:ascii="宋体" w:hAnsi="宋体"/>
          <w:b/>
          <w:bCs/>
          <w:color w:val="auto"/>
          <w:sz w:val="36"/>
          <w:szCs w:val="36"/>
          <w:u w:val="single"/>
        </w:rPr>
        <w:t xml:space="preserve">    </w:t>
      </w:r>
      <w:r>
        <w:rPr>
          <w:rFonts w:hint="eastAsia"/>
          <w:b/>
          <w:bCs/>
          <w:color w:val="auto"/>
          <w:sz w:val="36"/>
          <w:szCs w:val="36"/>
        </w:rPr>
        <w:t xml:space="preserve">   </w:t>
      </w:r>
    </w:p>
    <w:p>
      <w:pPr>
        <w:rPr>
          <w:rFonts w:hint="eastAsia"/>
          <w:b/>
          <w:bCs/>
          <w:color w:val="auto"/>
          <w:sz w:val="36"/>
          <w:szCs w:val="36"/>
        </w:rPr>
      </w:pPr>
    </w:p>
    <w:p>
      <w:pPr>
        <w:ind w:firstLine="885" w:firstLineChars="245"/>
        <w:rPr>
          <w:rFonts w:hint="eastAsia" w:ascii="宋体" w:hAnsi="宋体"/>
          <w:b/>
          <w:bCs/>
          <w:color w:val="auto"/>
          <w:sz w:val="36"/>
          <w:szCs w:val="36"/>
          <w:u w:val="single"/>
        </w:rPr>
      </w:pPr>
      <w:r>
        <w:rPr>
          <w:rFonts w:hint="eastAsia" w:ascii="宋体" w:hAnsi="宋体"/>
          <w:b/>
          <w:bCs/>
          <w:color w:val="auto"/>
          <w:sz w:val="36"/>
          <w:szCs w:val="36"/>
        </w:rPr>
        <w:t xml:space="preserve">经 办 人 </w:t>
      </w:r>
      <w:r>
        <w:rPr>
          <w:rFonts w:hint="eastAsia" w:ascii="宋体" w:hAnsi="宋体"/>
          <w:b/>
          <w:bCs/>
          <w:color w:val="auto"/>
          <w:sz w:val="36"/>
          <w:szCs w:val="36"/>
          <w:u w:val="single"/>
        </w:rPr>
        <w:t xml:space="preserve">                          </w:t>
      </w:r>
      <w:r>
        <w:rPr>
          <w:rFonts w:hint="eastAsia" w:ascii="宋体" w:hAnsi="宋体"/>
          <w:b/>
          <w:bCs/>
          <w:color w:val="auto"/>
          <w:sz w:val="2"/>
          <w:szCs w:val="2"/>
          <w:u w:val="single"/>
          <w:lang w:eastAsia="zh-CN"/>
        </w:rPr>
        <w:t>。</w:t>
      </w:r>
      <w:r>
        <w:rPr>
          <w:rFonts w:hint="eastAsia" w:ascii="宋体" w:hAnsi="宋体"/>
          <w:b/>
          <w:bCs/>
          <w:color w:val="auto"/>
          <w:sz w:val="36"/>
          <w:szCs w:val="36"/>
          <w:u w:val="single"/>
        </w:rPr>
        <w:t xml:space="preserve">    </w:t>
      </w:r>
    </w:p>
    <w:p>
      <w:pPr>
        <w:rPr>
          <w:rFonts w:hint="eastAsia" w:ascii="宋体" w:hAnsi="宋体"/>
          <w:b/>
          <w:bCs/>
          <w:color w:val="auto"/>
          <w:sz w:val="36"/>
          <w:szCs w:val="36"/>
        </w:rPr>
      </w:pPr>
    </w:p>
    <w:p>
      <w:pPr>
        <w:ind w:firstLine="885" w:firstLineChars="245"/>
        <w:rPr>
          <w:rFonts w:hint="eastAsia" w:ascii="宋体" w:hAnsi="宋体"/>
          <w:b/>
          <w:bCs/>
          <w:color w:val="auto"/>
          <w:sz w:val="36"/>
          <w:szCs w:val="36"/>
          <w:u w:val="single"/>
        </w:rPr>
      </w:pPr>
      <w:r>
        <w:rPr>
          <w:rFonts w:hint="eastAsia" w:ascii="宋体" w:hAnsi="宋体"/>
          <w:b/>
          <w:bCs/>
          <w:color w:val="auto"/>
          <w:sz w:val="36"/>
          <w:szCs w:val="36"/>
        </w:rPr>
        <w:t xml:space="preserve">联系电话 </w:t>
      </w:r>
      <w:r>
        <w:rPr>
          <w:rFonts w:hint="eastAsia" w:ascii="宋体" w:hAnsi="宋体"/>
          <w:b/>
          <w:bCs/>
          <w:color w:val="auto"/>
          <w:sz w:val="36"/>
          <w:szCs w:val="36"/>
          <w:u w:val="single"/>
        </w:rPr>
        <w:t xml:space="preserve">                          </w:t>
      </w:r>
      <w:r>
        <w:rPr>
          <w:rFonts w:hint="eastAsia" w:ascii="宋体" w:hAnsi="宋体"/>
          <w:b/>
          <w:bCs/>
          <w:color w:val="auto"/>
          <w:sz w:val="2"/>
          <w:szCs w:val="2"/>
          <w:u w:val="single"/>
          <w:lang w:eastAsia="zh-CN"/>
        </w:rPr>
        <w:t>。</w:t>
      </w:r>
      <w:r>
        <w:rPr>
          <w:rFonts w:hint="eastAsia" w:ascii="宋体" w:hAnsi="宋体"/>
          <w:b/>
          <w:bCs/>
          <w:color w:val="auto"/>
          <w:sz w:val="36"/>
          <w:szCs w:val="36"/>
          <w:u w:val="single"/>
        </w:rPr>
        <w:t xml:space="preserve">    </w:t>
      </w:r>
    </w:p>
    <w:p>
      <w:pPr>
        <w:rPr>
          <w:rFonts w:hint="eastAsia"/>
          <w:b/>
          <w:bCs/>
          <w:color w:val="auto"/>
          <w:sz w:val="32"/>
        </w:rPr>
      </w:pPr>
    </w:p>
    <w:p>
      <w:pPr>
        <w:rPr>
          <w:rFonts w:hint="eastAsia"/>
          <w:b/>
          <w:bCs/>
          <w:color w:val="auto"/>
          <w:sz w:val="32"/>
          <w:u w:val="single"/>
        </w:rPr>
      </w:pPr>
      <w:r>
        <w:rPr>
          <w:rFonts w:hint="eastAsia"/>
          <w:b/>
          <w:bCs/>
          <w:color w:val="auto"/>
          <w:sz w:val="32"/>
        </w:rPr>
        <w:t xml:space="preserve">     </w:t>
      </w:r>
      <w:r>
        <w:rPr>
          <w:rFonts w:hint="eastAsia" w:ascii="宋体" w:hAnsi="宋体"/>
          <w:b/>
          <w:bCs/>
          <w:color w:val="auto"/>
          <w:sz w:val="36"/>
          <w:szCs w:val="36"/>
        </w:rPr>
        <w:t xml:space="preserve">填写日期 </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r>
        <w:rPr>
          <w:rFonts w:hint="eastAsia" w:ascii="宋体" w:hAnsi="宋体"/>
          <w:b/>
          <w:bCs/>
          <w:color w:val="auto"/>
          <w:sz w:val="2"/>
          <w:szCs w:val="2"/>
          <w:u w:val="single"/>
          <w:lang w:eastAsia="zh-CN"/>
        </w:rPr>
        <w:t>。</w:t>
      </w:r>
      <w:r>
        <w:rPr>
          <w:rFonts w:hint="eastAsia" w:ascii="宋体" w:hAnsi="宋体"/>
          <w:b/>
          <w:bCs/>
          <w:color w:val="auto"/>
          <w:sz w:val="36"/>
          <w:szCs w:val="36"/>
          <w:u w:val="single"/>
        </w:rPr>
        <w:t xml:space="preserve">     </w:t>
      </w:r>
    </w:p>
    <w:p>
      <w:pPr>
        <w:rPr>
          <w:rFonts w:hint="eastAsia"/>
          <w:b/>
          <w:bCs/>
          <w:color w:val="auto"/>
          <w:sz w:val="32"/>
        </w:rPr>
      </w:pPr>
    </w:p>
    <w:p>
      <w:pPr>
        <w:jc w:val="center"/>
        <w:rPr>
          <w:rFonts w:hint="eastAsia"/>
          <w:b/>
          <w:bCs/>
          <w:color w:val="auto"/>
          <w:sz w:val="36"/>
          <w:szCs w:val="36"/>
        </w:rPr>
      </w:pPr>
    </w:p>
    <w:p>
      <w:pPr>
        <w:jc w:val="center"/>
        <w:rPr>
          <w:rFonts w:hint="eastAsia"/>
          <w:b/>
          <w:bCs/>
          <w:color w:val="auto"/>
          <w:sz w:val="36"/>
          <w:szCs w:val="36"/>
        </w:rPr>
      </w:pPr>
      <w:r>
        <w:rPr>
          <w:rFonts w:hint="eastAsia"/>
          <w:b/>
          <w:bCs/>
          <w:color w:val="auto"/>
          <w:sz w:val="36"/>
          <w:szCs w:val="36"/>
          <w:lang w:eastAsia="zh-CN"/>
        </w:rPr>
        <w:t>广州市</w:t>
      </w:r>
      <w:r>
        <w:rPr>
          <w:rFonts w:hint="eastAsia"/>
          <w:b/>
          <w:bCs/>
          <w:color w:val="auto"/>
          <w:sz w:val="36"/>
          <w:szCs w:val="36"/>
        </w:rPr>
        <w:t>从化</w:t>
      </w:r>
      <w:r>
        <w:rPr>
          <w:rFonts w:hint="eastAsia"/>
          <w:b/>
          <w:bCs/>
          <w:color w:val="auto"/>
          <w:sz w:val="36"/>
          <w:szCs w:val="36"/>
          <w:lang w:eastAsia="zh-CN"/>
        </w:rPr>
        <w:t>区应急</w:t>
      </w:r>
      <w:r>
        <w:rPr>
          <w:rFonts w:hint="eastAsia"/>
          <w:b/>
          <w:bCs/>
          <w:color w:val="auto"/>
          <w:sz w:val="36"/>
          <w:szCs w:val="36"/>
        </w:rPr>
        <w:t>管理局制</w:t>
      </w:r>
    </w:p>
    <w:p>
      <w:pPr>
        <w:jc w:val="center"/>
        <w:rPr>
          <w:rFonts w:ascii="宋体" w:hAnsi="宋体"/>
          <w:b/>
          <w:bCs/>
          <w:color w:val="auto"/>
          <w:sz w:val="36"/>
        </w:rPr>
      </w:pPr>
    </w:p>
    <w:p>
      <w:pPr>
        <w:adjustRightInd w:val="0"/>
        <w:snapToGrid w:val="0"/>
        <w:spacing w:line="560" w:lineRule="exact"/>
        <w:jc w:val="center"/>
        <w:rPr>
          <w:b/>
          <w:bCs/>
          <w:color w:val="auto"/>
          <w:sz w:val="32"/>
        </w:rPr>
      </w:pPr>
      <w:r>
        <w:rPr>
          <w:rFonts w:hint="eastAsia"/>
          <w:b/>
          <w:bCs/>
          <w:color w:val="auto"/>
          <w:sz w:val="32"/>
        </w:rPr>
        <w:t>填</w:t>
      </w:r>
      <w:r>
        <w:rPr>
          <w:b/>
          <w:bCs/>
          <w:color w:val="auto"/>
          <w:sz w:val="32"/>
        </w:rPr>
        <w:t xml:space="preserve">  </w:t>
      </w:r>
      <w:r>
        <w:rPr>
          <w:rFonts w:hint="eastAsia"/>
          <w:b/>
          <w:bCs/>
          <w:color w:val="auto"/>
          <w:sz w:val="32"/>
        </w:rPr>
        <w:t>写</w:t>
      </w:r>
      <w:r>
        <w:rPr>
          <w:b/>
          <w:bCs/>
          <w:color w:val="auto"/>
          <w:sz w:val="32"/>
        </w:rPr>
        <w:t xml:space="preserve">  </w:t>
      </w:r>
      <w:r>
        <w:rPr>
          <w:rFonts w:hint="eastAsia"/>
          <w:b/>
          <w:bCs/>
          <w:color w:val="auto"/>
          <w:sz w:val="32"/>
        </w:rPr>
        <w:t>说</w:t>
      </w:r>
      <w:r>
        <w:rPr>
          <w:b/>
          <w:bCs/>
          <w:color w:val="auto"/>
          <w:sz w:val="32"/>
        </w:rPr>
        <w:t xml:space="preserve">  </w:t>
      </w:r>
      <w:r>
        <w:rPr>
          <w:rFonts w:hint="eastAsia"/>
          <w:b/>
          <w:bCs/>
          <w:color w:val="auto"/>
          <w:sz w:val="32"/>
        </w:rPr>
        <w:t>明</w:t>
      </w:r>
    </w:p>
    <w:p>
      <w:pPr>
        <w:adjustRightInd w:val="0"/>
        <w:snapToGrid w:val="0"/>
        <w:spacing w:line="560" w:lineRule="exact"/>
        <w:jc w:val="center"/>
        <w:rPr>
          <w:rFonts w:eastAsia="仿宋_GB2312"/>
          <w:color w:val="auto"/>
        </w:rPr>
      </w:pPr>
    </w:p>
    <w:p>
      <w:pPr>
        <w:adjustRightInd w:val="0"/>
        <w:snapToGrid w:val="0"/>
        <w:spacing w:line="560" w:lineRule="exact"/>
        <w:ind w:firstLine="560" w:firstLineChars="200"/>
        <w:rPr>
          <w:rFonts w:eastAsia="仿宋_GB2312"/>
          <w:color w:val="auto"/>
          <w:sz w:val="28"/>
          <w:szCs w:val="28"/>
        </w:rPr>
      </w:pPr>
      <w:r>
        <w:rPr>
          <w:rFonts w:eastAsia="仿宋_GB2312"/>
          <w:color w:val="auto"/>
          <w:sz w:val="28"/>
          <w:szCs w:val="28"/>
        </w:rPr>
        <w:t>1.</w:t>
      </w:r>
      <w:r>
        <w:rPr>
          <w:rFonts w:hint="eastAsia" w:eastAsia="仿宋_GB2312"/>
          <w:color w:val="auto"/>
          <w:sz w:val="28"/>
          <w:szCs w:val="28"/>
        </w:rPr>
        <w:t>烟花爆竹</w:t>
      </w:r>
      <w:r>
        <w:rPr>
          <w:rFonts w:hint="eastAsia" w:eastAsia="仿宋_GB2312"/>
          <w:color w:val="auto"/>
          <w:sz w:val="28"/>
          <w:szCs w:val="28"/>
          <w:lang w:eastAsia="zh-CN"/>
        </w:rPr>
        <w:t>经营（零售）</w:t>
      </w:r>
      <w:r>
        <w:rPr>
          <w:rFonts w:hint="eastAsia" w:eastAsia="仿宋_GB2312"/>
          <w:color w:val="auto"/>
          <w:sz w:val="28"/>
          <w:szCs w:val="28"/>
        </w:rPr>
        <w:t>许可证申请和变更</w:t>
      </w:r>
      <w:r>
        <w:rPr>
          <w:rFonts w:hint="eastAsia" w:eastAsia="仿宋_GB2312"/>
          <w:color w:val="auto"/>
          <w:sz w:val="28"/>
          <w:szCs w:val="28"/>
          <w:lang w:eastAsia="zh-CN"/>
        </w:rPr>
        <w:t>均使用本申请表</w:t>
      </w:r>
      <w:r>
        <w:rPr>
          <w:rFonts w:hint="eastAsia" w:eastAsia="仿宋_GB2312"/>
          <w:color w:val="auto"/>
          <w:sz w:val="28"/>
          <w:szCs w:val="28"/>
        </w:rPr>
        <w:t>。</w:t>
      </w:r>
    </w:p>
    <w:p>
      <w:pPr>
        <w:adjustRightInd w:val="0"/>
        <w:snapToGrid w:val="0"/>
        <w:spacing w:line="560" w:lineRule="exact"/>
        <w:ind w:firstLine="560" w:firstLineChars="200"/>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本申请书一式二份，用</w:t>
      </w:r>
      <w:r>
        <w:rPr>
          <w:rFonts w:hint="eastAsia" w:eastAsia="仿宋_GB2312"/>
          <w:color w:val="auto"/>
          <w:sz w:val="28"/>
          <w:szCs w:val="28"/>
          <w:lang w:eastAsia="zh-CN"/>
        </w:rPr>
        <w:t>黑色</w:t>
      </w:r>
      <w:r>
        <w:rPr>
          <w:rFonts w:hint="eastAsia" w:eastAsia="仿宋_GB2312"/>
          <w:color w:val="auto"/>
          <w:sz w:val="28"/>
          <w:szCs w:val="28"/>
        </w:rPr>
        <w:t>钢笔、签字笔填写或者用打印机打印，字迹要清晰、工整</w:t>
      </w:r>
      <w:r>
        <w:rPr>
          <w:rFonts w:hint="eastAsia" w:eastAsia="仿宋_GB2312"/>
          <w:color w:val="auto"/>
          <w:sz w:val="28"/>
          <w:szCs w:val="28"/>
          <w:lang w:eastAsia="zh-CN"/>
        </w:rPr>
        <w:t>；不得有涂改</w:t>
      </w:r>
      <w:r>
        <w:rPr>
          <w:rFonts w:hint="eastAsia" w:eastAsia="仿宋_GB2312"/>
          <w:color w:val="auto"/>
          <w:sz w:val="28"/>
          <w:szCs w:val="28"/>
        </w:rPr>
        <w:t>。</w:t>
      </w:r>
    </w:p>
    <w:p>
      <w:pPr>
        <w:adjustRightInd w:val="0"/>
        <w:snapToGrid w:val="0"/>
        <w:spacing w:line="560" w:lineRule="exact"/>
        <w:ind w:firstLine="560" w:firstLineChars="200"/>
        <w:rPr>
          <w:rFonts w:hint="eastAsia" w:eastAsia="仿宋_GB2312"/>
          <w:color w:val="auto"/>
          <w:sz w:val="28"/>
          <w:szCs w:val="28"/>
        </w:rPr>
      </w:pPr>
      <w:r>
        <w:rPr>
          <w:rFonts w:eastAsia="仿宋_GB2312"/>
          <w:color w:val="auto"/>
          <w:sz w:val="28"/>
          <w:szCs w:val="28"/>
        </w:rPr>
        <w:t>3.</w:t>
      </w:r>
      <w:r>
        <w:rPr>
          <w:rFonts w:hint="eastAsia" w:eastAsia="仿宋_GB2312"/>
          <w:color w:val="auto"/>
          <w:sz w:val="28"/>
          <w:szCs w:val="28"/>
        </w:rPr>
        <w:t>申请书封面的</w:t>
      </w:r>
      <w:r>
        <w:rPr>
          <w:rFonts w:eastAsia="仿宋_GB2312"/>
          <w:color w:val="auto"/>
          <w:sz w:val="28"/>
          <w:szCs w:val="28"/>
        </w:rPr>
        <w:t>“</w:t>
      </w:r>
      <w:r>
        <w:rPr>
          <w:rFonts w:hint="eastAsia" w:eastAsia="仿宋_GB2312"/>
          <w:color w:val="auto"/>
          <w:sz w:val="28"/>
          <w:szCs w:val="28"/>
        </w:rPr>
        <w:t>申请编号</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申请日期</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受理编号</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受理日期</w:t>
      </w:r>
      <w:r>
        <w:rPr>
          <w:rFonts w:eastAsia="仿宋_GB2312"/>
          <w:color w:val="auto"/>
          <w:sz w:val="28"/>
          <w:szCs w:val="28"/>
        </w:rPr>
        <w:t>”</w:t>
      </w:r>
      <w:r>
        <w:rPr>
          <w:rFonts w:hint="eastAsia" w:eastAsia="仿宋_GB2312"/>
          <w:color w:val="auto"/>
          <w:sz w:val="28"/>
          <w:szCs w:val="28"/>
        </w:rPr>
        <w:t>由许可证颁发管理机关填写</w:t>
      </w:r>
      <w:r>
        <w:rPr>
          <w:rFonts w:hint="eastAsia" w:eastAsia="仿宋_GB2312"/>
          <w:color w:val="auto"/>
          <w:sz w:val="28"/>
          <w:szCs w:val="28"/>
          <w:lang w:eastAsia="zh-CN"/>
        </w:rPr>
        <w:t>；其余内容由申请人填写。</w:t>
      </w:r>
    </w:p>
    <w:p>
      <w:pPr>
        <w:adjustRightInd w:val="0"/>
        <w:snapToGrid w:val="0"/>
        <w:spacing w:line="560" w:lineRule="exact"/>
        <w:ind w:firstLine="560" w:firstLineChars="200"/>
        <w:rPr>
          <w:rFonts w:eastAsia="仿宋_GB2312"/>
          <w:color w:val="auto"/>
          <w:sz w:val="28"/>
          <w:szCs w:val="28"/>
        </w:rPr>
      </w:pPr>
      <w:r>
        <w:rPr>
          <w:rFonts w:eastAsia="仿宋_GB2312"/>
          <w:color w:val="auto"/>
          <w:sz w:val="28"/>
          <w:szCs w:val="28"/>
        </w:rPr>
        <w:t>4.</w:t>
      </w:r>
      <w:r>
        <w:rPr>
          <w:rFonts w:hint="eastAsia" w:eastAsia="仿宋_GB2312"/>
          <w:color w:val="auto"/>
          <w:sz w:val="28"/>
          <w:szCs w:val="28"/>
        </w:rPr>
        <w:t>申请书中</w:t>
      </w:r>
      <w:r>
        <w:rPr>
          <w:rFonts w:eastAsia="仿宋_GB2312"/>
          <w:color w:val="auto"/>
          <w:sz w:val="28"/>
          <w:szCs w:val="28"/>
        </w:rPr>
        <w:t>“</w:t>
      </w:r>
      <w:r>
        <w:rPr>
          <w:rFonts w:hint="eastAsia" w:eastAsia="仿宋_GB2312"/>
          <w:color w:val="auto"/>
          <w:sz w:val="28"/>
          <w:szCs w:val="28"/>
        </w:rPr>
        <w:t>单位名称</w:t>
      </w:r>
      <w:r>
        <w:rPr>
          <w:rFonts w:eastAsia="仿宋_GB2312"/>
          <w:color w:val="auto"/>
          <w:sz w:val="28"/>
          <w:szCs w:val="28"/>
        </w:rPr>
        <w:t>”</w:t>
      </w:r>
      <w:r>
        <w:rPr>
          <w:rFonts w:hint="eastAsia" w:eastAsia="仿宋_GB2312"/>
          <w:color w:val="auto"/>
          <w:sz w:val="28"/>
          <w:szCs w:val="28"/>
        </w:rPr>
        <w:t>指申请烟花爆竹</w:t>
      </w:r>
      <w:r>
        <w:rPr>
          <w:rFonts w:hint="eastAsia" w:eastAsia="仿宋_GB2312"/>
          <w:color w:val="auto"/>
          <w:sz w:val="28"/>
          <w:szCs w:val="28"/>
          <w:lang w:eastAsia="zh-CN"/>
        </w:rPr>
        <w:t>经营（零售）</w:t>
      </w:r>
      <w:r>
        <w:rPr>
          <w:rFonts w:hint="eastAsia" w:eastAsia="仿宋_GB2312"/>
          <w:color w:val="auto"/>
          <w:sz w:val="28"/>
          <w:szCs w:val="28"/>
        </w:rPr>
        <w:t>许可证的单位在工商行政管理部门登记注册的单位名称；</w:t>
      </w:r>
      <w:r>
        <w:rPr>
          <w:rFonts w:eastAsia="仿宋_GB2312"/>
          <w:color w:val="auto"/>
          <w:sz w:val="28"/>
          <w:szCs w:val="28"/>
        </w:rPr>
        <w:t>“</w:t>
      </w:r>
      <w:r>
        <w:rPr>
          <w:rFonts w:hint="eastAsia" w:eastAsia="仿宋_GB2312"/>
          <w:color w:val="auto"/>
          <w:sz w:val="28"/>
          <w:szCs w:val="28"/>
        </w:rPr>
        <w:t>经办人</w:t>
      </w:r>
      <w:r>
        <w:rPr>
          <w:rFonts w:eastAsia="仿宋_GB2312"/>
          <w:color w:val="auto"/>
          <w:sz w:val="28"/>
          <w:szCs w:val="28"/>
        </w:rPr>
        <w:t>”</w:t>
      </w:r>
      <w:r>
        <w:rPr>
          <w:rFonts w:hint="eastAsia" w:eastAsia="仿宋_GB2312"/>
          <w:color w:val="auto"/>
          <w:sz w:val="28"/>
          <w:szCs w:val="28"/>
        </w:rPr>
        <w:t>是指申请单位指定的办理申请事宜的人员；</w:t>
      </w:r>
      <w:r>
        <w:rPr>
          <w:rFonts w:eastAsia="仿宋_GB2312"/>
          <w:color w:val="auto"/>
          <w:sz w:val="28"/>
          <w:szCs w:val="28"/>
        </w:rPr>
        <w:t>“</w:t>
      </w:r>
      <w:r>
        <w:rPr>
          <w:rFonts w:hint="eastAsia" w:eastAsia="仿宋_GB2312"/>
          <w:color w:val="auto"/>
          <w:sz w:val="28"/>
          <w:szCs w:val="28"/>
        </w:rPr>
        <w:t>联系电话</w:t>
      </w:r>
      <w:r>
        <w:rPr>
          <w:rFonts w:eastAsia="仿宋_GB2312"/>
          <w:color w:val="auto"/>
          <w:sz w:val="28"/>
          <w:szCs w:val="28"/>
        </w:rPr>
        <w:t>”</w:t>
      </w:r>
      <w:r>
        <w:rPr>
          <w:rFonts w:hint="eastAsia" w:eastAsia="仿宋_GB2312"/>
          <w:color w:val="auto"/>
          <w:sz w:val="28"/>
          <w:szCs w:val="28"/>
        </w:rPr>
        <w:t>是指经办人的电话。</w:t>
      </w:r>
    </w:p>
    <w:p>
      <w:pPr>
        <w:adjustRightInd w:val="0"/>
        <w:snapToGrid w:val="0"/>
        <w:spacing w:line="560" w:lineRule="exact"/>
        <w:ind w:firstLine="560" w:firstLineChars="200"/>
        <w:rPr>
          <w:rFonts w:eastAsia="仿宋_GB2312"/>
          <w:color w:val="auto"/>
          <w:sz w:val="28"/>
          <w:szCs w:val="28"/>
        </w:rPr>
      </w:pPr>
      <w:r>
        <w:rPr>
          <w:rFonts w:eastAsia="仿宋_GB2312"/>
          <w:color w:val="auto"/>
          <w:sz w:val="28"/>
          <w:szCs w:val="28"/>
        </w:rPr>
        <w:t>5.</w:t>
      </w:r>
      <w:r>
        <w:rPr>
          <w:rFonts w:hint="eastAsia" w:eastAsia="仿宋_GB2312"/>
          <w:color w:val="auto"/>
          <w:sz w:val="28"/>
          <w:szCs w:val="28"/>
        </w:rPr>
        <w:t>申请书封面</w:t>
      </w:r>
      <w:r>
        <w:rPr>
          <w:rFonts w:eastAsia="仿宋_GB2312"/>
          <w:color w:val="auto"/>
          <w:sz w:val="28"/>
          <w:szCs w:val="28"/>
        </w:rPr>
        <w:t>“</w:t>
      </w:r>
      <w:r>
        <w:rPr>
          <w:rFonts w:hint="eastAsia" w:eastAsia="仿宋_GB2312"/>
          <w:color w:val="auto"/>
          <w:sz w:val="28"/>
          <w:szCs w:val="28"/>
        </w:rPr>
        <w:t>单位名称</w:t>
      </w:r>
      <w:r>
        <w:rPr>
          <w:rFonts w:eastAsia="仿宋_GB2312"/>
          <w:color w:val="auto"/>
          <w:sz w:val="28"/>
          <w:szCs w:val="28"/>
        </w:rPr>
        <w:t>”</w:t>
      </w:r>
      <w:r>
        <w:rPr>
          <w:rFonts w:hint="eastAsia" w:eastAsia="仿宋_GB2312"/>
          <w:color w:val="auto"/>
          <w:sz w:val="28"/>
          <w:szCs w:val="28"/>
        </w:rPr>
        <w:t>处应盖申请单位公章。</w:t>
      </w:r>
    </w:p>
    <w:p>
      <w:pPr>
        <w:adjustRightInd w:val="0"/>
        <w:snapToGrid w:val="0"/>
        <w:spacing w:line="560" w:lineRule="exact"/>
        <w:ind w:firstLine="560" w:firstLineChars="200"/>
        <w:rPr>
          <w:rFonts w:eastAsia="仿宋_GB2312"/>
          <w:color w:val="auto"/>
          <w:sz w:val="28"/>
          <w:szCs w:val="28"/>
        </w:rPr>
      </w:pPr>
      <w:r>
        <w:rPr>
          <w:rFonts w:eastAsia="仿宋_GB2312"/>
          <w:color w:val="auto"/>
          <w:sz w:val="28"/>
          <w:szCs w:val="28"/>
        </w:rPr>
        <w:t>6.</w:t>
      </w:r>
      <w:r>
        <w:rPr>
          <w:rFonts w:hint="eastAsia" w:eastAsia="仿宋_GB2312"/>
          <w:color w:val="auto"/>
          <w:sz w:val="28"/>
          <w:szCs w:val="28"/>
        </w:rPr>
        <w:t>申请书表格中申请书与营业执照所载的事项相同的，按营业执照登记的内容填写。</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登记机关</w:t>
      </w:r>
      <w:r>
        <w:rPr>
          <w:rFonts w:eastAsia="仿宋_GB2312"/>
          <w:color w:val="auto"/>
          <w:sz w:val="28"/>
          <w:szCs w:val="28"/>
          <w:highlight w:val="none"/>
        </w:rPr>
        <w:t>”</w:t>
      </w:r>
      <w:r>
        <w:rPr>
          <w:rFonts w:hint="eastAsia" w:eastAsia="仿宋_GB2312"/>
          <w:color w:val="auto"/>
          <w:sz w:val="28"/>
          <w:szCs w:val="28"/>
          <w:highlight w:val="none"/>
        </w:rPr>
        <w:t>是指颁发营业执照的工商行政管理部门的全称。</w:t>
      </w:r>
    </w:p>
    <w:p>
      <w:pPr>
        <w:autoSpaceDE w:val="0"/>
        <w:autoSpaceDN w:val="0"/>
        <w:adjustRightInd w:val="0"/>
        <w:spacing w:line="500" w:lineRule="exact"/>
        <w:ind w:firstLine="560" w:firstLineChars="200"/>
        <w:jc w:val="left"/>
        <w:rPr>
          <w:rFonts w:hint="eastAsia" w:ascii="仿宋_GB2312" w:hAnsi="宋体" w:eastAsia="仿宋_GB2312"/>
          <w:color w:val="auto"/>
          <w:kern w:val="0"/>
          <w:sz w:val="28"/>
          <w:szCs w:val="28"/>
          <w:highlight w:val="none"/>
        </w:rPr>
      </w:pPr>
      <w:r>
        <w:rPr>
          <w:rFonts w:hint="eastAsia" w:ascii="仿宋_GB2312" w:hAnsi="宋体" w:eastAsia="仿宋_GB2312"/>
          <w:color w:val="000000"/>
          <w:kern w:val="0"/>
          <w:sz w:val="28"/>
          <w:szCs w:val="28"/>
          <w:highlight w:val="none"/>
        </w:rPr>
        <w:t>本表中的“</w:t>
      </w:r>
      <w:r>
        <w:rPr>
          <w:rFonts w:hint="eastAsia" w:ascii="仿宋_GB2312" w:hAnsi="宋体" w:eastAsia="仿宋_GB2312"/>
          <w:color w:val="000000"/>
          <w:kern w:val="0"/>
          <w:sz w:val="28"/>
          <w:szCs w:val="28"/>
          <w:highlight w:val="none"/>
          <w:lang w:eastAsia="zh-CN"/>
        </w:rPr>
        <w:t>经济</w:t>
      </w:r>
      <w:r>
        <w:rPr>
          <w:rFonts w:hint="eastAsia" w:ascii="仿宋_GB2312" w:hAnsi="宋体" w:eastAsia="仿宋_GB2312"/>
          <w:color w:val="000000"/>
          <w:kern w:val="0"/>
          <w:sz w:val="28"/>
          <w:szCs w:val="28"/>
          <w:highlight w:val="none"/>
        </w:rPr>
        <w:t>类型”，按照国家统计局</w:t>
      </w:r>
      <w:r>
        <w:rPr>
          <w:rFonts w:hint="eastAsia" w:ascii="仿宋_GB2312" w:hAnsi="宋体" w:eastAsia="仿宋_GB2312"/>
          <w:color w:val="000000"/>
          <w:kern w:val="0"/>
          <w:sz w:val="28"/>
          <w:szCs w:val="28"/>
          <w:highlight w:val="none"/>
          <w:lang w:eastAsia="zh-CN"/>
        </w:rPr>
        <w:t>、</w:t>
      </w:r>
      <w:r>
        <w:rPr>
          <w:rFonts w:hint="eastAsia" w:ascii="仿宋_GB2312" w:hAnsi="宋体" w:eastAsia="仿宋_GB2312"/>
          <w:color w:val="000000"/>
          <w:kern w:val="0"/>
          <w:sz w:val="28"/>
          <w:szCs w:val="28"/>
          <w:highlight w:val="none"/>
        </w:rPr>
        <w:t>国家市场监督管理总局</w:t>
      </w:r>
      <w:bookmarkStart w:id="0" w:name="_GoBack"/>
      <w:bookmarkEnd w:id="0"/>
      <w:r>
        <w:rPr>
          <w:rFonts w:hint="eastAsia" w:ascii="仿宋_GB2312" w:hAnsi="宋体" w:eastAsia="仿宋_GB2312"/>
          <w:color w:val="000000"/>
          <w:kern w:val="0"/>
          <w:sz w:val="28"/>
          <w:szCs w:val="28"/>
          <w:highlight w:val="none"/>
          <w:lang w:eastAsia="zh-CN"/>
        </w:rPr>
        <w:t>《</w:t>
      </w:r>
      <w:r>
        <w:rPr>
          <w:rFonts w:hint="eastAsia" w:ascii="仿宋_GB2312" w:hAnsi="宋体" w:eastAsia="仿宋_GB2312"/>
          <w:color w:val="000000"/>
          <w:kern w:val="0"/>
          <w:sz w:val="28"/>
          <w:szCs w:val="28"/>
          <w:highlight w:val="none"/>
        </w:rPr>
        <w:t>国家统计局 国家工商总局关于划分企业登记注册类型的规定调</w:t>
      </w:r>
      <w:r>
        <w:rPr>
          <w:rFonts w:hint="eastAsia" w:ascii="仿宋_GB2312" w:hAnsi="宋体" w:eastAsia="仿宋_GB2312"/>
          <w:color w:val="auto"/>
          <w:kern w:val="0"/>
          <w:sz w:val="28"/>
          <w:szCs w:val="28"/>
          <w:highlight w:val="none"/>
        </w:rPr>
        <w:t>整的通知</w:t>
      </w:r>
      <w:r>
        <w:rPr>
          <w:rFonts w:hint="eastAsia" w:ascii="仿宋_GB2312" w:hAnsi="宋体" w:eastAsia="仿宋_GB2312"/>
          <w:color w:val="auto"/>
          <w:kern w:val="0"/>
          <w:sz w:val="28"/>
          <w:szCs w:val="28"/>
          <w:highlight w:val="none"/>
          <w:lang w:eastAsia="zh-CN"/>
        </w:rPr>
        <w:t>》（</w:t>
      </w:r>
      <w:r>
        <w:rPr>
          <w:rFonts w:hint="eastAsia" w:ascii="仿宋_GB2312" w:hAnsi="宋体" w:eastAsia="仿宋_GB2312"/>
          <w:color w:val="auto"/>
          <w:kern w:val="0"/>
          <w:sz w:val="28"/>
          <w:szCs w:val="28"/>
          <w:highlight w:val="none"/>
        </w:rPr>
        <w:t>国统字〔2011〕86号</w:t>
      </w:r>
      <w:r>
        <w:rPr>
          <w:rFonts w:hint="eastAsia" w:ascii="仿宋_GB2312" w:hAnsi="宋体" w:eastAsia="仿宋_GB2312"/>
          <w:color w:val="auto"/>
          <w:kern w:val="0"/>
          <w:sz w:val="28"/>
          <w:szCs w:val="28"/>
          <w:highlight w:val="none"/>
          <w:lang w:eastAsia="zh-CN"/>
        </w:rPr>
        <w:t>）</w:t>
      </w:r>
      <w:r>
        <w:rPr>
          <w:rFonts w:hint="eastAsia" w:ascii="仿宋_GB2312" w:hAnsi="宋体" w:eastAsia="仿宋_GB2312"/>
          <w:color w:val="auto"/>
          <w:kern w:val="0"/>
          <w:sz w:val="28"/>
          <w:szCs w:val="28"/>
          <w:highlight w:val="none"/>
        </w:rPr>
        <w:t>划分的企业类型填写。</w:t>
      </w:r>
    </w:p>
    <w:p>
      <w:pPr>
        <w:adjustRightInd w:val="0"/>
        <w:snapToGrid w:val="0"/>
        <w:spacing w:line="560" w:lineRule="exact"/>
        <w:ind w:firstLine="560" w:firstLineChars="200"/>
        <w:rPr>
          <w:rFonts w:eastAsia="仿宋_GB2312"/>
          <w:color w:val="auto"/>
          <w:sz w:val="28"/>
          <w:szCs w:val="28"/>
        </w:rPr>
      </w:pPr>
      <w:r>
        <w:rPr>
          <w:rFonts w:eastAsia="仿宋_GB2312"/>
          <w:color w:val="auto"/>
          <w:sz w:val="28"/>
          <w:szCs w:val="28"/>
          <w:highlight w:val="none"/>
        </w:rPr>
        <w:t>“</w:t>
      </w:r>
      <w:r>
        <w:rPr>
          <w:rFonts w:hint="eastAsia" w:eastAsia="仿宋_GB2312"/>
          <w:color w:val="auto"/>
          <w:sz w:val="28"/>
          <w:szCs w:val="28"/>
          <w:highlight w:val="none"/>
        </w:rPr>
        <w:t>申请经营</w:t>
      </w:r>
      <w:r>
        <w:rPr>
          <w:rFonts w:hint="eastAsia" w:eastAsia="仿宋_GB2312"/>
          <w:color w:val="auto"/>
          <w:sz w:val="28"/>
          <w:szCs w:val="28"/>
          <w:highlight w:val="none"/>
          <w:lang w:eastAsia="zh-CN"/>
        </w:rPr>
        <w:t>类别</w:t>
      </w:r>
      <w:r>
        <w:rPr>
          <w:rFonts w:eastAsia="仿宋_GB2312"/>
          <w:color w:val="auto"/>
          <w:sz w:val="28"/>
          <w:szCs w:val="28"/>
          <w:highlight w:val="none"/>
        </w:rPr>
        <w:t>”</w:t>
      </w:r>
      <w:r>
        <w:rPr>
          <w:rFonts w:hint="eastAsia" w:eastAsia="仿宋_GB2312"/>
          <w:color w:val="auto"/>
          <w:sz w:val="28"/>
          <w:szCs w:val="28"/>
          <w:highlight w:val="none"/>
          <w:lang w:eastAsia="zh-CN"/>
        </w:rPr>
        <w:t>、“经营场所所有权”、“自</w:t>
      </w:r>
      <w:r>
        <w:rPr>
          <w:rFonts w:hint="eastAsia" w:eastAsia="仿宋_GB2312"/>
          <w:color w:val="auto"/>
          <w:sz w:val="28"/>
          <w:szCs w:val="28"/>
          <w:lang w:eastAsia="zh-CN"/>
        </w:rPr>
        <w:t>查情况”等选择项，</w:t>
      </w:r>
      <w:r>
        <w:rPr>
          <w:rFonts w:hint="eastAsia" w:eastAsia="仿宋_GB2312"/>
          <w:color w:val="auto"/>
          <w:sz w:val="28"/>
          <w:szCs w:val="28"/>
        </w:rPr>
        <w:t>在选择项后的</w:t>
      </w:r>
      <w:r>
        <w:rPr>
          <w:rFonts w:eastAsia="仿宋_GB2312"/>
          <w:color w:val="auto"/>
          <w:sz w:val="28"/>
          <w:szCs w:val="28"/>
        </w:rPr>
        <w:t>[   ]</w:t>
      </w:r>
      <w:r>
        <w:rPr>
          <w:rFonts w:hint="eastAsia" w:eastAsia="仿宋_GB2312"/>
          <w:color w:val="auto"/>
          <w:sz w:val="28"/>
          <w:szCs w:val="28"/>
        </w:rPr>
        <w:t>内划</w:t>
      </w:r>
      <w:r>
        <w:rPr>
          <w:rFonts w:eastAsia="仿宋_GB2312"/>
          <w:color w:val="auto"/>
          <w:sz w:val="28"/>
          <w:szCs w:val="28"/>
        </w:rPr>
        <w:t>“√”</w:t>
      </w:r>
      <w:r>
        <w:rPr>
          <w:rFonts w:hint="eastAsia" w:eastAsia="仿宋_GB2312"/>
          <w:color w:val="auto"/>
          <w:sz w:val="28"/>
          <w:szCs w:val="28"/>
        </w:rPr>
        <w:t>。</w:t>
      </w:r>
    </w:p>
    <w:p>
      <w:pPr>
        <w:jc w:val="center"/>
        <w:rPr>
          <w:rFonts w:ascii="宋体" w:hAnsi="宋体"/>
          <w:b/>
          <w:bCs/>
          <w:color w:val="auto"/>
          <w:sz w:val="36"/>
        </w:rPr>
        <w:sectPr>
          <w:footerReference r:id="rId3" w:type="default"/>
          <w:footerReference r:id="rId4" w:type="even"/>
          <w:pgSz w:w="11906" w:h="16838"/>
          <w:pgMar w:top="1440" w:right="1134" w:bottom="1440" w:left="1134" w:header="851" w:footer="992" w:gutter="0"/>
          <w:pgNumType w:fmt="numberInDash"/>
          <w:cols w:space="720" w:num="1"/>
          <w:rtlGutter w:val="0"/>
          <w:docGrid w:type="lines" w:linePitch="312" w:charSpace="0"/>
        </w:sectPr>
      </w:pPr>
    </w:p>
    <w:p>
      <w:pPr>
        <w:jc w:val="center"/>
        <w:rPr>
          <w:rFonts w:hint="eastAsia" w:ascii="宋体" w:hAnsi="宋体"/>
          <w:b/>
          <w:color w:val="auto"/>
          <w:sz w:val="36"/>
        </w:rPr>
      </w:pPr>
      <w:r>
        <w:rPr>
          <w:rFonts w:hint="eastAsia" w:ascii="宋体" w:hAnsi="宋体"/>
          <w:b/>
          <w:bCs/>
          <w:color w:val="auto"/>
          <w:sz w:val="36"/>
        </w:rPr>
        <w:t>烟花爆竹经营</w:t>
      </w:r>
      <w:r>
        <w:rPr>
          <w:rFonts w:hint="eastAsia" w:ascii="宋体" w:hAnsi="宋体"/>
          <w:b/>
          <w:bCs/>
          <w:color w:val="auto"/>
          <w:sz w:val="36"/>
          <w:lang w:eastAsia="zh-CN"/>
        </w:rPr>
        <w:t>（零售）</w:t>
      </w:r>
      <w:r>
        <w:rPr>
          <w:rFonts w:hint="eastAsia" w:ascii="宋体" w:hAnsi="宋体"/>
          <w:b/>
          <w:color w:val="auto"/>
          <w:sz w:val="36"/>
        </w:rPr>
        <w:t>许可证申请表</w:t>
      </w:r>
    </w:p>
    <w:tbl>
      <w:tblPr>
        <w:tblStyle w:val="5"/>
        <w:tblW w:w="10387" w:type="dxa"/>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4"/>
        <w:gridCol w:w="1977"/>
        <w:gridCol w:w="1095"/>
        <w:gridCol w:w="2926"/>
        <w:gridCol w:w="118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1764" w:type="dxa"/>
            <w:vMerge w:val="restart"/>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 位 名 称</w:t>
            </w:r>
          </w:p>
        </w:tc>
        <w:tc>
          <w:tcPr>
            <w:tcW w:w="3072"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color w:val="auto"/>
                <w:sz w:val="24"/>
                <w:szCs w:val="24"/>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主要</w:t>
            </w:r>
            <w:r>
              <w:rPr>
                <w:rFonts w:hint="eastAsia" w:asciiTheme="minorEastAsia" w:hAnsiTheme="minorEastAsia" w:eastAsiaTheme="minorEastAsia" w:cstheme="minorEastAsia"/>
                <w:b w:val="0"/>
                <w:bCs w:val="0"/>
                <w:color w:val="auto"/>
                <w:sz w:val="24"/>
                <w:szCs w:val="24"/>
              </w:rPr>
              <w:t>负责人</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1764" w:type="dxa"/>
            <w:vMerge w:val="continue"/>
            <w:tcBorders>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p>
        </w:tc>
        <w:tc>
          <w:tcPr>
            <w:tcW w:w="3072"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color w:val="auto"/>
                <w:sz w:val="24"/>
                <w:szCs w:val="24"/>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主要</w:t>
            </w:r>
            <w:r>
              <w:rPr>
                <w:rFonts w:hint="eastAsia" w:asciiTheme="minorEastAsia" w:hAnsiTheme="minorEastAsia" w:eastAsiaTheme="minorEastAsia" w:cstheme="minorEastAsia"/>
                <w:b w:val="0"/>
                <w:bCs w:val="0"/>
                <w:color w:val="auto"/>
                <w:sz w:val="24"/>
                <w:szCs w:val="24"/>
              </w:rPr>
              <w:t>负责人</w:t>
            </w:r>
            <w:r>
              <w:rPr>
                <w:rFonts w:hint="eastAsia" w:asciiTheme="minorEastAsia" w:hAnsiTheme="minorEastAsia" w:eastAsiaTheme="minorEastAsia" w:cstheme="minorEastAsia"/>
                <w:b w:val="0"/>
                <w:bCs w:val="0"/>
                <w:color w:val="auto"/>
                <w:sz w:val="24"/>
                <w:szCs w:val="24"/>
                <w:lang w:val="en-US" w:eastAsia="zh-CN"/>
              </w:rPr>
              <w:t>电话</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b/>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 济 类 型</w:t>
            </w:r>
          </w:p>
        </w:tc>
        <w:tc>
          <w:tcPr>
            <w:tcW w:w="30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val="en-US" w:eastAsia="zh-CN"/>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val="en-US" w:eastAsia="zh-CN"/>
              </w:rPr>
              <w:t>主要</w:t>
            </w:r>
            <w:r>
              <w:rPr>
                <w:rFonts w:hint="eastAsia" w:asciiTheme="minorEastAsia" w:hAnsiTheme="minorEastAsia" w:eastAsiaTheme="minorEastAsia" w:cstheme="minorEastAsia"/>
                <w:b w:val="0"/>
                <w:bCs w:val="0"/>
                <w:color w:val="auto"/>
                <w:sz w:val="24"/>
                <w:szCs w:val="24"/>
              </w:rPr>
              <w:t>负责人</w:t>
            </w:r>
            <w:r>
              <w:rPr>
                <w:rFonts w:hint="eastAsia" w:asciiTheme="minorEastAsia" w:hAnsiTheme="minorEastAsia" w:eastAsiaTheme="minorEastAsia" w:cstheme="minorEastAsia"/>
                <w:b w:val="0"/>
                <w:bCs w:val="0"/>
                <w:color w:val="auto"/>
                <w:sz w:val="24"/>
                <w:szCs w:val="24"/>
                <w:lang w:val="en-US" w:eastAsia="zh-CN"/>
              </w:rPr>
              <w:t>身份证号码</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1764" w:type="dxa"/>
            <w:vMerge w:val="restart"/>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 册 地 址</w:t>
            </w:r>
          </w:p>
        </w:tc>
        <w:tc>
          <w:tcPr>
            <w:tcW w:w="3072"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val="en-US" w:eastAsia="zh-CN"/>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销售人员</w:t>
            </w:r>
            <w:r>
              <w:rPr>
                <w:rFonts w:hint="eastAsia" w:asciiTheme="minorEastAsia" w:hAnsiTheme="minorEastAsia" w:eastAsiaTheme="minorEastAsia" w:cstheme="minorEastAsia"/>
                <w:b w:val="0"/>
                <w:bCs w:val="0"/>
                <w:color w:val="auto"/>
                <w:sz w:val="24"/>
                <w:szCs w:val="24"/>
                <w:lang w:val="en-US" w:eastAsia="zh-CN"/>
              </w:rPr>
              <w:t>姓名</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764" w:type="dxa"/>
            <w:vMerge w:val="continue"/>
            <w:tcBorders>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p>
        </w:tc>
        <w:tc>
          <w:tcPr>
            <w:tcW w:w="3072"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eastAsia="zh-CN"/>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销售人员</w:t>
            </w:r>
            <w:r>
              <w:rPr>
                <w:rFonts w:hint="eastAsia" w:asciiTheme="minorEastAsia" w:hAnsiTheme="minorEastAsia" w:eastAsiaTheme="minorEastAsia" w:cstheme="minorEastAsia"/>
                <w:b w:val="0"/>
                <w:bCs w:val="0"/>
                <w:color w:val="auto"/>
                <w:sz w:val="24"/>
                <w:szCs w:val="24"/>
                <w:lang w:val="en-US" w:eastAsia="zh-CN"/>
              </w:rPr>
              <w:t>电话</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统一社会代码</w:t>
            </w:r>
          </w:p>
        </w:tc>
        <w:tc>
          <w:tcPr>
            <w:tcW w:w="30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销售人员身份证号码</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登 记 机 关</w:t>
            </w:r>
          </w:p>
        </w:tc>
        <w:tc>
          <w:tcPr>
            <w:tcW w:w="30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从化区市场监督管理局</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登记日期</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主要负责人</w:t>
            </w:r>
            <w:r>
              <w:rPr>
                <w:rFonts w:hint="eastAsia" w:asciiTheme="minorEastAsia" w:hAnsiTheme="minorEastAsia" w:eastAsiaTheme="minorEastAsia" w:cstheme="minorEastAsia"/>
                <w:color w:val="auto"/>
                <w:sz w:val="24"/>
                <w:szCs w:val="24"/>
                <w:lang w:val="en-US" w:eastAsia="zh-CN"/>
              </w:rPr>
              <w:t>安全生产知识和管理能力</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考核合格</w:t>
            </w:r>
            <w:r>
              <w:rPr>
                <w:rFonts w:hint="eastAsia" w:asciiTheme="minorEastAsia" w:hAnsiTheme="minorEastAsia" w:eastAsiaTheme="minorEastAsia" w:cstheme="minorEastAsia"/>
                <w:color w:val="auto"/>
                <w:sz w:val="24"/>
                <w:szCs w:val="24"/>
              </w:rPr>
              <w:t>证</w:t>
            </w:r>
            <w:r>
              <w:rPr>
                <w:rFonts w:hint="eastAsia" w:asciiTheme="minorEastAsia" w:hAnsiTheme="minorEastAsia" w:eastAsiaTheme="minorEastAsia" w:cstheme="minorEastAsia"/>
                <w:color w:val="auto"/>
                <w:sz w:val="24"/>
                <w:szCs w:val="24"/>
                <w:lang w:val="en-US" w:eastAsia="zh-CN"/>
              </w:rPr>
              <w:t>档案</w:t>
            </w:r>
            <w:r>
              <w:rPr>
                <w:rFonts w:hint="eastAsia" w:asciiTheme="minorEastAsia" w:hAnsiTheme="minorEastAsia" w:eastAsiaTheme="minorEastAsia" w:cstheme="minorEastAsia"/>
                <w:color w:val="auto"/>
                <w:sz w:val="24"/>
                <w:szCs w:val="24"/>
              </w:rPr>
              <w:t>编号</w:t>
            </w:r>
          </w:p>
        </w:tc>
        <w:tc>
          <w:tcPr>
            <w:tcW w:w="55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从 业 人 员</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人</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负责人</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销售人员</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申请经营类别</w:t>
            </w: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专店〔   〕</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（经营范围：烟花类〔C〕〔D〕</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爆竹类〔C〕）</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经营场所</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所有权</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自有〔   〕</w:t>
            </w:r>
            <w:r>
              <w:rPr>
                <w:rFonts w:hint="eastAsia" w:asciiTheme="minorEastAsia" w:hAnsiTheme="minorEastAsia" w:eastAsiaTheme="minorEastAsia" w:cstheme="minorEastAsia"/>
                <w:color w:val="auto"/>
                <w:sz w:val="24"/>
                <w:szCs w:val="24"/>
                <w:lang w:val="en-US" w:eastAsia="zh-CN"/>
              </w:rPr>
              <w:t xml:space="preserve"> </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租赁〔   〕</w:t>
            </w:r>
            <w:r>
              <w:rPr>
                <w:rFonts w:hint="eastAsia" w:asciiTheme="minorEastAsia" w:hAnsiTheme="minorEastAsia" w:eastAsiaTheme="minorEastAsia" w:cstheme="minorEastAsia"/>
                <w:color w:val="auto"/>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场所实际</w:t>
            </w:r>
            <w:r>
              <w:rPr>
                <w:rFonts w:hint="eastAsia" w:asciiTheme="minorEastAsia" w:hAnsiTheme="minorEastAsia" w:eastAsiaTheme="minorEastAsia" w:cstheme="minorEastAsia"/>
                <w:color w:val="auto"/>
                <w:sz w:val="24"/>
                <w:szCs w:val="24"/>
                <w:lang w:eastAsia="zh-CN"/>
              </w:rPr>
              <w:t>面积</w:t>
            </w:r>
          </w:p>
        </w:tc>
        <w:tc>
          <w:tcPr>
            <w:tcW w:w="30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）平方</w:t>
            </w:r>
            <w:r>
              <w:rPr>
                <w:rFonts w:hint="eastAsia" w:asciiTheme="minorEastAsia" w:hAnsiTheme="minorEastAsia" w:eastAsiaTheme="minorEastAsia" w:cstheme="minorEastAsia"/>
                <w:color w:val="auto"/>
                <w:sz w:val="24"/>
                <w:szCs w:val="24"/>
                <w:lang w:eastAsia="zh-CN"/>
              </w:rPr>
              <w:t>米</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申请存放量</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764"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8"/>
                <w:szCs w:val="28"/>
              </w:rPr>
            </w:pPr>
            <w:r>
              <w:rPr>
                <w:rFonts w:hint="eastAsia"/>
                <w:color w:val="auto"/>
                <w:sz w:val="28"/>
                <w:szCs w:val="28"/>
              </w:rPr>
              <w:t>企      业    自     查</w:t>
            </w:r>
          </w:p>
          <w:p>
            <w:pPr>
              <w:ind w:left="113" w:right="113"/>
              <w:jc w:val="center"/>
              <w:rPr>
                <w:rFonts w:hint="eastAsia"/>
                <w:color w:val="auto"/>
                <w:sz w:val="28"/>
                <w:szCs w:val="28"/>
              </w:rPr>
            </w:pPr>
            <w:r>
              <w:rPr>
                <w:rFonts w:hint="eastAsia"/>
                <w:color w:val="auto"/>
                <w:sz w:val="28"/>
                <w:szCs w:val="28"/>
              </w:rPr>
              <w:t>（安全条件说明）</w:t>
            </w: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rPr>
            </w:pPr>
            <w:r>
              <w:rPr>
                <w:rFonts w:hint="eastAsia"/>
                <w:b/>
                <w:bCs/>
                <w:color w:val="auto"/>
                <w:sz w:val="24"/>
              </w:rPr>
              <w:t>自查内容</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rPr>
            </w:pPr>
            <w:r>
              <w:rPr>
                <w:rFonts w:hint="eastAsia"/>
                <w:b/>
                <w:bCs/>
                <w:color w:val="auto"/>
                <w:sz w:val="24"/>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1.烟花爆竹零售点不应布置在地下室、桥下及涵洞。不应有“前店后宅”“下店上宅”“人员住宿”情形。</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2.当烟花爆竹零售点布置在两层建筑物内时，其正上方不应有人员活动场所，上下层之间不应有楼梯和洞口；</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3.当烟花爆竹零售点毗邻其他建筑物时，其毗邻墙体应为不燃材料墙体，且不应有门窗和洞口；</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4.烟花爆竹零售点内部应将产品堆放区和销售柜台分区布置，确保安全疏散通道畅通；</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5.严禁将烟花爆竹零售点作为其他经营场所和生活场所的人员进出入通道；</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6.在烟花爆竹零售点的醒目位置应悬挂营业执照；</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7.在烟花爆竹零售点的醒目位置设置“禁止烟火”“易燃易爆”，且周边设置“严禁燃放烟花爆竹”等安全警示标识；</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8.烟花爆竹零售点不得与居住场所设置在同一建筑物内，不得设置在城镇居民集中居住小区内；</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9.烟花爆竹零售点不应布置在军事管理区、风景名胜区、文物保护区等禁止燃放烟花爆竹区域内；</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零售场所的面积不小于10㎡，</w:t>
            </w:r>
            <w:r>
              <w:rPr>
                <w:rFonts w:hint="eastAsia" w:asciiTheme="minorEastAsia" w:hAnsiTheme="minorEastAsia" w:eastAsiaTheme="minorEastAsia" w:cstheme="minorEastAsia"/>
                <w:color w:val="auto"/>
                <w:sz w:val="21"/>
                <w:szCs w:val="21"/>
                <w:lang w:val="en-US" w:eastAsia="zh-CN"/>
              </w:rPr>
              <w:t>且不应大于200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且相邻</w:t>
            </w:r>
            <w:r>
              <w:rPr>
                <w:rFonts w:hint="eastAsia" w:asciiTheme="minorEastAsia" w:hAnsiTheme="minorEastAsia" w:eastAsiaTheme="minorEastAsia" w:cstheme="minorEastAsia"/>
                <w:color w:val="auto"/>
                <w:sz w:val="21"/>
                <w:szCs w:val="21"/>
                <w:lang w:eastAsia="zh-CN"/>
              </w:rPr>
              <w:t>零售点</w:t>
            </w:r>
            <w:r>
              <w:rPr>
                <w:rFonts w:hint="eastAsia" w:asciiTheme="minorEastAsia" w:hAnsiTheme="minorEastAsia" w:eastAsiaTheme="minorEastAsia" w:cstheme="minorEastAsia"/>
                <w:color w:val="auto"/>
                <w:sz w:val="21"/>
                <w:szCs w:val="21"/>
              </w:rPr>
              <w:t>之间的距离不小于50米</w:t>
            </w:r>
            <w:r>
              <w:rPr>
                <w:rFonts w:hint="eastAsia" w:asciiTheme="minorEastAsia" w:hAnsiTheme="minorEastAsia" w:eastAsiaTheme="minorEastAsia" w:cstheme="minorEastAsia"/>
                <w:color w:val="auto"/>
                <w:sz w:val="21"/>
                <w:szCs w:val="21"/>
                <w:lang w:eastAsia="zh-CN"/>
              </w:rPr>
              <w:t>；</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距离党政机关办公楼、重要的通信和指挥调度建筑物、大型金融机构办公楼、省部级及以上广播电视建筑物50米以上</w:t>
            </w:r>
            <w:r>
              <w:rPr>
                <w:rFonts w:hint="eastAsia" w:asciiTheme="minorEastAsia" w:hAnsiTheme="minorEastAsia" w:eastAsiaTheme="minorEastAsia" w:cstheme="minorEastAsia"/>
                <w:color w:val="auto"/>
                <w:sz w:val="21"/>
                <w:szCs w:val="21"/>
                <w:lang w:eastAsia="zh-CN"/>
              </w:rPr>
              <w:t>；</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距离重要的大型图书馆、文物古迹、博物馆、展览馆、档案馆等建筑物50米以上；</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距离</w:t>
            </w:r>
            <w:r>
              <w:rPr>
                <w:rFonts w:hint="eastAsia" w:asciiTheme="minorEastAsia" w:hAnsiTheme="minorEastAsia" w:eastAsiaTheme="minorEastAsia" w:cstheme="minorEastAsia"/>
                <w:color w:val="auto"/>
                <w:sz w:val="21"/>
                <w:szCs w:val="21"/>
                <w:lang w:eastAsia="zh-CN"/>
              </w:rPr>
              <w:t>加油站、加气站</w:t>
            </w:r>
            <w:r>
              <w:rPr>
                <w:rFonts w:hint="eastAsia" w:asciiTheme="minorEastAsia" w:hAnsiTheme="minorEastAsia" w:eastAsiaTheme="minorEastAsia" w:cstheme="minorEastAsia"/>
                <w:color w:val="auto"/>
                <w:sz w:val="21"/>
                <w:szCs w:val="21"/>
              </w:rPr>
              <w:t>等甲类易燃、易爆危险物品储存场所100米以上；</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176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14.</w:t>
            </w:r>
            <w:r>
              <w:rPr>
                <w:rFonts w:hint="eastAsia" w:asciiTheme="minorEastAsia" w:hAnsiTheme="minorEastAsia" w:eastAsiaTheme="minorEastAsia" w:cstheme="minorEastAsia"/>
                <w:color w:val="auto"/>
                <w:sz w:val="21"/>
                <w:szCs w:val="21"/>
              </w:rPr>
              <w:t>距离中小学校、幼儿园、托儿所等建筑物100米以上；距离残障人员康复院所、养老院、医院（含二级和三级）建筑物100米以上；</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1764" w:type="dxa"/>
            <w:vMerge w:val="restart"/>
            <w:tcBorders>
              <w:top w:val="single" w:color="auto" w:sz="4" w:space="0"/>
              <w:left w:val="single" w:color="auto" w:sz="4" w:space="0"/>
              <w:right w:val="single" w:color="auto" w:sz="4" w:space="0"/>
            </w:tcBorders>
            <w:noWrap w:val="0"/>
            <w:textDirection w:val="tbRlV"/>
            <w:vAlign w:val="center"/>
          </w:tcPr>
          <w:p>
            <w:pPr>
              <w:ind w:left="113" w:right="113"/>
              <w:jc w:val="center"/>
              <w:rPr>
                <w:rFonts w:hint="eastAsia"/>
                <w:color w:val="auto"/>
                <w:sz w:val="28"/>
                <w:szCs w:val="28"/>
              </w:rPr>
            </w:pPr>
            <w:r>
              <w:rPr>
                <w:rFonts w:hint="eastAsia"/>
                <w:color w:val="auto"/>
                <w:sz w:val="28"/>
                <w:szCs w:val="28"/>
              </w:rPr>
              <w:t>企      业    自     查</w:t>
            </w:r>
          </w:p>
          <w:p>
            <w:pPr>
              <w:ind w:left="113" w:right="113"/>
              <w:jc w:val="center"/>
              <w:rPr>
                <w:rFonts w:hint="eastAsia"/>
                <w:color w:val="auto"/>
                <w:sz w:val="24"/>
              </w:rPr>
            </w:pPr>
            <w:r>
              <w:rPr>
                <w:rFonts w:hint="eastAsia"/>
                <w:color w:val="auto"/>
                <w:sz w:val="28"/>
                <w:szCs w:val="28"/>
              </w:rPr>
              <w:t>（安全条件说明）</w:t>
            </w: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距离220KV及以上的区域变电站围墙、220KV以上的架空输电线路80米以上；距离220KV以下的区域变电站围墙、220KV架空输电线路50米以上；距离220KV以下、35KV以上（含35KV）架空输电线路40米以上；</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rPr>
              <w:t>距离重要军事设施围墙100米以上；</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符合（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w:t>
            </w:r>
            <w:r>
              <w:rPr>
                <w:rFonts w:hint="eastAsia" w:asciiTheme="minorEastAsia" w:hAnsiTheme="minorEastAsia" w:eastAsiaTheme="minorEastAsia" w:cstheme="minorEastAsia"/>
                <w:color w:val="auto"/>
                <w:sz w:val="21"/>
                <w:szCs w:val="21"/>
              </w:rPr>
              <w:t>距离城市干道交叉路口50米以上；</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符合（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18.距离</w:t>
            </w:r>
            <w:r>
              <w:rPr>
                <w:rFonts w:hint="eastAsia" w:asciiTheme="minorEastAsia" w:hAnsiTheme="minorEastAsia" w:eastAsiaTheme="minorEastAsia" w:cstheme="minorEastAsia"/>
                <w:color w:val="auto"/>
                <w:sz w:val="21"/>
                <w:szCs w:val="21"/>
              </w:rPr>
              <w:t>明火或散发火花地点周边</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米以上</w:t>
            </w:r>
            <w:r>
              <w:rPr>
                <w:rFonts w:hint="eastAsia" w:asciiTheme="minorEastAsia" w:hAnsiTheme="minorEastAsia" w:eastAsiaTheme="minorEastAsia" w:cstheme="minorEastAsia"/>
                <w:color w:val="auto"/>
                <w:sz w:val="21"/>
                <w:szCs w:val="21"/>
                <w:lang w:val="en-US" w:eastAsia="zh-CN"/>
              </w:rPr>
              <w:t>,且应有不燃材料实体隔档</w:t>
            </w:r>
            <w:r>
              <w:rPr>
                <w:rFonts w:hint="eastAsia" w:asciiTheme="minorEastAsia" w:hAnsiTheme="minorEastAsia" w:eastAsiaTheme="minorEastAsia" w:cstheme="minorEastAsia"/>
                <w:color w:val="auto"/>
                <w:sz w:val="21"/>
                <w:szCs w:val="21"/>
              </w:rPr>
              <w:t>；</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符合（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19.距离市人民政府确定和公布的其他禁止燃放烟花爆竹的区域100米以上；</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20.烟花爆竹零售点建筑物的耐火等级不应低于三级；采用搭棚形式设置时，应采用不燃或难燃材料搭建；</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21.烟花爆竹零售点与其他场所联建时，其隔墙应为厚度不小于180毫米的密实砖墙，或者耐火极限不低于3小时的其他密实墙；</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3"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22.烟花爆竹零售点的安全疏散门宜采用向外开启的平开门；采用其他形式的门时，应符合消防安全疏散要求，面积大于100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时，应不少于2个安全出口，且店内任一点到安全出口的距离不应大于15m；</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23.顾客进出的门洞宽不应小于1.5米，搬运产品进出的门洞宽不宜小于1.2米；</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24.烟花爆竹零售点上空禁止1千伏及以上的电力线路跨越；</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25.烟花爆竹零售点禁止使用白炽灯、射灯等容易产生高温的灯具，电气线路应穿钢管敷设；</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26.烟花爆竹零售点采用普通导线钢管敷设时，接头防护等级应不低于IP54接线盒，电器应与产品保持不小于1.2米的水平投影距离；</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27.烟花爆竹零售点严禁有明火，采用产生明火和有强热辐射的采暖设备；间距不小于30厘米；</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28.烟花爆竹零售点应配备至少两具5公斤及以上的磷酸铵盐干粉灭火器，灭火器放置位置应便于取用；大于100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时，应至少配4具且分2个设置；</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专店销售的存放量限制在每10㎡</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0箱以下，</w:t>
            </w:r>
            <w:r>
              <w:rPr>
                <w:rFonts w:hint="eastAsia" w:asciiTheme="minorEastAsia" w:hAnsiTheme="minorEastAsia" w:eastAsiaTheme="minorEastAsia" w:cstheme="minorEastAsia"/>
                <w:color w:val="auto"/>
                <w:sz w:val="21"/>
                <w:szCs w:val="21"/>
                <w:lang w:val="en-US" w:eastAsia="zh-CN"/>
              </w:rPr>
              <w:t>且</w:t>
            </w:r>
            <w:r>
              <w:rPr>
                <w:rFonts w:hint="eastAsia" w:asciiTheme="minorEastAsia" w:hAnsiTheme="minorEastAsia" w:eastAsiaTheme="minorEastAsia" w:cstheme="minorEastAsia"/>
                <w:color w:val="auto"/>
                <w:sz w:val="21"/>
                <w:szCs w:val="21"/>
              </w:rPr>
              <w:t>总药量≦</w:t>
            </w:r>
            <w:r>
              <w:rPr>
                <w:rFonts w:hint="eastAsia" w:asciiTheme="minorEastAsia" w:hAnsiTheme="minorEastAsia" w:eastAsia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rPr>
              <w:t>kg</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70-200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时，最大允许</w:t>
            </w:r>
            <w:r>
              <w:rPr>
                <w:rFonts w:hint="eastAsia" w:asciiTheme="minorEastAsia" w:hAnsiTheme="minorEastAsia" w:eastAsiaTheme="minorEastAsia" w:cstheme="minorEastAsia"/>
                <w:color w:val="auto"/>
                <w:sz w:val="21"/>
                <w:szCs w:val="21"/>
                <w:lang w:eastAsia="zh-CN"/>
              </w:rPr>
              <w:t>药量</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300kg。</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rPr>
            </w:pPr>
          </w:p>
        </w:tc>
        <w:tc>
          <w:tcPr>
            <w:tcW w:w="5998"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30.专店经营：符合在商店内依法仅从事烟花爆竹零售业务。</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2" w:hRule="atLeast"/>
        </w:trPr>
        <w:tc>
          <w:tcPr>
            <w:tcW w:w="10387"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sz w:val="24"/>
                <w:szCs w:val="24"/>
              </w:rPr>
            </w:pPr>
            <w:r>
              <w:rPr>
                <w:rFonts w:hint="eastAsia"/>
                <w:sz w:val="24"/>
                <w:szCs w:val="24"/>
              </w:rPr>
              <w:t xml:space="preserve">  </w:t>
            </w:r>
          </w:p>
          <w:p>
            <w:pPr>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本单位符合</w:t>
            </w:r>
            <w:r>
              <w:rPr>
                <w:rFonts w:hint="eastAsia"/>
                <w:sz w:val="24"/>
                <w:szCs w:val="24"/>
                <w:lang w:val="en-US" w:eastAsia="zh-CN"/>
              </w:rPr>
              <w:t>相关法律、法规及相关标准</w:t>
            </w:r>
            <w:r>
              <w:rPr>
                <w:rFonts w:hint="eastAsia"/>
                <w:sz w:val="24"/>
                <w:szCs w:val="24"/>
              </w:rPr>
              <w:t>规定的许可条件，并对所填写和所提供的资料真实性负责，申请办</w:t>
            </w:r>
            <w:r>
              <w:rPr>
                <w:rFonts w:hint="eastAsia"/>
                <w:sz w:val="24"/>
                <w:szCs w:val="24"/>
                <w:lang w:eastAsia="zh-CN"/>
              </w:rPr>
              <w:t>理</w:t>
            </w:r>
            <w:r>
              <w:rPr>
                <w:rFonts w:hint="eastAsia"/>
                <w:sz w:val="24"/>
                <w:szCs w:val="24"/>
              </w:rPr>
              <w:t>烟花爆竹经营（零售）许可证。</w:t>
            </w:r>
          </w:p>
          <w:p>
            <w:pPr>
              <w:rPr>
                <w:rFonts w:hint="eastAsia"/>
                <w:sz w:val="24"/>
                <w:szCs w:val="24"/>
              </w:rPr>
            </w:pPr>
          </w:p>
          <w:p>
            <w:pPr>
              <w:pStyle w:val="2"/>
              <w:rPr>
                <w:rFonts w:hint="eastAsia"/>
                <w:sz w:val="24"/>
                <w:szCs w:val="24"/>
              </w:rPr>
            </w:pPr>
          </w:p>
          <w:p>
            <w:pPr>
              <w:rPr>
                <w:rFonts w:hint="eastAsia"/>
                <w:sz w:val="24"/>
                <w:szCs w:val="24"/>
              </w:rPr>
            </w:pPr>
          </w:p>
          <w:p>
            <w:pPr>
              <w:rPr>
                <w:sz w:val="24"/>
                <w:szCs w:val="24"/>
              </w:rPr>
            </w:pPr>
            <w:r>
              <w:rPr>
                <w:rFonts w:hint="eastAsia"/>
                <w:sz w:val="24"/>
                <w:szCs w:val="24"/>
              </w:rPr>
              <w:t xml:space="preserve">主要负责人（签字）：           </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 xml:space="preserve"> </w:t>
            </w:r>
            <w:r>
              <w:rPr>
                <w:rFonts w:hint="eastAsia"/>
                <w:sz w:val="24"/>
                <w:szCs w:val="24"/>
                <w:lang w:eastAsia="zh-CN"/>
              </w:rPr>
              <w:t>（</w:t>
            </w:r>
            <w:r>
              <w:rPr>
                <w:rFonts w:hint="eastAsia"/>
                <w:sz w:val="24"/>
                <w:szCs w:val="24"/>
              </w:rPr>
              <w:t>申请单位盖章</w:t>
            </w:r>
            <w:r>
              <w:rPr>
                <w:rFonts w:hint="eastAsia"/>
                <w:sz w:val="24"/>
                <w:szCs w:val="24"/>
                <w:lang w:eastAsia="zh-CN"/>
              </w:rPr>
              <w:t>）</w:t>
            </w:r>
          </w:p>
          <w:p>
            <w:pPr>
              <w:ind w:firstLine="5160" w:firstLineChars="2150"/>
              <w:rPr>
                <w:rFonts w:hint="eastAsia"/>
                <w:sz w:val="24"/>
                <w:szCs w:val="24"/>
              </w:rPr>
            </w:pPr>
            <w:r>
              <w:rPr>
                <w:rFonts w:hint="eastAsia"/>
                <w:sz w:val="24"/>
                <w:szCs w:val="24"/>
              </w:rPr>
              <w:t xml:space="preserve">         年        月        日</w:t>
            </w: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387" w:type="dxa"/>
            <w:gridSpan w:val="6"/>
            <w:tcBorders>
              <w:top w:val="single" w:color="auto" w:sz="4" w:space="0"/>
            </w:tcBorders>
            <w:noWrap w:val="0"/>
            <w:vAlign w:val="center"/>
          </w:tcPr>
          <w:p>
            <w:pPr>
              <w:rPr>
                <w:rFonts w:hint="eastAsia" w:eastAsia="宋体"/>
                <w:color w:val="auto"/>
                <w:sz w:val="24"/>
                <w:lang w:eastAsia="zh-CN"/>
              </w:rPr>
            </w:pPr>
            <w:r>
              <w:rPr>
                <w:rFonts w:hint="eastAsia"/>
                <w:b/>
                <w:bCs/>
                <w:color w:val="auto"/>
                <w:sz w:val="24"/>
              </w:rPr>
              <w:t>以上内容由申请单位</w:t>
            </w:r>
            <w:r>
              <w:rPr>
                <w:rFonts w:hint="eastAsia"/>
                <w:b/>
                <w:bCs/>
                <w:color w:val="auto"/>
                <w:sz w:val="24"/>
                <w:lang w:val="en-US" w:eastAsia="zh-CN"/>
              </w:rPr>
              <w:t>主要负责人</w:t>
            </w:r>
            <w:r>
              <w:rPr>
                <w:rFonts w:hint="eastAsia"/>
                <w:b/>
                <w:bCs/>
                <w:color w:val="auto"/>
                <w:sz w:val="24"/>
              </w:rPr>
              <w:t>填写</w:t>
            </w:r>
            <w:r>
              <w:rPr>
                <w:rFonts w:hint="eastAsia"/>
                <w:b/>
                <w:bCs/>
                <w:color w:val="auto"/>
                <w:sz w:val="24"/>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sz w:val="10"/>
        </w:rPr>
      </w:pPr>
    </w:p>
    <w:sectPr>
      <w:pgSz w:w="11906" w:h="16838"/>
      <w:pgMar w:top="1134" w:right="1134" w:bottom="10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C41F9"/>
    <w:rsid w:val="0EFC41F9"/>
    <w:rsid w:val="15730FC7"/>
    <w:rsid w:val="5B3F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从化区安监局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2022-08-04T02:08:00Z</dcterms:created>
  <dc:creator>何智聪</dc:creator>
  <cp:lastModifiedBy>李敏灵</cp:lastModifiedBy>
  <cp:lastPrinted>2022-08-04T06:26:00Z</cp:lastPrinted>
  <dcterms:modified xsi:type="dcterms:W3CDTF">2024-07-05T10:37:10Z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