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eastAsia="方正小标宋_GBK"/>
        </w:rPr>
      </w:pPr>
      <w:bookmarkStart w:id="68" w:name="_GoBack"/>
      <w:bookmarkEnd w:id="68"/>
    </w:p>
    <w:p>
      <w:pPr>
        <w:rPr>
          <w:rFonts w:hint="eastAsia" w:eastAsia="方正小标宋_GBK"/>
        </w:rPr>
      </w:pPr>
    </w:p>
    <w:p>
      <w:pPr>
        <w:rPr>
          <w:rFonts w:hint="eastAsia" w:eastAsia="方正小标宋_GBK"/>
        </w:rPr>
      </w:pPr>
    </w:p>
    <w:p>
      <w:pPr>
        <w:jc w:val="distribute"/>
        <w:rPr>
          <w:rFonts w:hint="eastAsia"/>
        </w:rPr>
      </w:pPr>
      <w:r>
        <w:rPr>
          <w:rFonts w:hint="eastAsia" w:eastAsia="方正小标宋_GBK"/>
          <w:color w:val="FF0000"/>
          <w:sz w:val="72"/>
          <w:szCs w:val="72"/>
        </w:rPr>
        <w:pict>
          <v:shape id="_x0000_i1025" o:spt="136" type="#_x0000_t136" style="height:49.25pt;width:432pt;" fillcolor="#FF0000" filled="t" stroked="t" coordsize="21600,21600">
            <v:path/>
            <v:fill on="t" focussize="0,0"/>
            <v:stroke color="#FF0000"/>
            <v:imagedata o:title=""/>
            <o:lock v:ext="edit"/>
            <v:textpath on="t" fitshape="t" fitpath="t" trim="t" xscale="f" string="广州市从化区人民政府办公室文件" style="font-family:宋体;font-size:36pt;font-weight:bold;v-rotate-letters:f;v-same-letter-heights:f;v-text-align:center;"/>
            <w10:wrap type="none"/>
            <w10:anchorlock/>
          </v:shape>
        </w:pict>
      </w:r>
    </w:p>
    <w:p>
      <w:pPr>
        <w:spacing w:line="760" w:lineRule="exact"/>
        <w:rPr>
          <w:rFonts w:hint="eastAsia"/>
        </w:rPr>
      </w:pPr>
    </w:p>
    <w:p>
      <w:pPr>
        <w:jc w:val="center"/>
        <w:rPr>
          <w:rFonts w:hint="eastAsia"/>
        </w:rPr>
      </w:pPr>
      <w:r>
        <w:t>从府办〔20</w:t>
      </w:r>
      <w:r>
        <w:rPr>
          <w:rFonts w:hint="eastAsia"/>
          <w:lang w:val="en-US" w:eastAsia="zh-CN"/>
        </w:rPr>
        <w:t>21</w:t>
      </w:r>
      <w:r>
        <w:t>〕</w:t>
      </w:r>
      <w:r>
        <w:rPr>
          <w:rFonts w:hint="default"/>
          <w:lang w:val="en"/>
        </w:rPr>
        <w:t>33</w:t>
      </w:r>
      <w:r>
        <w:t>号</w:t>
      </w:r>
    </w:p>
    <w:p>
      <w:pPr>
        <w:rPr>
          <w:rFonts w:hint="eastAsia"/>
        </w:rPr>
      </w:pP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5579745" cy="0"/>
                <wp:effectExtent l="0" t="0" r="0" b="0"/>
                <wp:wrapNone/>
                <wp:docPr id="1" name="直线 56"/>
                <wp:cNvGraphicFramePr/>
                <a:graphic xmlns:a="http://schemas.openxmlformats.org/drawingml/2006/main">
                  <a:graphicData uri="http://schemas.microsoft.com/office/word/2010/wordprocessingShape">
                    <wps:wsp>
                      <wps:cNvSpPr/>
                      <wps:spPr>
                        <a:xfrm>
                          <a:off x="0" y="0"/>
                          <a:ext cx="557974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0pt;margin-top:23.4pt;height:0pt;width:439.35pt;z-index:251658240;mso-width-relative:page;mso-height-relative:page;" filled="f" stroked="t" coordsize="21600,21600" o:gfxdata="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vtrt1AAAAAYBAAAPAAAAAAAAAAEAIAAAACIAAABk&#10;cnMvZG93bnJldi54bWxQSwECFAAUAAAACACHTuJAkQM9HdEBAACPAwAADgAAAAAAAAABACAAAAAj&#10;AQAAZHJzL2Uyb0RvYy54bWxQSwUGAAAAAAYABgBZAQAAZgUAAAAA&#10;">
                <v:fill on="f" focussize="0,0"/>
                <v:stroke weight="1.25pt" color="#FF0000" joinstyle="round"/>
                <v:imagedata o:title=""/>
                <o:lock v:ext="edit" aspectratio="f"/>
              </v:line>
            </w:pict>
          </mc:Fallback>
        </mc:AlternateConten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lang w:eastAsia="zh-CN" w:bidi="ar-SA"/>
        </w:rPr>
      </w:pPr>
      <w:r>
        <w:rPr>
          <w:rFonts w:hint="eastAsia" w:ascii="方正小标宋简体" w:hAnsi="方正小标宋简体" w:eastAsia="方正小标宋简体" w:cs="方正小标宋简体"/>
          <w:b w:val="0"/>
          <w:bCs/>
          <w:color w:val="auto"/>
          <w:sz w:val="44"/>
          <w:szCs w:val="44"/>
          <w:lang w:eastAsia="zh-CN" w:bidi="ar-SA"/>
        </w:rPr>
        <w:t>广州市从化区人民政府办公室关于印发</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color w:val="auto"/>
          <w:sz w:val="44"/>
          <w:szCs w:val="44"/>
          <w:lang w:eastAsia="zh-CN" w:bidi="ar-SA"/>
        </w:rPr>
      </w:pPr>
      <w:r>
        <w:rPr>
          <w:rFonts w:hint="eastAsia" w:ascii="方正小标宋简体" w:hAnsi="方正小标宋简体" w:eastAsia="方正小标宋简体" w:cs="方正小标宋简体"/>
          <w:b w:val="0"/>
          <w:bCs/>
          <w:color w:val="auto"/>
          <w:sz w:val="44"/>
          <w:szCs w:val="44"/>
          <w:lang w:eastAsia="zh-CN" w:bidi="ar-SA"/>
        </w:rPr>
        <w:t>《</w:t>
      </w:r>
      <w:r>
        <w:rPr>
          <w:rFonts w:hint="eastAsia" w:ascii="方正小标宋简体" w:hAnsi="方正小标宋简体" w:eastAsia="方正小标宋简体" w:cs="方正小标宋简体"/>
          <w:b w:val="0"/>
          <w:bCs/>
          <w:color w:val="auto"/>
          <w:sz w:val="44"/>
          <w:szCs w:val="44"/>
          <w:lang w:bidi="ar-SA"/>
        </w:rPr>
        <w:t>从化区市场监督管理</w:t>
      </w:r>
      <w:r>
        <w:rPr>
          <w:rFonts w:hint="eastAsia" w:ascii="方正小标宋简体" w:hAnsi="方正小标宋简体" w:eastAsia="方正小标宋简体" w:cs="方正小标宋简体"/>
          <w:b w:val="0"/>
          <w:bCs/>
          <w:color w:val="auto"/>
          <w:sz w:val="44"/>
          <w:szCs w:val="44"/>
          <w:lang w:eastAsia="zh-CN" w:bidi="ar-SA"/>
        </w:rPr>
        <w:t>“</w:t>
      </w:r>
      <w:r>
        <w:rPr>
          <w:rFonts w:hint="eastAsia" w:ascii="方正小标宋简体" w:hAnsi="方正小标宋简体" w:eastAsia="方正小标宋简体" w:cs="方正小标宋简体"/>
          <w:b w:val="0"/>
          <w:bCs/>
          <w:color w:val="auto"/>
          <w:sz w:val="44"/>
          <w:szCs w:val="44"/>
          <w:lang w:bidi="ar-SA"/>
        </w:rPr>
        <w:t>十四五</w:t>
      </w:r>
      <w:r>
        <w:rPr>
          <w:rFonts w:hint="eastAsia" w:ascii="方正小标宋简体" w:hAnsi="方正小标宋简体" w:eastAsia="方正小标宋简体" w:cs="方正小标宋简体"/>
          <w:b w:val="0"/>
          <w:bCs/>
          <w:color w:val="auto"/>
          <w:sz w:val="44"/>
          <w:szCs w:val="44"/>
          <w:lang w:eastAsia="zh-CN" w:bidi="ar-SA"/>
        </w:rPr>
        <w:t>”</w:t>
      </w:r>
    </w:p>
    <w:p>
      <w:pPr>
        <w:adjustRightInd w:val="0"/>
        <w:snapToGrid w:val="0"/>
        <w:spacing w:line="660" w:lineRule="exact"/>
        <w:jc w:val="center"/>
        <w:rPr>
          <w:rFonts w:hint="eastAsia" w:ascii="仿宋_GB2312" w:eastAsia="仿宋_GB2312"/>
          <w:color w:val="auto"/>
          <w:sz w:val="32"/>
          <w:szCs w:val="32"/>
        </w:rPr>
      </w:pPr>
      <w:r>
        <w:rPr>
          <w:rFonts w:hint="eastAsia" w:ascii="方正小标宋简体" w:hAnsi="方正小标宋简体" w:eastAsia="方正小标宋简体" w:cs="方正小标宋简体"/>
          <w:b w:val="0"/>
          <w:bCs/>
          <w:color w:val="auto"/>
          <w:sz w:val="44"/>
          <w:szCs w:val="44"/>
          <w:lang w:bidi="ar-SA"/>
        </w:rPr>
        <w:t>规划（2021</w:t>
      </w:r>
      <w:r>
        <w:rPr>
          <w:rFonts w:hint="eastAsia" w:ascii="方正小标宋简体" w:hAnsi="方正小标宋简体" w:eastAsia="方正小标宋简体" w:cs="方正小标宋简体"/>
          <w:b w:val="0"/>
          <w:bCs/>
          <w:color w:val="auto"/>
          <w:sz w:val="44"/>
          <w:szCs w:val="44"/>
          <w:lang w:eastAsia="zh-CN" w:bidi="ar-SA"/>
        </w:rPr>
        <w:t>—</w:t>
      </w:r>
      <w:r>
        <w:rPr>
          <w:rFonts w:hint="eastAsia" w:ascii="方正小标宋简体" w:hAnsi="方正小标宋简体" w:eastAsia="方正小标宋简体" w:cs="方正小标宋简体"/>
          <w:b w:val="0"/>
          <w:bCs/>
          <w:color w:val="auto"/>
          <w:sz w:val="44"/>
          <w:szCs w:val="44"/>
          <w:lang w:bidi="ar-SA"/>
        </w:rPr>
        <w:t>2025）</w:t>
      </w:r>
      <w:r>
        <w:rPr>
          <w:rFonts w:hint="eastAsia" w:ascii="方正小标宋简体" w:hAnsi="方正小标宋简体" w:eastAsia="方正小标宋简体" w:cs="方正小标宋简体"/>
          <w:b w:val="0"/>
          <w:bCs/>
          <w:color w:val="auto"/>
          <w:sz w:val="44"/>
          <w:szCs w:val="44"/>
          <w:lang w:eastAsia="zh-CN" w:bidi="ar-SA"/>
        </w:rPr>
        <w:t>》的通知</w:t>
      </w:r>
      <w:r>
        <w:rPr>
          <w:rFonts w:hint="eastAsia" w:ascii="方正小标宋简体" w:hAnsi="方正小标宋简体" w:eastAsia="方正小标宋简体" w:cs="方正小标宋简体"/>
          <w:b w:val="0"/>
          <w:bCs/>
          <w:color w:val="auto"/>
          <w:sz w:val="44"/>
          <w:szCs w:val="44"/>
          <w:lang w:eastAsia="zh-CN" w:bidi="ar-SA"/>
        </w:rPr>
        <w:br w:type="textWrapping"/>
      </w:r>
      <w:bookmarkStart w:id="0" w:name="OLE_LINK163"/>
      <w:bookmarkStart w:id="1" w:name="OLE_LINK114"/>
    </w:p>
    <w:p>
      <w:pPr>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各镇人民政府、街道办事处，</w:t>
      </w:r>
      <w:bookmarkEnd w:id="0"/>
      <w:r>
        <w:rPr>
          <w:rFonts w:hint="default" w:ascii="Times New Roman" w:hAnsi="Times New Roman" w:eastAsia="仿宋_GB2312" w:cs="Times New Roman"/>
          <w:color w:val="auto"/>
          <w:spacing w:val="-4"/>
          <w:sz w:val="32"/>
          <w:szCs w:val="32"/>
        </w:rPr>
        <w:t>区政府各部门、</w:t>
      </w:r>
      <w:bookmarkStart w:id="2" w:name="OLE_LINK67"/>
      <w:r>
        <w:rPr>
          <w:rFonts w:hint="default" w:ascii="Times New Roman" w:hAnsi="Times New Roman" w:eastAsia="仿宋_GB2312" w:cs="Times New Roman"/>
          <w:color w:val="auto"/>
          <w:spacing w:val="-4"/>
          <w:sz w:val="32"/>
          <w:szCs w:val="32"/>
        </w:rPr>
        <w:t>各</w:t>
      </w:r>
      <w:r>
        <w:rPr>
          <w:rFonts w:hint="default" w:ascii="Times New Roman" w:hAnsi="Times New Roman" w:eastAsia="仿宋_GB2312" w:cs="Times New Roman"/>
          <w:color w:val="auto"/>
          <w:spacing w:val="-4"/>
          <w:sz w:val="32"/>
          <w:szCs w:val="32"/>
          <w:lang w:eastAsia="zh-CN"/>
        </w:rPr>
        <w:t>有关垂直管理</w:t>
      </w:r>
      <w:r>
        <w:rPr>
          <w:rFonts w:hint="default" w:ascii="Times New Roman" w:hAnsi="Times New Roman" w:eastAsia="仿宋_GB2312" w:cs="Times New Roman"/>
          <w:color w:val="auto"/>
          <w:spacing w:val="-4"/>
          <w:sz w:val="32"/>
          <w:szCs w:val="32"/>
        </w:rPr>
        <w:t>机构</w:t>
      </w:r>
      <w:bookmarkEnd w:id="2"/>
      <w:r>
        <w:rPr>
          <w:rFonts w:hint="default" w:ascii="Times New Roman" w:hAnsi="Times New Roman" w:eastAsia="仿宋_GB2312" w:cs="Times New Roman"/>
          <w:color w:val="auto"/>
          <w:spacing w:val="-4"/>
          <w:sz w:val="32"/>
          <w:szCs w:val="32"/>
        </w:rPr>
        <w:t>：</w:t>
      </w:r>
    </w:p>
    <w:bookmarkEnd w:id="1"/>
    <w:p>
      <w:pPr>
        <w:keepNext w:val="0"/>
        <w:keepLines w:val="0"/>
        <w:pageBreakBefore w:val="0"/>
        <w:widowControl w:val="0"/>
        <w:kinsoku/>
        <w:wordWrap/>
        <w:overflowPunct/>
        <w:topLinePunct w:val="0"/>
        <w:autoSpaceDE/>
        <w:autoSpaceDN/>
        <w:bidi w:val="0"/>
        <w:snapToGrid/>
        <w:spacing w:line="240" w:lineRule="auto"/>
        <w:ind w:firstLine="61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《从化区市场监督管理</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规划（2021</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2025）》</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经区人民政府同意，现印发给你们，请认真</w:t>
      </w:r>
      <w:r>
        <w:rPr>
          <w:rFonts w:hint="default" w:ascii="Times New Roman" w:hAnsi="Times New Roman" w:eastAsia="仿宋_GB2312" w:cs="Times New Roman"/>
          <w:color w:val="auto"/>
          <w:sz w:val="32"/>
          <w:szCs w:val="32"/>
          <w:lang w:eastAsia="zh-CN"/>
        </w:rPr>
        <w:t>组织实施</w:t>
      </w:r>
      <w:r>
        <w:rPr>
          <w:rFonts w:hint="default" w:ascii="Times New Roman" w:hAnsi="Times New Roman" w:eastAsia="仿宋_GB2312" w:cs="Times New Roman"/>
          <w:color w:val="auto"/>
          <w:sz w:val="32"/>
          <w:szCs w:val="32"/>
        </w:rPr>
        <w:t>。执行过程中遇到问题，请径向</w:t>
      </w:r>
      <w:r>
        <w:rPr>
          <w:rFonts w:hint="default"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市场监管局</w:t>
      </w:r>
      <w:r>
        <w:rPr>
          <w:rFonts w:hint="default" w:ascii="Times New Roman" w:hAnsi="Times New Roman" w:eastAsia="仿宋_GB2312" w:cs="Times New Roman"/>
          <w:color w:val="auto"/>
          <w:sz w:val="32"/>
          <w:szCs w:val="32"/>
        </w:rPr>
        <w:t>反映。</w:t>
      </w:r>
    </w:p>
    <w:p>
      <w:pPr>
        <w:pStyle w:val="3"/>
        <w:keepNext w:val="0"/>
        <w:keepLines w:val="0"/>
        <w:pageBreakBefore w:val="0"/>
        <w:widowControl w:val="0"/>
        <w:kinsoku/>
        <w:wordWrap/>
        <w:overflowPunct/>
        <w:topLinePunct w:val="0"/>
        <w:autoSpaceDE/>
        <w:autoSpaceDN/>
        <w:bidi w:val="0"/>
        <w:snapToGrid/>
        <w:spacing w:line="240" w:lineRule="auto"/>
        <w:textAlignment w:val="auto"/>
        <w:rPr>
          <w:rFonts w:hint="default"/>
        </w:rPr>
      </w:pPr>
    </w:p>
    <w:p>
      <w:pPr>
        <w:rPr>
          <w:rFonts w:hint="eastAsia"/>
        </w:rPr>
      </w:pPr>
    </w:p>
    <w:p>
      <w:pPr>
        <w:ind w:right="682" w:rightChars="216"/>
        <w:jc w:val="right"/>
        <w:rPr>
          <w:rFonts w:hint="eastAsia"/>
        </w:rPr>
      </w:pPr>
      <w:r>
        <w:rPr>
          <w:rFonts w:hint="eastAsia"/>
        </w:rPr>
        <w:t xml:space="preserve">  广州市从化区人民政府办公室</w:t>
      </w:r>
    </w:p>
    <w:p>
      <w:pPr>
        <w:ind w:right="1314" w:rightChars="416"/>
        <w:jc w:val="right"/>
        <w:rPr>
          <w:rFonts w:hint="eastAsia"/>
        </w:rPr>
      </w:pPr>
      <w:r>
        <w:rPr>
          <w:rFonts w:hint="eastAsia"/>
        </w:rPr>
        <w:t xml:space="preserve">                            20</w:t>
      </w:r>
      <w:r>
        <w:rPr>
          <w:rFonts w:hint="eastAsia"/>
          <w:lang w:val="en-US" w:eastAsia="zh-CN"/>
        </w:rPr>
        <w:t>21</w:t>
      </w:r>
      <w:r>
        <w:rPr>
          <w:rFonts w:hint="eastAsia"/>
        </w:rPr>
        <w:t>年</w:t>
      </w:r>
      <w:r>
        <w:rPr>
          <w:rFonts w:hint="default"/>
          <w:lang w:val="en"/>
        </w:rPr>
        <w:t>12</w:t>
      </w:r>
      <w:r>
        <w:rPr>
          <w:rFonts w:hint="eastAsia"/>
        </w:rPr>
        <w:t>月</w:t>
      </w:r>
      <w:r>
        <w:rPr>
          <w:rFonts w:hint="default"/>
          <w:lang w:val="en"/>
        </w:rPr>
        <w:t>22</w:t>
      </w:r>
      <w:r>
        <w:rPr>
          <w:rFonts w:hint="eastAsia"/>
        </w:rPr>
        <w:t>日</w:t>
      </w:r>
    </w:p>
    <w:p>
      <w:pPr>
        <w:spacing w:line="578" w:lineRule="exact"/>
        <w:jc w:val="center"/>
        <w:rPr>
          <w:rFonts w:ascii="方正小标宋简体" w:hAnsi="方正小标宋简体" w:eastAsia="方正小标宋简体" w:cs="方正小标宋简体"/>
          <w:bCs/>
          <w:sz w:val="44"/>
          <w:szCs w:val="44"/>
        </w:rPr>
      </w:pPr>
    </w:p>
    <w:p>
      <w:pPr>
        <w:spacing w:line="578" w:lineRule="exact"/>
        <w:jc w:val="both"/>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简体" w:hAnsi="黑体" w:eastAsia="方正小标宋简体" w:cs="宋体"/>
          <w:spacing w:val="20"/>
          <w:sz w:val="44"/>
          <w:szCs w:val="44"/>
        </w:rPr>
      </w:pPr>
      <w:r>
        <w:rPr>
          <w:rFonts w:hint="eastAsia" w:ascii="方正小标宋简体" w:hAnsi="黑体" w:eastAsia="方正小标宋简体" w:cs="宋体"/>
          <w:spacing w:val="20"/>
          <w:sz w:val="44"/>
          <w:szCs w:val="44"/>
        </w:rPr>
        <w:t>广州市从化区市场监督管理</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黑体" w:eastAsia="方正小标宋简体" w:cs="宋体"/>
          <w:spacing w:val="20"/>
          <w:sz w:val="44"/>
          <w:szCs w:val="44"/>
        </w:rPr>
      </w:pPr>
      <w:r>
        <w:rPr>
          <w:rFonts w:hint="eastAsia" w:ascii="方正小标宋简体" w:hAnsi="黑体" w:eastAsia="方正小标宋简体" w:cs="宋体"/>
          <w:spacing w:val="20"/>
          <w:sz w:val="44"/>
          <w:szCs w:val="44"/>
          <w:lang w:eastAsia="zh-CN"/>
        </w:rPr>
        <w:t>“</w:t>
      </w:r>
      <w:r>
        <w:rPr>
          <w:rFonts w:hint="eastAsia" w:ascii="方正小标宋简体" w:hAnsi="黑体" w:eastAsia="方正小标宋简体" w:cs="宋体"/>
          <w:spacing w:val="20"/>
          <w:sz w:val="44"/>
          <w:szCs w:val="44"/>
        </w:rPr>
        <w:t>十四五</w:t>
      </w:r>
      <w:r>
        <w:rPr>
          <w:rFonts w:hint="eastAsia" w:ascii="方正小标宋简体" w:hAnsi="黑体" w:eastAsia="方正小标宋简体" w:cs="宋体"/>
          <w:spacing w:val="20"/>
          <w:sz w:val="44"/>
          <w:szCs w:val="44"/>
          <w:lang w:eastAsia="zh-CN"/>
        </w:rPr>
        <w:t>”</w:t>
      </w:r>
      <w:r>
        <w:rPr>
          <w:rFonts w:hint="eastAsia" w:ascii="方正小标宋简体" w:hAnsi="黑体" w:eastAsia="方正小标宋简体" w:cs="宋体"/>
          <w:spacing w:val="20"/>
          <w:sz w:val="44"/>
          <w:szCs w:val="44"/>
        </w:rPr>
        <w:t>规划</w:t>
      </w:r>
    </w:p>
    <w:p>
      <w:pPr>
        <w:pStyle w:val="20"/>
        <w:rPr>
          <w:rFonts w:hint="eastAsia" w:ascii="方正小标宋简体" w:hAnsi="黑体" w:eastAsia="方正小标宋简体" w:cs="宋体"/>
          <w:spacing w:val="20"/>
          <w:sz w:val="44"/>
          <w:szCs w:val="44"/>
        </w:rPr>
      </w:pPr>
    </w:p>
    <w:p>
      <w:pPr>
        <w:pStyle w:val="20"/>
        <w:rPr>
          <w:rFonts w:hint="eastAsia" w:ascii="方正小标宋简体" w:hAnsi="黑体" w:eastAsia="方正小标宋简体" w:cs="宋体"/>
          <w:spacing w:val="20"/>
          <w:sz w:val="44"/>
          <w:szCs w:val="44"/>
        </w:rPr>
      </w:pPr>
    </w:p>
    <w:p>
      <w:pPr>
        <w:pStyle w:val="20"/>
        <w:rPr>
          <w:rFonts w:hint="eastAsia" w:ascii="方正小标宋简体" w:hAnsi="黑体" w:eastAsia="方正小标宋简体" w:cs="宋体"/>
          <w:spacing w:val="20"/>
          <w:sz w:val="44"/>
          <w:szCs w:val="44"/>
        </w:rPr>
      </w:pPr>
    </w:p>
    <w:p>
      <w:pPr>
        <w:pStyle w:val="20"/>
        <w:rPr>
          <w:rFonts w:hint="eastAsia" w:ascii="方正小标宋简体" w:hAnsi="黑体" w:eastAsia="方正小标宋简体" w:cs="宋体"/>
          <w:spacing w:val="20"/>
          <w:sz w:val="44"/>
          <w:szCs w:val="44"/>
        </w:rPr>
      </w:pPr>
    </w:p>
    <w:p>
      <w:pPr>
        <w:pStyle w:val="20"/>
        <w:rPr>
          <w:rFonts w:hint="eastAsia" w:ascii="方正小标宋简体" w:hAnsi="黑体" w:eastAsia="方正小标宋简体" w:cs="宋体"/>
          <w:spacing w:val="20"/>
          <w:sz w:val="44"/>
          <w:szCs w:val="44"/>
        </w:rPr>
      </w:pPr>
    </w:p>
    <w:p>
      <w:pPr>
        <w:pStyle w:val="20"/>
        <w:ind w:left="0" w:leftChars="0" w:firstLine="0" w:firstLineChars="0"/>
        <w:rPr>
          <w:rFonts w:hint="eastAsia" w:ascii="方正小标宋简体" w:hAnsi="黑体" w:eastAsia="方正小标宋简体" w:cs="宋体"/>
          <w:spacing w:val="20"/>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（2021-2025）</w:t>
      </w:r>
    </w:p>
    <w:p>
      <w:pPr>
        <w:spacing w:line="578" w:lineRule="exact"/>
        <w:jc w:val="center"/>
        <w:rPr>
          <w:rFonts w:ascii="楷体_GB2312" w:hAnsi="黑体" w:eastAsia="楷体_GB2312"/>
          <w:sz w:val="32"/>
          <w:szCs w:val="32"/>
        </w:rPr>
      </w:pPr>
    </w:p>
    <w:p>
      <w:pPr>
        <w:spacing w:line="578" w:lineRule="exact"/>
        <w:rPr>
          <w:rFonts w:hint="eastAsia" w:ascii="黑体" w:hAnsi="黑体" w:eastAsia="黑体"/>
          <w:b/>
          <w:bCs/>
          <w:sz w:val="30"/>
          <w:szCs w:val="30"/>
        </w:rPr>
      </w:pPr>
    </w:p>
    <w:p>
      <w:pPr>
        <w:spacing w:line="578" w:lineRule="exact"/>
        <w:rPr>
          <w:rFonts w:ascii="黑体" w:hAnsi="黑体" w:eastAsia="黑体"/>
          <w:b/>
          <w:bCs/>
          <w:sz w:val="30"/>
          <w:szCs w:val="30"/>
        </w:rPr>
      </w:pPr>
      <w:r>
        <w:rPr>
          <w:rFonts w:hint="eastAsia" w:ascii="黑体" w:hAnsi="黑体" w:eastAsia="黑体"/>
          <w:b/>
          <w:bCs/>
          <w:sz w:val="30"/>
          <w:szCs w:val="30"/>
        </w:rPr>
        <w:t xml:space="preserve">                     </w:t>
      </w:r>
    </w:p>
    <w:p>
      <w:pPr>
        <w:spacing w:line="578" w:lineRule="exact"/>
        <w:rPr>
          <w:rFonts w:ascii="黑体" w:hAnsi="黑体" w:eastAsia="黑体"/>
          <w:b/>
          <w:bCs/>
          <w:sz w:val="30"/>
          <w:szCs w:val="30"/>
        </w:rPr>
      </w:pPr>
    </w:p>
    <w:p>
      <w:pPr>
        <w:keepNext w:val="0"/>
        <w:keepLines w:val="0"/>
        <w:pageBreakBefore w:val="0"/>
        <w:widowControl w:val="0"/>
        <w:tabs>
          <w:tab w:val="left" w:pos="420"/>
          <w:tab w:val="left" w:pos="630"/>
        </w:tabs>
        <w:kinsoku/>
        <w:wordWrap/>
        <w:overflowPunct/>
        <w:topLinePunct w:val="0"/>
        <w:autoSpaceDE/>
        <w:autoSpaceDN/>
        <w:bidi w:val="0"/>
        <w:adjustRightInd/>
        <w:snapToGrid/>
        <w:spacing w:before="156" w:beforeLines="50" w:after="156" w:afterLines="50" w:line="7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 xml:space="preserve"> 录</w:t>
      </w:r>
    </w:p>
    <w:p>
      <w:pPr>
        <w:pStyle w:val="10"/>
        <w:tabs>
          <w:tab w:val="right" w:leader="dot" w:pos="8296"/>
        </w:tabs>
        <w:rPr>
          <w:rFonts w:ascii="Times New Roman" w:hAnsi="Times New Roman" w:cs="Times New Roman"/>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TOC \o "1-2" \h \z \u </w:instrText>
      </w:r>
      <w:r>
        <w:rPr>
          <w:rFonts w:ascii="Times New Roman" w:hAnsi="Times New Roman" w:eastAsia="仿宋_GB2312" w:cs="Times New Roman"/>
          <w:bCs/>
          <w:sz w:val="32"/>
          <w:szCs w:val="32"/>
        </w:rPr>
        <w:fldChar w:fldCharType="separate"/>
      </w:r>
      <w:r>
        <w:fldChar w:fldCharType="begin"/>
      </w:r>
      <w:r>
        <w:instrText xml:space="preserve"> HYPERLINK \l "_Toc67319048" </w:instrText>
      </w:r>
      <w:r>
        <w:fldChar w:fldCharType="separate"/>
      </w:r>
      <w:r>
        <w:rPr>
          <w:rStyle w:val="19"/>
          <w:rFonts w:ascii="Times New Roman" w:hAnsi="Times New Roman" w:eastAsia="黑体" w:cs="Times New Roman"/>
          <w:sz w:val="32"/>
          <w:szCs w:val="32"/>
        </w:rPr>
        <w:t>前言</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_Toc67319048 \h </w:instrText>
      </w:r>
      <w:r>
        <w:rPr>
          <w:rFonts w:ascii="Times New Roman" w:hAnsi="Times New Roman" w:cs="Times New Roman"/>
          <w:sz w:val="32"/>
          <w:szCs w:val="32"/>
        </w:rPr>
        <w:fldChar w:fldCharType="separate"/>
      </w:r>
      <w:r>
        <w:rPr>
          <w:rFonts w:ascii="Times New Roman" w:hAnsi="Times New Roman" w:cs="Times New Roman"/>
          <w:sz w:val="32"/>
          <w:szCs w:val="32"/>
        </w:rPr>
        <w:t>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"_Toc67319049" </w:instrText>
      </w:r>
      <w:r>
        <w:fldChar w:fldCharType="separate"/>
      </w:r>
      <w:r>
        <w:rPr>
          <w:rStyle w:val="19"/>
          <w:rFonts w:ascii="Times New Roman" w:hAnsi="Times New Roman" w:eastAsia="黑体" w:cs="Times New Roman"/>
          <w:sz w:val="32"/>
          <w:szCs w:val="32"/>
        </w:rPr>
        <w:t>第一章 现状与形势</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_Toc67319049 \h </w:instrText>
      </w:r>
      <w:r>
        <w:rPr>
          <w:rFonts w:ascii="Times New Roman" w:hAnsi="Times New Roman" w:cs="Times New Roman"/>
          <w:sz w:val="32"/>
          <w:szCs w:val="32"/>
        </w:rPr>
        <w:fldChar w:fldCharType="separate"/>
      </w:r>
      <w:r>
        <w:rPr>
          <w:rFonts w:ascii="Times New Roman" w:hAnsi="Times New Roman" w:cs="Times New Roman"/>
          <w:sz w:val="32"/>
          <w:szCs w:val="32"/>
        </w:rPr>
        <w:t>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"_Toc67319050" </w:instrText>
      </w:r>
      <w:r>
        <w:fldChar w:fldCharType="separate"/>
      </w:r>
      <w:r>
        <w:rPr>
          <w:rStyle w:val="19"/>
          <w:rFonts w:ascii="Times New Roman" w:hAnsi="Times New Roman" w:eastAsia="黑体" w:cs="Times New Roman"/>
          <w:sz w:val="32"/>
          <w:szCs w:val="32"/>
        </w:rPr>
        <w:t>第一节 发展现状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_Toc67319050 \h </w:instrText>
      </w:r>
      <w:r>
        <w:rPr>
          <w:rFonts w:ascii="Times New Roman" w:hAnsi="Times New Roman" w:cs="Times New Roman"/>
          <w:sz w:val="32"/>
          <w:szCs w:val="32"/>
        </w:rPr>
        <w:fldChar w:fldCharType="separate"/>
      </w:r>
      <w:r>
        <w:rPr>
          <w:rFonts w:ascii="Times New Roman" w:hAnsi="Times New Roman" w:cs="Times New Roman"/>
          <w:sz w:val="32"/>
          <w:szCs w:val="32"/>
        </w:rPr>
        <w:t>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"_Toc67319051" </w:instrText>
      </w:r>
      <w:r>
        <w:fldChar w:fldCharType="separate"/>
      </w:r>
      <w:r>
        <w:rPr>
          <w:rStyle w:val="19"/>
          <w:rFonts w:ascii="Times New Roman" w:hAnsi="Times New Roman" w:eastAsia="黑体" w:cs="Times New Roman"/>
          <w:sz w:val="32"/>
          <w:szCs w:val="32"/>
        </w:rPr>
        <w:t>第二节 面临形势</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_Toc67319051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"_Toc67319052" </w:instrText>
      </w:r>
      <w:r>
        <w:fldChar w:fldCharType="separate"/>
      </w:r>
      <w:r>
        <w:rPr>
          <w:rStyle w:val="19"/>
          <w:rFonts w:ascii="Times New Roman" w:hAnsi="Times New Roman" w:eastAsia="黑体" w:cs="Times New Roman"/>
          <w:sz w:val="32"/>
          <w:szCs w:val="32"/>
        </w:rPr>
        <w:t>第二章 总体要求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_Toc67319052 \h </w:instrText>
      </w:r>
      <w:r>
        <w:rPr>
          <w:rFonts w:ascii="Times New Roman" w:hAnsi="Times New Roman" w:cs="Times New Roman"/>
          <w:sz w:val="32"/>
          <w:szCs w:val="32"/>
        </w:rPr>
        <w:fldChar w:fldCharType="separate"/>
      </w:r>
      <w:r>
        <w:rPr>
          <w:rFonts w:ascii="Times New Roman" w:hAnsi="Times New Roman" w:cs="Times New Roman"/>
          <w:sz w:val="32"/>
          <w:szCs w:val="32"/>
        </w:rPr>
        <w:t>15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"_Toc67319053" </w:instrText>
      </w:r>
      <w:r>
        <w:fldChar w:fldCharType="separate"/>
      </w:r>
      <w:r>
        <w:rPr>
          <w:rStyle w:val="19"/>
          <w:rFonts w:ascii="Times New Roman" w:hAnsi="Times New Roman" w:eastAsia="黑体" w:cs="Times New Roman"/>
          <w:sz w:val="32"/>
          <w:szCs w:val="32"/>
        </w:rPr>
        <w:t>第一节 指导思想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_Toc67319053 \h </w:instrText>
      </w:r>
      <w:r>
        <w:rPr>
          <w:rFonts w:ascii="Times New Roman" w:hAnsi="Times New Roman" w:cs="Times New Roman"/>
          <w:sz w:val="32"/>
          <w:szCs w:val="32"/>
        </w:rPr>
        <w:fldChar w:fldCharType="separate"/>
      </w:r>
      <w:r>
        <w:rPr>
          <w:rFonts w:ascii="Times New Roman" w:hAnsi="Times New Roman" w:cs="Times New Roman"/>
          <w:sz w:val="32"/>
          <w:szCs w:val="32"/>
        </w:rPr>
        <w:t>15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"_Toc67319054" </w:instrText>
      </w:r>
      <w:r>
        <w:fldChar w:fldCharType="separate"/>
      </w:r>
      <w:r>
        <w:rPr>
          <w:rStyle w:val="19"/>
          <w:rFonts w:ascii="Times New Roman" w:hAnsi="Times New Roman" w:eastAsia="黑体" w:cs="Times New Roman"/>
          <w:sz w:val="32"/>
          <w:szCs w:val="32"/>
        </w:rPr>
        <w:t>第二节 基本原则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_Toc67319054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"_Toc67319055" </w:instrText>
      </w:r>
      <w:r>
        <w:fldChar w:fldCharType="separate"/>
      </w:r>
      <w:r>
        <w:rPr>
          <w:rStyle w:val="19"/>
          <w:rFonts w:ascii="Times New Roman" w:hAnsi="Times New Roman" w:eastAsia="黑体" w:cs="Times New Roman"/>
          <w:sz w:val="32"/>
          <w:szCs w:val="32"/>
        </w:rPr>
        <w:t>第三节 主要目标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_Toc67319055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"_Toc67319056" </w:instrText>
      </w:r>
      <w:r>
        <w:fldChar w:fldCharType="separate"/>
      </w:r>
      <w:r>
        <w:rPr>
          <w:rStyle w:val="19"/>
          <w:rFonts w:ascii="Times New Roman" w:hAnsi="Times New Roman" w:eastAsia="黑体" w:cs="Times New Roman"/>
          <w:sz w:val="32"/>
          <w:szCs w:val="32"/>
        </w:rPr>
        <w:t>第三章 完善市场准入体系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_Toc67319056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"_Toc67319057" </w:instrText>
      </w:r>
      <w:r>
        <w:fldChar w:fldCharType="separate"/>
      </w:r>
      <w:r>
        <w:rPr>
          <w:rStyle w:val="19"/>
          <w:rFonts w:ascii="Times New Roman" w:hAnsi="Times New Roman" w:eastAsia="黑体" w:cs="Times New Roman"/>
          <w:sz w:val="32"/>
          <w:szCs w:val="32"/>
        </w:rPr>
        <w:t>第一节 深化开办企业便利化改革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_Toc67319057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"_Toc67319058" </w:instrText>
      </w:r>
      <w:r>
        <w:fldChar w:fldCharType="separate"/>
      </w:r>
      <w:r>
        <w:rPr>
          <w:rStyle w:val="19"/>
          <w:rFonts w:ascii="Times New Roman" w:hAnsi="Times New Roman" w:eastAsia="黑体" w:cs="Times New Roman"/>
          <w:sz w:val="32"/>
          <w:szCs w:val="32"/>
        </w:rPr>
        <w:t>第二节 深化</w:t>
      </w:r>
      <w:r>
        <w:rPr>
          <w:rStyle w:val="19"/>
          <w:rFonts w:hint="eastAsia" w:eastAsia="黑体" w:cs="Times New Roman"/>
          <w:sz w:val="32"/>
          <w:szCs w:val="32"/>
          <w:lang w:eastAsia="zh-CN"/>
        </w:rPr>
        <w:t>“</w:t>
      </w:r>
      <w:r>
        <w:rPr>
          <w:rStyle w:val="19"/>
          <w:rFonts w:ascii="Times New Roman" w:hAnsi="Times New Roman" w:eastAsia="黑体" w:cs="Times New Roman"/>
          <w:sz w:val="32"/>
          <w:szCs w:val="32"/>
        </w:rPr>
        <w:t>证照分离</w:t>
      </w:r>
      <w:r>
        <w:rPr>
          <w:rStyle w:val="19"/>
          <w:rFonts w:hint="eastAsia" w:eastAsia="黑体" w:cs="Times New Roman"/>
          <w:sz w:val="32"/>
          <w:szCs w:val="32"/>
          <w:lang w:eastAsia="zh-CN"/>
        </w:rPr>
        <w:t>”</w:t>
      </w:r>
      <w:r>
        <w:rPr>
          <w:rStyle w:val="19"/>
          <w:rFonts w:ascii="Times New Roman" w:hAnsi="Times New Roman" w:eastAsia="黑体" w:cs="Times New Roman"/>
          <w:sz w:val="32"/>
          <w:szCs w:val="32"/>
        </w:rPr>
        <w:t>改革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_Toc67319058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"_Toc67319059" </w:instrText>
      </w:r>
      <w:r>
        <w:fldChar w:fldCharType="separate"/>
      </w:r>
      <w:r>
        <w:rPr>
          <w:rStyle w:val="19"/>
          <w:rFonts w:ascii="Times New Roman" w:hAnsi="Times New Roman" w:eastAsia="黑体" w:cs="Times New Roman"/>
          <w:sz w:val="32"/>
          <w:szCs w:val="32"/>
        </w:rPr>
        <w:t>第三节 深化注销便利化改革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_Toc67319059 \h </w:instrText>
      </w:r>
      <w:r>
        <w:rPr>
          <w:rFonts w:ascii="Times New Roman" w:hAnsi="Times New Roman" w:cs="Times New Roman"/>
          <w:sz w:val="32"/>
          <w:szCs w:val="32"/>
        </w:rPr>
        <w:fldChar w:fldCharType="separate"/>
      </w:r>
      <w:r>
        <w:rPr>
          <w:rFonts w:ascii="Times New Roman" w:hAnsi="Times New Roman" w:cs="Times New Roman"/>
          <w:sz w:val="32"/>
          <w:szCs w:val="32"/>
        </w:rPr>
        <w:t>21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"_Toc67319060" </w:instrText>
      </w:r>
      <w:r>
        <w:fldChar w:fldCharType="separate"/>
      </w:r>
      <w:r>
        <w:rPr>
          <w:rStyle w:val="19"/>
          <w:rFonts w:ascii="Times New Roman" w:hAnsi="Times New Roman" w:eastAsia="黑体" w:cs="Times New Roman"/>
          <w:sz w:val="32"/>
          <w:szCs w:val="32"/>
        </w:rPr>
        <w:t>第四节 支持民营经济发展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_Toc67319060 \h </w:instrText>
      </w:r>
      <w:r>
        <w:rPr>
          <w:rFonts w:ascii="Times New Roman" w:hAnsi="Times New Roman" w:cs="Times New Roman"/>
          <w:sz w:val="32"/>
          <w:szCs w:val="32"/>
        </w:rPr>
        <w:fldChar w:fldCharType="separate"/>
      </w:r>
      <w:r>
        <w:rPr>
          <w:rFonts w:ascii="Times New Roman" w:hAnsi="Times New Roman" w:cs="Times New Roman"/>
          <w:sz w:val="32"/>
          <w:szCs w:val="32"/>
        </w:rPr>
        <w:t>21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"_Toc67319061" </w:instrText>
      </w:r>
      <w:r>
        <w:fldChar w:fldCharType="separate"/>
      </w:r>
      <w:r>
        <w:rPr>
          <w:rStyle w:val="19"/>
          <w:rFonts w:ascii="Times New Roman" w:hAnsi="Times New Roman" w:eastAsia="黑体" w:cs="Times New Roman"/>
          <w:sz w:val="32"/>
          <w:szCs w:val="32"/>
        </w:rPr>
        <w:t>第四章 规范市场竞争体系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_Toc67319061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"_Toc67319062" </w:instrText>
      </w:r>
      <w:r>
        <w:fldChar w:fldCharType="separate"/>
      </w:r>
      <w:r>
        <w:rPr>
          <w:rStyle w:val="19"/>
          <w:rFonts w:ascii="Times New Roman" w:hAnsi="Times New Roman" w:eastAsia="黑体" w:cs="Times New Roman"/>
          <w:sz w:val="32"/>
          <w:szCs w:val="32"/>
        </w:rPr>
        <w:t>第一节 加强重点市场监管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_Toc67319062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"_Toc67319063" </w:instrText>
      </w:r>
      <w:r>
        <w:fldChar w:fldCharType="separate"/>
      </w:r>
      <w:r>
        <w:rPr>
          <w:rStyle w:val="19"/>
          <w:rFonts w:ascii="Times New Roman" w:hAnsi="Times New Roman" w:eastAsia="黑体" w:cs="Times New Roman"/>
          <w:sz w:val="32"/>
          <w:szCs w:val="32"/>
        </w:rPr>
        <w:t>第二节 强化竞争执法力度</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_Toc67319063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"_Toc67319064" </w:instrText>
      </w:r>
      <w:r>
        <w:fldChar w:fldCharType="separate"/>
      </w:r>
      <w:r>
        <w:rPr>
          <w:rStyle w:val="19"/>
          <w:rFonts w:ascii="Times New Roman" w:hAnsi="Times New Roman" w:eastAsia="黑体" w:cs="Times New Roman"/>
          <w:sz w:val="32"/>
          <w:szCs w:val="32"/>
        </w:rPr>
        <w:t>第三节</w:t>
      </w:r>
      <w:r>
        <w:rPr>
          <w:rStyle w:val="19"/>
          <w:rFonts w:hint="default" w:eastAsia="黑体" w:cs="Times New Roman"/>
          <w:sz w:val="32"/>
          <w:szCs w:val="32"/>
          <w:lang w:val="en"/>
        </w:rPr>
        <w:t xml:space="preserve"> </w:t>
      </w:r>
      <w:r>
        <w:rPr>
          <w:rStyle w:val="19"/>
          <w:rFonts w:ascii="Times New Roman" w:hAnsi="Times New Roman" w:eastAsia="黑体" w:cs="Times New Roman"/>
          <w:sz w:val="32"/>
          <w:szCs w:val="32"/>
        </w:rPr>
        <w:t>完善价格监管机制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_Toc67319064 \h </w:instrText>
      </w:r>
      <w:r>
        <w:rPr>
          <w:rFonts w:ascii="Times New Roman" w:hAnsi="Times New Roman" w:cs="Times New Roman"/>
          <w:sz w:val="32"/>
          <w:szCs w:val="32"/>
        </w:rPr>
        <w:fldChar w:fldCharType="separate"/>
      </w:r>
      <w:r>
        <w:rPr>
          <w:rFonts w:ascii="Times New Roman" w:hAnsi="Times New Roman" w:cs="Times New Roman"/>
          <w:sz w:val="32"/>
          <w:szCs w:val="32"/>
        </w:rPr>
        <w:t>27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"_Toc67319065" </w:instrText>
      </w:r>
      <w:r>
        <w:fldChar w:fldCharType="separate"/>
      </w:r>
      <w:r>
        <w:rPr>
          <w:rStyle w:val="19"/>
          <w:rFonts w:ascii="Times New Roman" w:hAnsi="Times New Roman" w:eastAsia="黑体" w:cs="Times New Roman"/>
          <w:sz w:val="32"/>
          <w:szCs w:val="32"/>
        </w:rPr>
        <w:t>第五章 优化市场治理体系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_Toc67319065 \h </w:instrText>
      </w:r>
      <w:r>
        <w:rPr>
          <w:rFonts w:ascii="Times New Roman" w:hAnsi="Times New Roman" w:cs="Times New Roman"/>
          <w:sz w:val="32"/>
          <w:szCs w:val="32"/>
        </w:rPr>
        <w:fldChar w:fldCharType="separate"/>
      </w:r>
      <w:r>
        <w:rPr>
          <w:rFonts w:ascii="Times New Roman" w:hAnsi="Times New Roman" w:cs="Times New Roman"/>
          <w:sz w:val="32"/>
          <w:szCs w:val="32"/>
        </w:rPr>
        <w:t>28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"_Toc67319066" </w:instrText>
      </w:r>
      <w:r>
        <w:fldChar w:fldCharType="separate"/>
      </w:r>
      <w:r>
        <w:rPr>
          <w:rStyle w:val="19"/>
          <w:rFonts w:ascii="Times New Roman" w:hAnsi="Times New Roman" w:eastAsia="黑体" w:cs="Times New Roman"/>
          <w:sz w:val="32"/>
          <w:szCs w:val="32"/>
        </w:rPr>
        <w:t>第一节 推动形成协同监管体系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_Toc67319066 \h </w:instrText>
      </w:r>
      <w:r>
        <w:rPr>
          <w:rFonts w:ascii="Times New Roman" w:hAnsi="Times New Roman" w:cs="Times New Roman"/>
          <w:sz w:val="32"/>
          <w:szCs w:val="32"/>
        </w:rPr>
        <w:fldChar w:fldCharType="separate"/>
      </w:r>
      <w:r>
        <w:rPr>
          <w:rFonts w:ascii="Times New Roman" w:hAnsi="Times New Roman" w:cs="Times New Roman"/>
          <w:sz w:val="32"/>
          <w:szCs w:val="32"/>
        </w:rPr>
        <w:t>28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"_Toc67319067" </w:instrText>
      </w:r>
      <w:r>
        <w:fldChar w:fldCharType="separate"/>
      </w:r>
      <w:r>
        <w:rPr>
          <w:rStyle w:val="19"/>
          <w:rFonts w:ascii="Times New Roman" w:hAnsi="Times New Roman" w:eastAsia="黑体" w:cs="Times New Roman"/>
          <w:sz w:val="32"/>
          <w:szCs w:val="32"/>
        </w:rPr>
        <w:t>第二节 加强消费者权益保护</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_Toc67319067 \h </w:instrText>
      </w:r>
      <w:r>
        <w:rPr>
          <w:rFonts w:ascii="Times New Roman" w:hAnsi="Times New Roman" w:cs="Times New Roman"/>
          <w:sz w:val="32"/>
          <w:szCs w:val="32"/>
        </w:rPr>
        <w:fldChar w:fldCharType="separate"/>
      </w:r>
      <w:r>
        <w:rPr>
          <w:rFonts w:ascii="Times New Roman" w:hAnsi="Times New Roman" w:cs="Times New Roman"/>
          <w:sz w:val="32"/>
          <w:szCs w:val="32"/>
        </w:rPr>
        <w:t>30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"_Toc67319068" </w:instrText>
      </w:r>
      <w:r>
        <w:fldChar w:fldCharType="separate"/>
      </w:r>
      <w:r>
        <w:rPr>
          <w:rStyle w:val="19"/>
          <w:rFonts w:ascii="Times New Roman" w:hAnsi="Times New Roman" w:eastAsia="黑体" w:cs="Times New Roman"/>
          <w:sz w:val="32"/>
          <w:szCs w:val="32"/>
        </w:rPr>
        <w:t>第三节 构建以信用为基础的新型市场监管机制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_Toc67319068 \h </w:instrText>
      </w:r>
      <w:r>
        <w:rPr>
          <w:rFonts w:ascii="Times New Roman" w:hAnsi="Times New Roman" w:cs="Times New Roman"/>
          <w:sz w:val="32"/>
          <w:szCs w:val="32"/>
        </w:rPr>
        <w:fldChar w:fldCharType="separate"/>
      </w:r>
      <w:r>
        <w:rPr>
          <w:rFonts w:ascii="Times New Roman" w:hAnsi="Times New Roman" w:cs="Times New Roman"/>
          <w:sz w:val="32"/>
          <w:szCs w:val="32"/>
        </w:rPr>
        <w:t>32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"_Toc67319069" </w:instrText>
      </w:r>
      <w:r>
        <w:fldChar w:fldCharType="separate"/>
      </w:r>
      <w:r>
        <w:rPr>
          <w:rStyle w:val="19"/>
          <w:rFonts w:ascii="Times New Roman" w:hAnsi="Times New Roman" w:eastAsia="黑体" w:cs="Times New Roman"/>
          <w:sz w:val="32"/>
          <w:szCs w:val="32"/>
        </w:rPr>
        <w:t>第六章 强化安全应急体系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_Toc67319069 \h </w:instrText>
      </w:r>
      <w:r>
        <w:rPr>
          <w:rFonts w:ascii="Times New Roman" w:hAnsi="Times New Roman" w:cs="Times New Roman"/>
          <w:sz w:val="32"/>
          <w:szCs w:val="32"/>
        </w:rPr>
        <w:fldChar w:fldCharType="separate"/>
      </w:r>
      <w:r>
        <w:rPr>
          <w:rFonts w:ascii="Times New Roman" w:hAnsi="Times New Roman" w:cs="Times New Roman"/>
          <w:sz w:val="32"/>
          <w:szCs w:val="32"/>
        </w:rPr>
        <w:t>34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"_Toc67319070" </w:instrText>
      </w:r>
      <w:r>
        <w:fldChar w:fldCharType="separate"/>
      </w:r>
      <w:r>
        <w:rPr>
          <w:rStyle w:val="19"/>
          <w:rFonts w:ascii="Times New Roman" w:hAnsi="Times New Roman" w:eastAsia="黑体" w:cs="Times New Roman"/>
          <w:sz w:val="32"/>
          <w:szCs w:val="32"/>
        </w:rPr>
        <w:t>第一节 强化产品质量安全监管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_Toc67319070 \h </w:instrText>
      </w:r>
      <w:r>
        <w:rPr>
          <w:rFonts w:ascii="Times New Roman" w:hAnsi="Times New Roman" w:cs="Times New Roman"/>
          <w:sz w:val="32"/>
          <w:szCs w:val="32"/>
        </w:rPr>
        <w:fldChar w:fldCharType="separate"/>
      </w:r>
      <w:r>
        <w:rPr>
          <w:rFonts w:ascii="Times New Roman" w:hAnsi="Times New Roman" w:cs="Times New Roman"/>
          <w:sz w:val="32"/>
          <w:szCs w:val="32"/>
        </w:rPr>
        <w:t>34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"_Toc67319071" </w:instrText>
      </w:r>
      <w:r>
        <w:fldChar w:fldCharType="separate"/>
      </w:r>
      <w:r>
        <w:rPr>
          <w:rStyle w:val="19"/>
          <w:rFonts w:ascii="Times New Roman" w:hAnsi="Times New Roman" w:eastAsia="黑体" w:cs="Times New Roman"/>
          <w:sz w:val="32"/>
          <w:szCs w:val="32"/>
        </w:rPr>
        <w:t>第二节 加强特种设备安全监管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_Toc67319071 \h </w:instrText>
      </w:r>
      <w:r>
        <w:rPr>
          <w:rFonts w:ascii="Times New Roman" w:hAnsi="Times New Roman" w:cs="Times New Roman"/>
          <w:sz w:val="32"/>
          <w:szCs w:val="32"/>
        </w:rPr>
        <w:fldChar w:fldCharType="separate"/>
      </w:r>
      <w:r>
        <w:rPr>
          <w:rFonts w:ascii="Times New Roman" w:hAnsi="Times New Roman" w:cs="Times New Roman"/>
          <w:sz w:val="32"/>
          <w:szCs w:val="32"/>
        </w:rPr>
        <w:t>35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"_Toc67319072" </w:instrText>
      </w:r>
      <w:r>
        <w:fldChar w:fldCharType="separate"/>
      </w:r>
      <w:r>
        <w:rPr>
          <w:rStyle w:val="19"/>
          <w:rFonts w:ascii="Times New Roman" w:hAnsi="Times New Roman" w:eastAsia="黑体" w:cs="Times New Roman"/>
          <w:sz w:val="32"/>
          <w:szCs w:val="32"/>
        </w:rPr>
        <w:t>第三节 强化全链条食品安全监管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_Toc67319072 \h </w:instrText>
      </w:r>
      <w:r>
        <w:rPr>
          <w:rFonts w:ascii="Times New Roman" w:hAnsi="Times New Roman" w:cs="Times New Roman"/>
          <w:sz w:val="32"/>
          <w:szCs w:val="32"/>
        </w:rPr>
        <w:fldChar w:fldCharType="separate"/>
      </w:r>
      <w:r>
        <w:rPr>
          <w:rFonts w:ascii="Times New Roman" w:hAnsi="Times New Roman" w:cs="Times New Roman"/>
          <w:sz w:val="32"/>
          <w:szCs w:val="32"/>
        </w:rPr>
        <w:t>36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"_Toc67319073" </w:instrText>
      </w:r>
      <w:r>
        <w:fldChar w:fldCharType="separate"/>
      </w:r>
      <w:r>
        <w:rPr>
          <w:rStyle w:val="19"/>
          <w:rFonts w:ascii="Times New Roman" w:hAnsi="Times New Roman" w:eastAsia="黑体" w:cs="Times New Roman"/>
          <w:sz w:val="32"/>
          <w:szCs w:val="32"/>
        </w:rPr>
        <w:t>第四节 加强药品化妆品医疗器械安全监管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_Toc67319073 \h </w:instrText>
      </w:r>
      <w:r>
        <w:rPr>
          <w:rFonts w:ascii="Times New Roman" w:hAnsi="Times New Roman" w:cs="Times New Roman"/>
          <w:sz w:val="32"/>
          <w:szCs w:val="32"/>
        </w:rPr>
        <w:fldChar w:fldCharType="separate"/>
      </w:r>
      <w:r>
        <w:rPr>
          <w:rFonts w:ascii="Times New Roman" w:hAnsi="Times New Roman" w:cs="Times New Roman"/>
          <w:sz w:val="32"/>
          <w:szCs w:val="32"/>
        </w:rPr>
        <w:t>38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"_Toc67319074" </w:instrText>
      </w:r>
      <w:r>
        <w:fldChar w:fldCharType="separate"/>
      </w:r>
      <w:r>
        <w:rPr>
          <w:rStyle w:val="19"/>
          <w:rFonts w:ascii="Times New Roman" w:hAnsi="Times New Roman" w:eastAsia="黑体" w:cs="Times New Roman"/>
          <w:sz w:val="32"/>
          <w:szCs w:val="32"/>
        </w:rPr>
        <w:t>第五节 建立风险预警处置和防控联动机制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_Toc67319074 \h </w:instrText>
      </w:r>
      <w:r>
        <w:rPr>
          <w:rFonts w:ascii="Times New Roman" w:hAnsi="Times New Roman" w:cs="Times New Roman"/>
          <w:sz w:val="32"/>
          <w:szCs w:val="32"/>
        </w:rPr>
        <w:fldChar w:fldCharType="separate"/>
      </w:r>
      <w:r>
        <w:rPr>
          <w:rFonts w:ascii="Times New Roman" w:hAnsi="Times New Roman" w:cs="Times New Roman"/>
          <w:sz w:val="32"/>
          <w:szCs w:val="32"/>
        </w:rPr>
        <w:t>40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"_Toc67319075" </w:instrText>
      </w:r>
      <w:r>
        <w:fldChar w:fldCharType="separate"/>
      </w:r>
      <w:r>
        <w:rPr>
          <w:rStyle w:val="19"/>
          <w:rFonts w:ascii="Times New Roman" w:hAnsi="Times New Roman" w:eastAsia="黑体" w:cs="Times New Roman"/>
          <w:sz w:val="32"/>
          <w:szCs w:val="32"/>
        </w:rPr>
        <w:t>第七章 提升质量发展体系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_Toc67319075 \h </w:instrText>
      </w:r>
      <w:r>
        <w:rPr>
          <w:rFonts w:ascii="Times New Roman" w:hAnsi="Times New Roman" w:cs="Times New Roman"/>
          <w:sz w:val="32"/>
          <w:szCs w:val="32"/>
        </w:rPr>
        <w:fldChar w:fldCharType="separate"/>
      </w:r>
      <w:r>
        <w:rPr>
          <w:rFonts w:ascii="Times New Roman" w:hAnsi="Times New Roman" w:cs="Times New Roman"/>
          <w:sz w:val="32"/>
          <w:szCs w:val="32"/>
        </w:rPr>
        <w:t>42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"_Toc67319076" </w:instrText>
      </w:r>
      <w:r>
        <w:fldChar w:fldCharType="separate"/>
      </w:r>
      <w:r>
        <w:rPr>
          <w:rStyle w:val="19"/>
          <w:rFonts w:ascii="Times New Roman" w:hAnsi="Times New Roman" w:eastAsia="黑体" w:cs="Times New Roman"/>
          <w:sz w:val="32"/>
          <w:szCs w:val="32"/>
        </w:rPr>
        <w:t>第一节 实施质量品牌提升工程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_Toc67319076 \h </w:instrText>
      </w:r>
      <w:r>
        <w:rPr>
          <w:rFonts w:ascii="Times New Roman" w:hAnsi="Times New Roman" w:cs="Times New Roman"/>
          <w:sz w:val="32"/>
          <w:szCs w:val="32"/>
        </w:rPr>
        <w:fldChar w:fldCharType="separate"/>
      </w:r>
      <w:r>
        <w:rPr>
          <w:rFonts w:ascii="Times New Roman" w:hAnsi="Times New Roman" w:cs="Times New Roman"/>
          <w:sz w:val="32"/>
          <w:szCs w:val="32"/>
        </w:rPr>
        <w:t>42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"_Toc67319077" </w:instrText>
      </w:r>
      <w:r>
        <w:fldChar w:fldCharType="separate"/>
      </w:r>
      <w:r>
        <w:rPr>
          <w:rStyle w:val="19"/>
          <w:rFonts w:ascii="Times New Roman" w:hAnsi="Times New Roman" w:eastAsia="黑体" w:cs="Times New Roman"/>
          <w:sz w:val="32"/>
          <w:szCs w:val="32"/>
        </w:rPr>
        <w:t>第二节 推进质量诚信体系建设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_Toc67319077 \h </w:instrText>
      </w:r>
      <w:r>
        <w:rPr>
          <w:rFonts w:ascii="Times New Roman" w:hAnsi="Times New Roman" w:cs="Times New Roman"/>
          <w:sz w:val="32"/>
          <w:szCs w:val="32"/>
        </w:rPr>
        <w:fldChar w:fldCharType="separate"/>
      </w:r>
      <w:r>
        <w:rPr>
          <w:rFonts w:ascii="Times New Roman" w:hAnsi="Times New Roman" w:cs="Times New Roman"/>
          <w:sz w:val="32"/>
          <w:szCs w:val="32"/>
        </w:rPr>
        <w:t>43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"_Toc67319078" </w:instrText>
      </w:r>
      <w:r>
        <w:fldChar w:fldCharType="separate"/>
      </w:r>
      <w:r>
        <w:rPr>
          <w:rStyle w:val="19"/>
          <w:rFonts w:ascii="Times New Roman" w:hAnsi="Times New Roman" w:eastAsia="黑体" w:cs="Times New Roman"/>
          <w:sz w:val="32"/>
          <w:szCs w:val="32"/>
        </w:rPr>
        <w:t>第三节 发挥标准引领作用</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_Toc67319078 \h </w:instrText>
      </w:r>
      <w:r>
        <w:rPr>
          <w:rFonts w:ascii="Times New Roman" w:hAnsi="Times New Roman" w:cs="Times New Roman"/>
          <w:sz w:val="32"/>
          <w:szCs w:val="32"/>
        </w:rPr>
        <w:fldChar w:fldCharType="separate"/>
      </w:r>
      <w:r>
        <w:rPr>
          <w:rFonts w:ascii="Times New Roman" w:hAnsi="Times New Roman" w:cs="Times New Roman"/>
          <w:sz w:val="32"/>
          <w:szCs w:val="32"/>
        </w:rPr>
        <w:t>43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"_Toc67319079" </w:instrText>
      </w:r>
      <w:r>
        <w:fldChar w:fldCharType="separate"/>
      </w:r>
      <w:r>
        <w:rPr>
          <w:rStyle w:val="19"/>
          <w:rFonts w:ascii="Times New Roman" w:hAnsi="Times New Roman" w:eastAsia="黑体" w:cs="Times New Roman"/>
          <w:sz w:val="32"/>
          <w:szCs w:val="32"/>
        </w:rPr>
        <w:t>第四节 加强质量管理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_Toc67319079 \h </w:instrText>
      </w:r>
      <w:r>
        <w:rPr>
          <w:rFonts w:ascii="Times New Roman" w:hAnsi="Times New Roman" w:cs="Times New Roman"/>
          <w:sz w:val="32"/>
          <w:szCs w:val="32"/>
        </w:rPr>
        <w:fldChar w:fldCharType="separate"/>
      </w:r>
      <w:r>
        <w:rPr>
          <w:rFonts w:ascii="Times New Roman" w:hAnsi="Times New Roman" w:cs="Times New Roman"/>
          <w:sz w:val="32"/>
          <w:szCs w:val="32"/>
        </w:rPr>
        <w:t>45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"_Toc67319080" </w:instrText>
      </w:r>
      <w:r>
        <w:fldChar w:fldCharType="separate"/>
      </w:r>
      <w:r>
        <w:rPr>
          <w:rStyle w:val="19"/>
          <w:rFonts w:ascii="Times New Roman" w:hAnsi="Times New Roman" w:eastAsia="黑体" w:cs="Times New Roman"/>
          <w:sz w:val="32"/>
          <w:szCs w:val="32"/>
        </w:rPr>
        <w:t>第八章 加强知识产权体系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_Toc67319080 \h </w:instrText>
      </w:r>
      <w:r>
        <w:rPr>
          <w:rFonts w:ascii="Times New Roman" w:hAnsi="Times New Roman" w:cs="Times New Roman"/>
          <w:sz w:val="32"/>
          <w:szCs w:val="32"/>
        </w:rPr>
        <w:fldChar w:fldCharType="separate"/>
      </w:r>
      <w:r>
        <w:rPr>
          <w:rFonts w:ascii="Times New Roman" w:hAnsi="Times New Roman" w:cs="Times New Roman"/>
          <w:sz w:val="32"/>
          <w:szCs w:val="32"/>
        </w:rPr>
        <w:t>46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"_Toc67319081" </w:instrText>
      </w:r>
      <w:r>
        <w:fldChar w:fldCharType="separate"/>
      </w:r>
      <w:r>
        <w:rPr>
          <w:rStyle w:val="19"/>
          <w:rFonts w:ascii="Times New Roman" w:hAnsi="Times New Roman" w:eastAsia="黑体" w:cs="Times New Roman"/>
          <w:sz w:val="32"/>
          <w:szCs w:val="32"/>
        </w:rPr>
        <w:t>第一节 加强知识产权保护</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_Toc67319081 \h </w:instrText>
      </w:r>
      <w:r>
        <w:rPr>
          <w:rFonts w:ascii="Times New Roman" w:hAnsi="Times New Roman" w:cs="Times New Roman"/>
          <w:sz w:val="32"/>
          <w:szCs w:val="32"/>
        </w:rPr>
        <w:fldChar w:fldCharType="separate"/>
      </w:r>
      <w:r>
        <w:rPr>
          <w:rFonts w:ascii="Times New Roman" w:hAnsi="Times New Roman" w:cs="Times New Roman"/>
          <w:sz w:val="32"/>
          <w:szCs w:val="32"/>
        </w:rPr>
        <w:t>46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"_Toc67319082" </w:instrText>
      </w:r>
      <w:r>
        <w:fldChar w:fldCharType="separate"/>
      </w:r>
      <w:r>
        <w:rPr>
          <w:rStyle w:val="19"/>
          <w:rFonts w:ascii="Times New Roman" w:hAnsi="Times New Roman" w:eastAsia="黑体" w:cs="Times New Roman"/>
          <w:sz w:val="32"/>
          <w:szCs w:val="32"/>
        </w:rPr>
        <w:t>第二节 促进知识产权运用和培育</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_Toc67319082 \h </w:instrText>
      </w:r>
      <w:r>
        <w:rPr>
          <w:rFonts w:ascii="Times New Roman" w:hAnsi="Times New Roman" w:cs="Times New Roman"/>
          <w:sz w:val="32"/>
          <w:szCs w:val="32"/>
        </w:rPr>
        <w:fldChar w:fldCharType="separate"/>
      </w:r>
      <w:r>
        <w:rPr>
          <w:rFonts w:ascii="Times New Roman" w:hAnsi="Times New Roman" w:cs="Times New Roman"/>
          <w:sz w:val="32"/>
          <w:szCs w:val="32"/>
        </w:rPr>
        <w:t>47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"_Toc67319083" </w:instrText>
      </w:r>
      <w:r>
        <w:fldChar w:fldCharType="separate"/>
      </w:r>
      <w:r>
        <w:rPr>
          <w:rStyle w:val="19"/>
          <w:rFonts w:ascii="Times New Roman" w:hAnsi="Times New Roman" w:eastAsia="黑体" w:cs="Times New Roman"/>
          <w:sz w:val="32"/>
          <w:szCs w:val="32"/>
        </w:rPr>
        <w:t>第三节 优化知识产权发展环境</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_Toc67319083 \h </w:instrText>
      </w:r>
      <w:r>
        <w:rPr>
          <w:rFonts w:ascii="Times New Roman" w:hAnsi="Times New Roman" w:cs="Times New Roman"/>
          <w:sz w:val="32"/>
          <w:szCs w:val="32"/>
        </w:rPr>
        <w:fldChar w:fldCharType="separate"/>
      </w:r>
      <w:r>
        <w:rPr>
          <w:rFonts w:ascii="Times New Roman" w:hAnsi="Times New Roman" w:cs="Times New Roman"/>
          <w:sz w:val="32"/>
          <w:szCs w:val="32"/>
        </w:rPr>
        <w:t>47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"_Toc67319084" </w:instrText>
      </w:r>
      <w:r>
        <w:fldChar w:fldCharType="separate"/>
      </w:r>
      <w:r>
        <w:rPr>
          <w:rStyle w:val="19"/>
          <w:rFonts w:ascii="Times New Roman" w:hAnsi="Times New Roman" w:eastAsia="黑体" w:cs="Times New Roman"/>
          <w:bCs/>
          <w:kern w:val="44"/>
          <w:sz w:val="32"/>
          <w:szCs w:val="32"/>
        </w:rPr>
        <w:t>第九章 健全市场监管体制机制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_Toc67319084 \h </w:instrText>
      </w:r>
      <w:r>
        <w:rPr>
          <w:rFonts w:ascii="Times New Roman" w:hAnsi="Times New Roman" w:cs="Times New Roman"/>
          <w:sz w:val="32"/>
          <w:szCs w:val="32"/>
        </w:rPr>
        <w:fldChar w:fldCharType="separate"/>
      </w:r>
      <w:r>
        <w:rPr>
          <w:rFonts w:ascii="Times New Roman" w:hAnsi="Times New Roman" w:cs="Times New Roman"/>
          <w:sz w:val="32"/>
          <w:szCs w:val="32"/>
        </w:rPr>
        <w:t>48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"_Toc67319085" </w:instrText>
      </w:r>
      <w:r>
        <w:fldChar w:fldCharType="separate"/>
      </w:r>
      <w:r>
        <w:rPr>
          <w:rStyle w:val="19"/>
          <w:rFonts w:ascii="Times New Roman" w:hAnsi="Times New Roman" w:eastAsia="黑体" w:cs="Times New Roman"/>
          <w:bCs/>
          <w:sz w:val="32"/>
          <w:szCs w:val="32"/>
        </w:rPr>
        <w:t>第一节 推动市场监管共建共治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_Toc67319085 \h </w:instrText>
      </w:r>
      <w:r>
        <w:rPr>
          <w:rFonts w:ascii="Times New Roman" w:hAnsi="Times New Roman" w:cs="Times New Roman"/>
          <w:sz w:val="32"/>
          <w:szCs w:val="32"/>
        </w:rPr>
        <w:fldChar w:fldCharType="separate"/>
      </w:r>
      <w:r>
        <w:rPr>
          <w:rFonts w:ascii="Times New Roman" w:hAnsi="Times New Roman" w:cs="Times New Roman"/>
          <w:sz w:val="32"/>
          <w:szCs w:val="32"/>
        </w:rPr>
        <w:t>48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"_Toc67319086" </w:instrText>
      </w:r>
      <w:r>
        <w:fldChar w:fldCharType="separate"/>
      </w:r>
      <w:r>
        <w:rPr>
          <w:rStyle w:val="19"/>
          <w:rFonts w:ascii="Times New Roman" w:hAnsi="Times New Roman" w:eastAsia="黑体" w:cs="Times New Roman"/>
          <w:bCs/>
          <w:sz w:val="32"/>
          <w:szCs w:val="32"/>
        </w:rPr>
        <w:t>第二节 推进大湾区市场监管合作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_Toc67319086 \h </w:instrText>
      </w:r>
      <w:r>
        <w:rPr>
          <w:rFonts w:ascii="Times New Roman" w:hAnsi="Times New Roman" w:cs="Times New Roman"/>
          <w:sz w:val="32"/>
          <w:szCs w:val="32"/>
        </w:rPr>
        <w:fldChar w:fldCharType="separate"/>
      </w:r>
      <w:r>
        <w:rPr>
          <w:rFonts w:ascii="Times New Roman" w:hAnsi="Times New Roman" w:cs="Times New Roman"/>
          <w:sz w:val="32"/>
          <w:szCs w:val="32"/>
        </w:rPr>
        <w:t>49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"_Toc67319087" </w:instrText>
      </w:r>
      <w:r>
        <w:fldChar w:fldCharType="separate"/>
      </w:r>
      <w:r>
        <w:rPr>
          <w:rStyle w:val="19"/>
          <w:rFonts w:ascii="Times New Roman" w:hAnsi="Times New Roman" w:eastAsia="黑体" w:cs="Times New Roman"/>
          <w:bCs/>
          <w:kern w:val="44"/>
          <w:sz w:val="32"/>
          <w:szCs w:val="32"/>
        </w:rPr>
        <w:t>第十章 加强市场监管条件建设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_Toc67319087 \h </w:instrText>
      </w:r>
      <w:r>
        <w:rPr>
          <w:rFonts w:ascii="Times New Roman" w:hAnsi="Times New Roman" w:cs="Times New Roman"/>
          <w:sz w:val="32"/>
          <w:szCs w:val="32"/>
        </w:rPr>
        <w:fldChar w:fldCharType="separate"/>
      </w:r>
      <w:r>
        <w:rPr>
          <w:rFonts w:ascii="Times New Roman" w:hAnsi="Times New Roman" w:cs="Times New Roman"/>
          <w:sz w:val="32"/>
          <w:szCs w:val="32"/>
        </w:rPr>
        <w:t>50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"_Toc67319088" </w:instrText>
      </w:r>
      <w:r>
        <w:fldChar w:fldCharType="separate"/>
      </w:r>
      <w:r>
        <w:rPr>
          <w:rStyle w:val="19"/>
          <w:rFonts w:ascii="Times New Roman" w:hAnsi="Times New Roman" w:eastAsia="黑体" w:cs="Times New Roman"/>
          <w:bCs/>
          <w:sz w:val="32"/>
          <w:szCs w:val="32"/>
        </w:rPr>
        <w:t>第一节 强化现代监管人才队伍建设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_Toc67319088 \h </w:instrText>
      </w:r>
      <w:r>
        <w:rPr>
          <w:rFonts w:ascii="Times New Roman" w:hAnsi="Times New Roman" w:cs="Times New Roman"/>
          <w:sz w:val="32"/>
          <w:szCs w:val="32"/>
        </w:rPr>
        <w:fldChar w:fldCharType="separate"/>
      </w:r>
      <w:r>
        <w:rPr>
          <w:rFonts w:ascii="Times New Roman" w:hAnsi="Times New Roman" w:cs="Times New Roman"/>
          <w:sz w:val="32"/>
          <w:szCs w:val="32"/>
        </w:rPr>
        <w:t>50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"_Toc67319089" </w:instrText>
      </w:r>
      <w:r>
        <w:fldChar w:fldCharType="separate"/>
      </w:r>
      <w:r>
        <w:rPr>
          <w:rStyle w:val="19"/>
          <w:rFonts w:ascii="Times New Roman" w:hAnsi="Times New Roman" w:eastAsia="黑体" w:cs="Times New Roman"/>
          <w:bCs/>
          <w:sz w:val="32"/>
          <w:szCs w:val="32"/>
        </w:rPr>
        <w:t>第二节 加强数据库和技术支撑平台建设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_Toc67319089 \h </w:instrText>
      </w:r>
      <w:r>
        <w:rPr>
          <w:rFonts w:ascii="Times New Roman" w:hAnsi="Times New Roman" w:cs="Times New Roman"/>
          <w:sz w:val="32"/>
          <w:szCs w:val="32"/>
        </w:rPr>
        <w:fldChar w:fldCharType="separate"/>
      </w:r>
      <w:r>
        <w:rPr>
          <w:rFonts w:ascii="Times New Roman" w:hAnsi="Times New Roman" w:cs="Times New Roman"/>
          <w:sz w:val="32"/>
          <w:szCs w:val="32"/>
        </w:rPr>
        <w:t>51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"_Toc67319090" </w:instrText>
      </w:r>
      <w:r>
        <w:fldChar w:fldCharType="separate"/>
      </w:r>
      <w:r>
        <w:rPr>
          <w:rStyle w:val="19"/>
          <w:rFonts w:ascii="Times New Roman" w:hAnsi="Times New Roman" w:eastAsia="黑体" w:cs="Times New Roman"/>
          <w:bCs/>
          <w:sz w:val="32"/>
          <w:szCs w:val="32"/>
        </w:rPr>
        <w:t>第三节 推进智慧监管条件建设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_Toc67319090 \h </w:instrText>
      </w:r>
      <w:r>
        <w:rPr>
          <w:rFonts w:ascii="Times New Roman" w:hAnsi="Times New Roman" w:cs="Times New Roman"/>
          <w:sz w:val="32"/>
          <w:szCs w:val="32"/>
        </w:rPr>
        <w:fldChar w:fldCharType="separate"/>
      </w:r>
      <w:r>
        <w:rPr>
          <w:rFonts w:ascii="Times New Roman" w:hAnsi="Times New Roman" w:cs="Times New Roman"/>
          <w:sz w:val="32"/>
          <w:szCs w:val="32"/>
        </w:rPr>
        <w:t>52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0"/>
        <w:tabs>
          <w:tab w:val="right" w:leader="dot" w:pos="8296"/>
        </w:tabs>
        <w:rPr>
          <w:rFonts w:ascii="Times New Roman" w:hAnsi="Times New Roman" w:cs="Times New Roman"/>
          <w:sz w:val="32"/>
          <w:szCs w:val="32"/>
        </w:rPr>
      </w:pPr>
      <w:r>
        <w:fldChar w:fldCharType="begin"/>
      </w:r>
      <w:r>
        <w:instrText xml:space="preserve"> HYPERLINK \l "_Toc67319091" </w:instrText>
      </w:r>
      <w:r>
        <w:fldChar w:fldCharType="separate"/>
      </w:r>
      <w:r>
        <w:rPr>
          <w:rStyle w:val="19"/>
          <w:rFonts w:ascii="Times New Roman" w:hAnsi="Times New Roman" w:eastAsia="黑体" w:cs="Times New Roman"/>
          <w:sz w:val="32"/>
          <w:szCs w:val="32"/>
        </w:rPr>
        <w:t>第十一章 保障措施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_Toc67319091 \h </w:instrText>
      </w:r>
      <w:r>
        <w:rPr>
          <w:rFonts w:ascii="Times New Roman" w:hAnsi="Times New Roman" w:cs="Times New Roman"/>
          <w:sz w:val="32"/>
          <w:szCs w:val="32"/>
        </w:rPr>
        <w:fldChar w:fldCharType="separate"/>
      </w:r>
      <w:r>
        <w:rPr>
          <w:rFonts w:ascii="Times New Roman" w:hAnsi="Times New Roman" w:cs="Times New Roman"/>
          <w:sz w:val="32"/>
          <w:szCs w:val="32"/>
        </w:rPr>
        <w:t>53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"_Toc67319092" </w:instrText>
      </w:r>
      <w:r>
        <w:fldChar w:fldCharType="separate"/>
      </w:r>
      <w:r>
        <w:rPr>
          <w:rStyle w:val="19"/>
          <w:rFonts w:ascii="Times New Roman" w:hAnsi="Times New Roman" w:eastAsia="黑体" w:cs="Times New Roman"/>
          <w:sz w:val="32"/>
          <w:szCs w:val="32"/>
        </w:rPr>
        <w:t>第一节 加强组织领导</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_Toc67319092 \h </w:instrText>
      </w:r>
      <w:r>
        <w:rPr>
          <w:rFonts w:ascii="Times New Roman" w:hAnsi="Times New Roman" w:cs="Times New Roman"/>
          <w:sz w:val="32"/>
          <w:szCs w:val="32"/>
        </w:rPr>
        <w:fldChar w:fldCharType="separate"/>
      </w:r>
      <w:r>
        <w:rPr>
          <w:rFonts w:ascii="Times New Roman" w:hAnsi="Times New Roman" w:cs="Times New Roman"/>
          <w:sz w:val="32"/>
          <w:szCs w:val="32"/>
        </w:rPr>
        <w:t>53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"_Toc67319093" </w:instrText>
      </w:r>
      <w:r>
        <w:fldChar w:fldCharType="separate"/>
      </w:r>
      <w:r>
        <w:rPr>
          <w:rStyle w:val="19"/>
          <w:rFonts w:ascii="Times New Roman" w:hAnsi="Times New Roman" w:eastAsia="黑体" w:cs="Times New Roman"/>
          <w:sz w:val="32"/>
          <w:szCs w:val="32"/>
        </w:rPr>
        <w:t>第二节 健全机制保障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_Toc67319093 \h </w:instrText>
      </w:r>
      <w:r>
        <w:rPr>
          <w:rFonts w:ascii="Times New Roman" w:hAnsi="Times New Roman" w:cs="Times New Roman"/>
          <w:sz w:val="32"/>
          <w:szCs w:val="32"/>
        </w:rPr>
        <w:fldChar w:fldCharType="separate"/>
      </w:r>
      <w:r>
        <w:rPr>
          <w:rFonts w:ascii="Times New Roman" w:hAnsi="Times New Roman" w:cs="Times New Roman"/>
          <w:sz w:val="32"/>
          <w:szCs w:val="32"/>
        </w:rPr>
        <w:t>54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"_Toc67319094" </w:instrText>
      </w:r>
      <w:r>
        <w:fldChar w:fldCharType="separate"/>
      </w:r>
      <w:r>
        <w:rPr>
          <w:rStyle w:val="19"/>
          <w:rFonts w:ascii="Times New Roman" w:hAnsi="Times New Roman" w:eastAsia="黑体" w:cs="Times New Roman"/>
          <w:sz w:val="32"/>
          <w:szCs w:val="32"/>
        </w:rPr>
        <w:t>第三节 强化考核监督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_Toc67319094 \h </w:instrText>
      </w:r>
      <w:r>
        <w:rPr>
          <w:rFonts w:ascii="Times New Roman" w:hAnsi="Times New Roman" w:cs="Times New Roman"/>
          <w:sz w:val="32"/>
          <w:szCs w:val="32"/>
        </w:rPr>
        <w:fldChar w:fldCharType="separate"/>
      </w:r>
      <w:r>
        <w:rPr>
          <w:rFonts w:ascii="Times New Roman" w:hAnsi="Times New Roman" w:cs="Times New Roman"/>
          <w:sz w:val="32"/>
          <w:szCs w:val="32"/>
        </w:rPr>
        <w:t>54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1"/>
        <w:tabs>
          <w:tab w:val="right" w:leader="dot" w:pos="8296"/>
        </w:tabs>
        <w:rPr>
          <w:rFonts w:ascii="Times New Roman" w:hAnsi="Times New Roman" w:cs="Times New Roman"/>
          <w:sz w:val="32"/>
          <w:szCs w:val="32"/>
        </w:rPr>
      </w:pPr>
      <w:r>
        <w:fldChar w:fldCharType="begin"/>
      </w:r>
      <w:r>
        <w:instrText xml:space="preserve"> HYPERLINK \l "_Toc67319095" </w:instrText>
      </w:r>
      <w:r>
        <w:fldChar w:fldCharType="separate"/>
      </w:r>
      <w:r>
        <w:rPr>
          <w:rStyle w:val="19"/>
          <w:rFonts w:ascii="Times New Roman" w:hAnsi="Times New Roman" w:eastAsia="黑体" w:cs="Times New Roman"/>
          <w:sz w:val="32"/>
          <w:szCs w:val="32"/>
        </w:rPr>
        <w:t>第四节 加大社会宣传</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_Toc67319095 \h </w:instrText>
      </w:r>
      <w:r>
        <w:rPr>
          <w:rFonts w:ascii="Times New Roman" w:hAnsi="Times New Roman" w:cs="Times New Roman"/>
          <w:sz w:val="32"/>
          <w:szCs w:val="32"/>
        </w:rPr>
        <w:fldChar w:fldCharType="separate"/>
      </w:r>
      <w:r>
        <w:rPr>
          <w:rFonts w:ascii="Times New Roman" w:hAnsi="Times New Roman" w:cs="Times New Roman"/>
          <w:sz w:val="32"/>
          <w:szCs w:val="32"/>
        </w:rPr>
        <w:t>54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156" w:beforeLines="50" w:line="760" w:lineRule="exact"/>
        <w:jc w:val="center"/>
        <w:textAlignment w:val="auto"/>
        <w:rPr>
          <w:rFonts w:hint="eastAsia" w:ascii="方正小标宋简体" w:hAnsi="方正小标宋简体" w:eastAsia="方正小标宋简体" w:cs="方正小标宋简体"/>
          <w:sz w:val="44"/>
          <w:szCs w:val="44"/>
        </w:rPr>
      </w:pPr>
      <w:r>
        <w:rPr>
          <w:rFonts w:ascii="Times New Roman" w:hAnsi="Times New Roman" w:eastAsia="仿宋_GB2312" w:cs="Times New Roman"/>
          <w:bCs/>
          <w:sz w:val="32"/>
          <w:szCs w:val="32"/>
        </w:rPr>
        <w:fldChar w:fldCharType="end"/>
      </w:r>
      <w:r>
        <w:rPr>
          <w:rFonts w:ascii="仿宋_GB2312" w:hAnsi="仿宋_GB2312" w:eastAsia="仿宋_GB2312" w:cs="仿宋_GB2312"/>
          <w:bCs/>
          <w:sz w:val="32"/>
          <w:szCs w:val="32"/>
        </w:rPr>
        <w:br w:type="page"/>
      </w:r>
      <w:bookmarkStart w:id="3" w:name="_Toc67319048"/>
      <w:r>
        <w:rPr>
          <w:rFonts w:hint="eastAsia" w:ascii="方正小标宋简体" w:hAnsi="方正小标宋简体" w:eastAsia="方正小标宋简体" w:cs="方正小标宋简体"/>
          <w:sz w:val="44"/>
          <w:szCs w:val="44"/>
        </w:rPr>
        <w:t>前</w:t>
      </w:r>
      <w:r>
        <w:rPr>
          <w:rFonts w:hint="eastAsia" w:ascii="方正小标宋简体" w:hAnsi="方正小标宋简体" w:eastAsia="方正小标宋简体" w:cs="方正小标宋简体"/>
          <w:sz w:val="44"/>
          <w:szCs w:val="44"/>
          <w:lang w:val="en"/>
        </w:rPr>
        <w:t xml:space="preserve">  </w:t>
      </w:r>
      <w:r>
        <w:rPr>
          <w:rFonts w:hint="eastAsia" w:ascii="方正小标宋简体" w:hAnsi="方正小标宋简体" w:eastAsia="方正小标宋简体" w:cs="方正小标宋简体"/>
          <w:sz w:val="44"/>
          <w:szCs w:val="44"/>
        </w:rPr>
        <w:t>言</w:t>
      </w:r>
      <w:bookmarkEnd w:id="3"/>
    </w:p>
    <w:p>
      <w:pPr>
        <w:rPr>
          <w:rFonts w:hint="eastAsia"/>
        </w:rPr>
      </w:pPr>
    </w:p>
    <w:p>
      <w:pPr>
        <w:ind w:firstLine="316" w:firstLineChars="100"/>
      </w:pPr>
      <w:r>
        <w:rPr>
          <w:rFonts w:hint="eastAsia"/>
          <w:lang w:eastAsia="zh-CN"/>
        </w:rPr>
        <w:t>“</w:t>
      </w:r>
      <w:r>
        <w:rPr>
          <w:rFonts w:hint="eastAsia"/>
        </w:rPr>
        <w:t>十四五</w:t>
      </w:r>
      <w:r>
        <w:rPr>
          <w:rFonts w:hint="eastAsia"/>
          <w:lang w:eastAsia="zh-CN"/>
        </w:rPr>
        <w:t>”</w:t>
      </w:r>
      <w:r>
        <w:rPr>
          <w:rFonts w:hint="eastAsia"/>
        </w:rPr>
        <w:t>时期，是我国由全面建成小康社会向基本实现社会主义现代化迈进的关键时期，是推动市场监管从传统监管走向现代监管的关键时期。从化区市场监管机构改革在</w:t>
      </w:r>
      <w:r>
        <w:rPr>
          <w:rFonts w:hint="eastAsia"/>
          <w:lang w:eastAsia="zh-CN"/>
        </w:rPr>
        <w:t>“</w:t>
      </w:r>
      <w:r>
        <w:rPr>
          <w:rFonts w:hint="eastAsia"/>
        </w:rPr>
        <w:t>十三五</w:t>
      </w:r>
      <w:r>
        <w:rPr>
          <w:rFonts w:hint="eastAsia"/>
          <w:lang w:eastAsia="zh-CN"/>
        </w:rPr>
        <w:t>”</w:t>
      </w:r>
      <w:r>
        <w:rPr>
          <w:rFonts w:hint="eastAsia"/>
        </w:rPr>
        <w:t>末期基本完成，商事制度改革稳步推进，市场竞争环境更趋规范，市场消费环境持续优化。为深入贯彻党的十九大和十九届三中、四中、五中全会精神，全面落实市委、市政府关于市场监管体系建设的总体部署，编制本规划以营造公平、开放、竞争、有序的市场环境，服务从化区社会经济发展大局。规划实施年限为</w:t>
      </w:r>
      <w:r>
        <w:rPr>
          <w:rFonts w:hint="default"/>
        </w:rPr>
        <w:t>2021年—2025年。本规划是未来五年从化区市场监管工作的纲领</w:t>
      </w:r>
      <w:r>
        <w:rPr>
          <w:rFonts w:hint="eastAsia"/>
        </w:rPr>
        <w:t>性文件。</w:t>
      </w:r>
    </w:p>
    <w:p>
      <w:pPr>
        <w:spacing w:line="578" w:lineRule="exact"/>
        <w:jc w:val="left"/>
        <w:rPr>
          <w:rFonts w:ascii="仿宋_GB2312" w:hAnsi="仿宋" w:eastAsia="仿宋_GB2312" w:cs="仿宋"/>
          <w:b/>
          <w:bCs/>
          <w:sz w:val="32"/>
          <w:szCs w:val="32"/>
        </w:rPr>
      </w:pPr>
    </w:p>
    <w:p/>
    <w:p/>
    <w:p>
      <w:pPr>
        <w:pStyle w:val="20"/>
        <w:rPr>
          <w:rFonts w:ascii="仿宋_GB2312" w:hAnsi="Times New Roman" w:eastAsia="仿宋_GB2312" w:cs="Times New Roman"/>
          <w:b w:val="0"/>
          <w:sz w:val="36"/>
          <w:szCs w:val="32"/>
        </w:rPr>
      </w:pPr>
    </w:p>
    <w:p>
      <w:pPr>
        <w:pStyle w:val="20"/>
        <w:rPr>
          <w:rFonts w:ascii="仿宋_GB2312" w:hAnsi="Times New Roman" w:eastAsia="仿宋_GB2312" w:cs="Times New Roman"/>
          <w:b w:val="0"/>
          <w:sz w:val="36"/>
          <w:szCs w:val="32"/>
        </w:rPr>
      </w:pPr>
    </w:p>
    <w:p>
      <w:pPr>
        <w:pStyle w:val="20"/>
        <w:rPr>
          <w:rFonts w:ascii="仿宋_GB2312" w:hAnsi="Times New Roman" w:eastAsia="仿宋_GB2312" w:cs="Times New Roman"/>
          <w:b w:val="0"/>
          <w:sz w:val="36"/>
          <w:szCs w:val="32"/>
        </w:rPr>
      </w:pPr>
    </w:p>
    <w:p>
      <w:pPr>
        <w:pStyle w:val="20"/>
        <w:rPr>
          <w:rFonts w:ascii="仿宋_GB2312" w:hAnsi="Times New Roman" w:eastAsia="仿宋_GB2312" w:cs="Times New Roman"/>
          <w:b w:val="0"/>
          <w:sz w:val="36"/>
          <w:szCs w:val="32"/>
        </w:rPr>
      </w:pPr>
    </w:p>
    <w:p>
      <w:pPr>
        <w:pStyle w:val="20"/>
        <w:rPr>
          <w:rFonts w:ascii="仿宋_GB2312" w:hAnsi="Times New Roman" w:eastAsia="仿宋_GB2312" w:cs="Times New Roman"/>
          <w:b w:val="0"/>
          <w:sz w:val="36"/>
          <w:szCs w:val="32"/>
        </w:rPr>
      </w:pPr>
    </w:p>
    <w:p>
      <w:pPr>
        <w:pStyle w:val="20"/>
        <w:rPr>
          <w:rFonts w:ascii="仿宋_GB2312" w:hAnsi="Times New Roman" w:eastAsia="仿宋_GB2312" w:cs="Times New Roman"/>
          <w:b w:val="0"/>
          <w:sz w:val="36"/>
          <w:szCs w:val="32"/>
        </w:rPr>
      </w:pPr>
    </w:p>
    <w:p>
      <w:pPr>
        <w:jc w:val="center"/>
        <w:rPr>
          <w:rFonts w:hint="eastAsia" w:ascii="黑体" w:hAnsi="黑体" w:eastAsia="黑体" w:cs="黑体"/>
        </w:rPr>
      </w:pPr>
      <w:bookmarkStart w:id="4" w:name="_Toc67319049"/>
      <w:r>
        <w:rPr>
          <w:rFonts w:hint="eastAsia" w:ascii="黑体" w:hAnsi="黑体" w:eastAsia="黑体" w:cs="黑体"/>
        </w:rPr>
        <w:t>第一章 现状与形势</w:t>
      </w:r>
      <w:bookmarkEnd w:id="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_GB2312" w:hAnsi="仿宋" w:eastAsia="仿宋_GB2312" w:cs="仿宋"/>
          <w:sz w:val="32"/>
          <w:szCs w:val="32"/>
        </w:rPr>
      </w:pPr>
      <w:r>
        <w:rPr>
          <w:rFonts w:hint="eastAsia" w:ascii="仿宋_GB2312" w:hAnsi="仿宋" w:cs="仿宋"/>
          <w:sz w:val="32"/>
          <w:szCs w:val="32"/>
          <w:lang w:eastAsia="zh-CN"/>
        </w:rPr>
        <w:t>“</w:t>
      </w:r>
      <w:r>
        <w:rPr>
          <w:rFonts w:hint="eastAsia" w:ascii="仿宋_GB2312" w:hAnsi="仿宋" w:eastAsia="仿宋_GB2312" w:cs="仿宋"/>
          <w:sz w:val="32"/>
          <w:szCs w:val="32"/>
        </w:rPr>
        <w:t>十三五</w:t>
      </w:r>
      <w:r>
        <w:rPr>
          <w:rFonts w:hint="eastAsia" w:ascii="仿宋_GB2312" w:hAnsi="仿宋" w:cs="仿宋"/>
          <w:sz w:val="32"/>
          <w:szCs w:val="32"/>
          <w:lang w:eastAsia="zh-CN"/>
        </w:rPr>
        <w:t>”</w:t>
      </w:r>
      <w:r>
        <w:rPr>
          <w:rFonts w:hint="eastAsia" w:ascii="仿宋_GB2312" w:hAnsi="仿宋" w:eastAsia="仿宋_GB2312" w:cs="仿宋"/>
          <w:sz w:val="32"/>
          <w:szCs w:val="32"/>
        </w:rPr>
        <w:t>时期特别是党的十九大以来，从化区大力推进市场监管体制机制改革，全面加强事中事后监管，在营造环境、深化改革、规范市场、法治建设等方面取得了显著成效。</w:t>
      </w:r>
      <w:r>
        <w:rPr>
          <w:rFonts w:hint="eastAsia" w:ascii="仿宋_GB2312" w:hAnsi="仿宋" w:cs="仿宋"/>
          <w:sz w:val="32"/>
          <w:szCs w:val="32"/>
          <w:lang w:eastAsia="zh-CN"/>
        </w:rPr>
        <w:t>“</w:t>
      </w:r>
      <w:r>
        <w:rPr>
          <w:rFonts w:hint="eastAsia" w:ascii="仿宋_GB2312" w:hAnsi="仿宋" w:eastAsia="仿宋_GB2312" w:cs="仿宋"/>
          <w:sz w:val="32"/>
          <w:szCs w:val="32"/>
        </w:rPr>
        <w:t>十四五</w:t>
      </w:r>
      <w:r>
        <w:rPr>
          <w:rFonts w:hint="eastAsia" w:ascii="仿宋_GB2312" w:hAnsi="仿宋" w:cs="仿宋"/>
          <w:sz w:val="32"/>
          <w:szCs w:val="32"/>
          <w:lang w:eastAsia="zh-CN"/>
        </w:rPr>
        <w:t>”</w:t>
      </w:r>
      <w:r>
        <w:rPr>
          <w:rFonts w:hint="eastAsia" w:ascii="仿宋_GB2312" w:hAnsi="仿宋" w:eastAsia="仿宋_GB2312" w:cs="仿宋"/>
          <w:sz w:val="32"/>
          <w:szCs w:val="32"/>
        </w:rPr>
        <w:t>时期从化区要抢抓</w:t>
      </w:r>
      <w:r>
        <w:rPr>
          <w:rFonts w:hint="eastAsia" w:ascii="仿宋_GB2312" w:hAnsi="仿宋" w:cs="仿宋"/>
          <w:sz w:val="32"/>
          <w:szCs w:val="32"/>
          <w:lang w:eastAsia="zh-CN"/>
        </w:rPr>
        <w:t>“</w:t>
      </w:r>
      <w:r>
        <w:rPr>
          <w:rFonts w:hint="eastAsia" w:ascii="仿宋_GB2312" w:hAnsi="仿宋" w:eastAsia="仿宋_GB2312" w:cs="仿宋"/>
          <w:sz w:val="32"/>
          <w:szCs w:val="32"/>
        </w:rPr>
        <w:t>双区建设，双城联动</w:t>
      </w:r>
      <w:r>
        <w:rPr>
          <w:rFonts w:hint="eastAsia" w:ascii="仿宋_GB2312" w:hAnsi="仿宋" w:cs="仿宋"/>
          <w:sz w:val="32"/>
          <w:szCs w:val="32"/>
          <w:lang w:eastAsia="zh-CN"/>
        </w:rPr>
        <w:t>”</w:t>
      </w:r>
      <w:r>
        <w:rPr>
          <w:rFonts w:hint="eastAsia" w:ascii="仿宋_GB2312" w:hAnsi="仿宋" w:eastAsia="仿宋_GB2312" w:cs="仿宋"/>
          <w:sz w:val="32"/>
          <w:szCs w:val="32"/>
        </w:rPr>
        <w:t>战略机遇，加快促进现代市场监管体系建设，进一步推动市场监管工作迈上新台阶。</w:t>
      </w:r>
    </w:p>
    <w:p>
      <w:pPr>
        <w:jc w:val="center"/>
        <w:rPr>
          <w:rFonts w:hint="eastAsia" w:ascii="楷体_GB2312" w:hAnsi="楷体_GB2312" w:eastAsia="楷体_GB2312" w:cs="楷体_GB2312"/>
          <w:b w:val="0"/>
        </w:rPr>
      </w:pPr>
      <w:bookmarkStart w:id="5" w:name="_Toc67319050"/>
      <w:r>
        <w:rPr>
          <w:rFonts w:hint="eastAsia" w:ascii="楷体_GB2312" w:hAnsi="楷体_GB2312" w:eastAsia="楷体_GB2312" w:cs="楷体_GB2312"/>
          <w:b w:val="0"/>
        </w:rPr>
        <w:t>第一节 发展现状</w:t>
      </w:r>
      <w:bookmarkEnd w:id="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 w:cs="Times New Roman"/>
          <w:b/>
          <w:bCs/>
          <w:sz w:val="32"/>
          <w:szCs w:val="32"/>
        </w:rPr>
      </w:pPr>
      <w:r>
        <w:rPr>
          <w:rFonts w:hint="default" w:ascii="Times New Roman" w:hAnsi="Times New Roman" w:eastAsia="楷体_GB2312" w:cs="Times New Roman"/>
          <w:b/>
          <w:bCs/>
          <w:sz w:val="32"/>
          <w:szCs w:val="32"/>
        </w:rPr>
        <w:t>市场监管体制改革扎实推进。</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十三五</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期间，</w:t>
      </w: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shd w:val="clear" w:color="auto" w:fill="FFFFFF"/>
        </w:rPr>
        <w:t>从化区</w:t>
      </w:r>
      <w:r>
        <w:rPr>
          <w:rFonts w:hint="default" w:ascii="Times New Roman" w:hAnsi="Times New Roman" w:eastAsia="仿宋_GB2312" w:cs="Times New Roman"/>
          <w:sz w:val="32"/>
          <w:szCs w:val="32"/>
        </w:rPr>
        <w:t>市场监督管理局（简称区市场监管局）深入学习贯彻习近平总书记关于深化党和国家机构改革的重要论述，按照中央和省委、广州市委的部署要求，</w:t>
      </w:r>
      <w:r>
        <w:rPr>
          <w:rFonts w:hint="default" w:ascii="Times New Roman" w:hAnsi="Times New Roman" w:eastAsia="仿宋_GB2312" w:cs="Times New Roman"/>
          <w:sz w:val="32"/>
          <w:szCs w:val="32"/>
          <w:shd w:val="clear" w:color="auto" w:fill="FFFFFF"/>
        </w:rPr>
        <w:t>在区委、区政府的正确领导下，</w:t>
      </w:r>
      <w:r>
        <w:rPr>
          <w:rFonts w:hint="default" w:ascii="Times New Roman" w:hAnsi="Times New Roman" w:eastAsia="仿宋_GB2312" w:cs="Times New Roman"/>
          <w:sz w:val="32"/>
          <w:szCs w:val="32"/>
        </w:rPr>
        <w:t>根据《广州市从化区机构改革方案》，区市场监管局（区知识产权局）于2019年3月22日挂牌成立。区市场监管局整合原区市场和质量监督管理局（区工商行政管理局、区质量技术监督局）、区食品药品监督管理局的职责，以及区科技工业商务和信息化局（区知识产权局）的专利管理职责，区发展和改革局的价格监督检查与反垄断执法职责等，加挂区知识产权局牌子。机构改革以来，干部队伍精神面貌焕然一新，实现了思想不乱、工作不断、队伍不散、干劲不减，全局上下形成了讲政治、顾大局、守纪律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楷体_GB2312" w:cs="Times New Roman"/>
          <w:b/>
          <w:bCs/>
          <w:sz w:val="32"/>
          <w:szCs w:val="32"/>
        </w:rPr>
        <w:t>商事制度改革持续深化。</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十三五</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期间，</w:t>
      </w:r>
      <w:r>
        <w:rPr>
          <w:rFonts w:hint="default" w:ascii="Times New Roman" w:hAnsi="Times New Roman" w:eastAsia="仿宋_GB2312" w:cs="Times New Roman"/>
          <w:sz w:val="32"/>
          <w:szCs w:val="32"/>
        </w:rPr>
        <w:t>区市场监管局</w:t>
      </w:r>
      <w:r>
        <w:rPr>
          <w:rFonts w:hint="default" w:ascii="Times New Roman" w:hAnsi="Times New Roman" w:eastAsia="仿宋_GB2312" w:cs="Times New Roman"/>
          <w:sz w:val="32"/>
          <w:szCs w:val="32"/>
          <w:shd w:val="clear" w:color="auto" w:fill="FFFFFF"/>
        </w:rPr>
        <w:t>紧扣</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放管服</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改革主线，积极落实国家、市级商事登记制度改革，全面推行以</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人工智能＋机器人</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全程电子化商事登记制、</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证照分离</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微信办照</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一门一窗</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等为主要内容的商事制度改革，全面放宽准入条件，促进市场主体快速增长。以</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减证</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推动</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减政</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，进一步降低企业制度性交易成本，激发市场活力与内生动力，民间创业热情持续高涨，投资活力明显增强。截至2020年12月31日，全区市场主体达到44775户，注册资本总额达1180.97亿元。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公平竞争环境不断优化。</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十三五</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期间，</w:t>
      </w:r>
      <w:r>
        <w:rPr>
          <w:rFonts w:hint="default" w:ascii="Times New Roman" w:hAnsi="Times New Roman" w:eastAsia="仿宋_GB2312" w:cs="Times New Roman"/>
          <w:sz w:val="32"/>
          <w:szCs w:val="32"/>
        </w:rPr>
        <w:t>区市场监管局</w:t>
      </w:r>
      <w:r>
        <w:rPr>
          <w:rFonts w:hint="default" w:ascii="Times New Roman" w:hAnsi="Times New Roman" w:eastAsia="仿宋_GB2312" w:cs="Times New Roman"/>
          <w:sz w:val="32"/>
          <w:szCs w:val="32"/>
          <w:shd w:val="clear" w:color="auto" w:fill="FFFFFF"/>
        </w:rPr>
        <w:t>重点加强网络市场、广告行业、集贸市场等重点领域监管，</w:t>
      </w:r>
      <w:r>
        <w:rPr>
          <w:rFonts w:hint="default" w:ascii="Times New Roman" w:hAnsi="Times New Roman" w:eastAsia="仿宋_GB2312" w:cs="Times New Roman"/>
          <w:sz w:val="32"/>
          <w:szCs w:val="32"/>
        </w:rPr>
        <w:t>围绕扫黑除恶、打击传销、打击制售假冒伪劣、无照整治、民生计量、</w:t>
      </w:r>
      <w:r>
        <w:rPr>
          <w:rFonts w:hint="default" w:ascii="Times New Roman" w:hAnsi="Times New Roman" w:eastAsia="仿宋_GB2312" w:cs="Times New Roman"/>
          <w:sz w:val="32"/>
          <w:szCs w:val="32"/>
          <w:shd w:val="clear" w:color="auto" w:fill="FFFFFF"/>
        </w:rPr>
        <w:t>价格收费</w:t>
      </w:r>
      <w:r>
        <w:rPr>
          <w:rFonts w:hint="default" w:ascii="Times New Roman" w:hAnsi="Times New Roman" w:eastAsia="仿宋_GB2312" w:cs="Times New Roman"/>
          <w:sz w:val="32"/>
          <w:szCs w:val="32"/>
          <w:shd w:val="clear" w:color="auto" w:fill="FFFFFF"/>
          <w:lang w:eastAsia="zh-CN"/>
        </w:rPr>
        <w:t>等</w:t>
      </w:r>
      <w:r>
        <w:rPr>
          <w:rFonts w:hint="default" w:ascii="Times New Roman" w:hAnsi="Times New Roman" w:eastAsia="仿宋_GB2312" w:cs="Times New Roman"/>
          <w:sz w:val="32"/>
          <w:szCs w:val="32"/>
          <w:shd w:val="clear" w:color="auto" w:fill="FFFFFF"/>
        </w:rPr>
        <w:t>热点行业</w:t>
      </w:r>
      <w:r>
        <w:rPr>
          <w:rFonts w:hint="default" w:ascii="Times New Roman" w:hAnsi="Times New Roman" w:eastAsia="仿宋_GB2312" w:cs="Times New Roman"/>
          <w:sz w:val="32"/>
          <w:szCs w:val="32"/>
        </w:rPr>
        <w:t>开展专项领域整治。为明确我区公平竞争审查工作部门间职责，制定《从化区公平竞争审查工作部门间联席会议制度》，建立联合会议制度及联系机制，协调解决公平竞争审查工作中的重大问题。促进了我区营造竞争公平有序、企业优胜劣汰良好营商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安全监管效能明显提升。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十三五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期间，区市场监管局切实加强市场安全监管，全区市场监管领域没有发生重特大安全事故和区域性、系统性、源发性事件。在食品安全监管上，实施食品生产经营全过程监管，有效规范食品生产经营行为。实现对学校及校园周边食品安全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常态化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，扎实推进餐饮服务单位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明厨亮灶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建设工作，全区学校（含托幼机构）食堂、中央厨房等</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明厨亮灶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建设实现100%全覆盖。在药品、化妆品监管上，开展覆盖辖区全部药品、化妆品企业的生产、经营、使用全链条大检查。集中开展疫苗质量安全、麻精药品、药品类易制毒化学品、洗手液类化妆品、有机溶剂原料化妆品等专项整治行动。在特种设备安全监管上，开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两站</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治理、涉危化品特种设备、重点监控特种设备、公众聚集场所电梯等专项整治行动，推进特种设备规范化管理。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市场监管执法高效有力。</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十三五</w:t>
      </w:r>
      <w:r>
        <w:rPr>
          <w:rFonts w:hint="eastAsia"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期间，</w:t>
      </w:r>
      <w:r>
        <w:rPr>
          <w:rFonts w:hint="default" w:ascii="Times New Roman" w:hAnsi="Times New Roman" w:eastAsia="仿宋_GB2312" w:cs="Times New Roman"/>
          <w:sz w:val="32"/>
          <w:szCs w:val="32"/>
        </w:rPr>
        <w:t>区市场监管局以信用监管为核心，促进各部门强化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事中事后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监管。为充分发挥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执法模式优势，印发《从化区全面推行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工作实施方案》，明确各部门任务内容，监管职责和工作要求，全区抽查工作规范化水平不断提升。同时，加强涉企信息归集共享和失信联合惩戒。十三五期间共将39063户次市场主体列入经营异常名录（标记异常状态），5467户次市场主体移出经营异常名录（消除异常状态），133户列入严重违法失信企业名单。部分企业因被列入经营异常名录导致在信用贷款、工程招投标、政府采购等方面受到限制或禁入，失信联合惩戒作用初步凸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品牌战略逐步强化。</w:t>
      </w:r>
      <w:r>
        <w:rPr>
          <w:rFonts w:hint="default" w:ascii="Times New Roman" w:hAnsi="Times New Roman" w:cs="Times New Roman"/>
          <w:sz w:val="32"/>
          <w:szCs w:val="32"/>
          <w:lang w:val="en"/>
        </w:rPr>
        <w:t>"</w:t>
      </w:r>
      <w:r>
        <w:rPr>
          <w:rFonts w:hint="default" w:ascii="Times New Roman" w:hAnsi="Times New Roman" w:eastAsia="仿宋_GB2312" w:cs="Times New Roman"/>
          <w:sz w:val="32"/>
          <w:szCs w:val="32"/>
        </w:rPr>
        <w:t>十三五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期间，区市场监管局贯彻落实区委、区政府实施质量强区的意见，聚焦推动</w:t>
      </w:r>
      <w:r>
        <w:rPr>
          <w:rFonts w:hint="default" w:ascii="Times New Roman" w:hAnsi="Times New Roman" w:eastAsia="仿宋" w:cs="Times New Roman"/>
          <w:sz w:val="32"/>
          <w:szCs w:val="32"/>
        </w:rPr>
        <w:t>髙</w:t>
      </w:r>
      <w:r>
        <w:rPr>
          <w:rFonts w:hint="default" w:ascii="Times New Roman" w:hAnsi="Times New Roman" w:eastAsia="仿宋_GB2312" w:cs="Times New Roman"/>
          <w:sz w:val="32"/>
          <w:szCs w:val="32"/>
        </w:rPr>
        <w:t>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一是知识产权创造提质增效。十三五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期间，从化区商标有效注册量从201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年12月5918件增长到2020年12月13447件（详见下图）</w:t>
      </w:r>
    </w:p>
    <w:p>
      <w:pPr>
        <w:pStyle w:val="20"/>
        <w:rPr>
          <w:rFonts w:hint="default"/>
        </w:rPr>
      </w:pPr>
    </w:p>
    <w:tbl>
      <w:tblPr>
        <w:tblStyle w:val="14"/>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1845"/>
        <w:gridCol w:w="16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时</w:t>
            </w:r>
            <w:r>
              <w:rPr>
                <w:rFonts w:hint="default" w:ascii="Times New Roman" w:hAnsi="Times New Roman" w:eastAsia="黑体" w:cs="Times New Roman"/>
                <w:sz w:val="28"/>
                <w:szCs w:val="28"/>
                <w:lang w:val="en"/>
              </w:rPr>
              <w:t xml:space="preserve">  </w:t>
            </w:r>
            <w:r>
              <w:rPr>
                <w:rFonts w:hint="default" w:ascii="Times New Roman" w:hAnsi="Times New Roman" w:eastAsia="黑体" w:cs="Times New Roman"/>
                <w:sz w:val="28"/>
                <w:szCs w:val="28"/>
              </w:rPr>
              <w:t>间</w:t>
            </w:r>
          </w:p>
        </w:tc>
        <w:tc>
          <w:tcPr>
            <w:tcW w:w="1845" w:type="dxa"/>
            <w:noWrap w:val="0"/>
            <w:vAlign w:val="top"/>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申请件数</w:t>
            </w:r>
          </w:p>
        </w:tc>
        <w:tc>
          <w:tcPr>
            <w:tcW w:w="1665" w:type="dxa"/>
            <w:noWrap w:val="0"/>
            <w:vAlign w:val="top"/>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注册件数</w:t>
            </w:r>
          </w:p>
        </w:tc>
        <w:tc>
          <w:tcPr>
            <w:tcW w:w="2535" w:type="dxa"/>
            <w:noWrap w:val="0"/>
            <w:vAlign w:val="top"/>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有效注册量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2016年12月15日</w:t>
            </w:r>
          </w:p>
        </w:tc>
        <w:tc>
          <w:tcPr>
            <w:tcW w:w="184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1180</w:t>
            </w:r>
          </w:p>
        </w:tc>
        <w:tc>
          <w:tcPr>
            <w:tcW w:w="166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1112</w:t>
            </w:r>
          </w:p>
        </w:tc>
        <w:tc>
          <w:tcPr>
            <w:tcW w:w="253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2017年12月15日</w:t>
            </w:r>
          </w:p>
        </w:tc>
        <w:tc>
          <w:tcPr>
            <w:tcW w:w="184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1814</w:t>
            </w:r>
          </w:p>
        </w:tc>
        <w:tc>
          <w:tcPr>
            <w:tcW w:w="166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948</w:t>
            </w:r>
          </w:p>
        </w:tc>
        <w:tc>
          <w:tcPr>
            <w:tcW w:w="253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2018年12月15日</w:t>
            </w:r>
          </w:p>
        </w:tc>
        <w:tc>
          <w:tcPr>
            <w:tcW w:w="184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2876</w:t>
            </w:r>
          </w:p>
        </w:tc>
        <w:tc>
          <w:tcPr>
            <w:tcW w:w="166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1584</w:t>
            </w:r>
          </w:p>
        </w:tc>
        <w:tc>
          <w:tcPr>
            <w:tcW w:w="253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2019年12月15日</w:t>
            </w:r>
          </w:p>
        </w:tc>
        <w:tc>
          <w:tcPr>
            <w:tcW w:w="184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3772</w:t>
            </w:r>
          </w:p>
        </w:tc>
        <w:tc>
          <w:tcPr>
            <w:tcW w:w="166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2550</w:t>
            </w:r>
          </w:p>
        </w:tc>
        <w:tc>
          <w:tcPr>
            <w:tcW w:w="253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1"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2020年12月15日</w:t>
            </w:r>
          </w:p>
        </w:tc>
        <w:tc>
          <w:tcPr>
            <w:tcW w:w="184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5164</w:t>
            </w:r>
          </w:p>
        </w:tc>
        <w:tc>
          <w:tcPr>
            <w:tcW w:w="166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2812</w:t>
            </w:r>
          </w:p>
        </w:tc>
        <w:tc>
          <w:tcPr>
            <w:tcW w:w="2535" w:type="dxa"/>
            <w:noWrap w:val="0"/>
            <w:vAlign w:val="top"/>
          </w:tcPr>
          <w:p>
            <w:pPr>
              <w:spacing w:line="578"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13447</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从化区</w:t>
      </w:r>
      <w:r>
        <w:rPr>
          <w:rFonts w:hint="default" w:ascii="Times New Roman" w:hAnsi="Times New Roman" w:eastAsia="仿宋_GB2312" w:cs="Times New Roman"/>
          <w:sz w:val="32"/>
          <w:szCs w:val="32"/>
          <w:lang w:val="en-US" w:eastAsia="zh-CN"/>
        </w:rPr>
        <w:t>每万人发明专利拥有量从2016年3.5件到2020年8.6件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从化区专利申请量增长迅速，发明专利比增在广州市各区中名列前茅。从201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1223</w:t>
      </w:r>
      <w:r>
        <w:rPr>
          <w:rFonts w:hint="default" w:ascii="Times New Roman" w:hAnsi="Times New Roman" w:eastAsia="仿宋_GB2312" w:cs="Times New Roman"/>
          <w:sz w:val="32"/>
          <w:szCs w:val="32"/>
        </w:rPr>
        <w:t>件增长到2020年3519件。专利授权从201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866</w:t>
      </w:r>
      <w:r>
        <w:rPr>
          <w:rFonts w:hint="default" w:ascii="Times New Roman" w:hAnsi="Times New Roman" w:eastAsia="仿宋_GB2312" w:cs="Times New Roman"/>
          <w:sz w:val="32"/>
          <w:szCs w:val="32"/>
        </w:rPr>
        <w:t>件增长到2020年的1288件（详见下图）。</w:t>
      </w:r>
    </w:p>
    <w:tbl>
      <w:tblPr>
        <w:tblStyle w:val="13"/>
        <w:tblW w:w="10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555"/>
        <w:gridCol w:w="547"/>
        <w:gridCol w:w="454"/>
        <w:gridCol w:w="679"/>
        <w:gridCol w:w="525"/>
        <w:gridCol w:w="510"/>
        <w:gridCol w:w="540"/>
        <w:gridCol w:w="645"/>
        <w:gridCol w:w="675"/>
        <w:gridCol w:w="454"/>
        <w:gridCol w:w="550"/>
        <w:gridCol w:w="495"/>
        <w:gridCol w:w="600"/>
        <w:gridCol w:w="559"/>
        <w:gridCol w:w="540"/>
        <w:gridCol w:w="495"/>
        <w:gridCol w:w="495"/>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p>
        </w:tc>
        <w:tc>
          <w:tcPr>
            <w:tcW w:w="5130"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专利申请</w:t>
            </w:r>
          </w:p>
        </w:tc>
        <w:tc>
          <w:tcPr>
            <w:tcW w:w="4724"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3"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年度</w:t>
            </w:r>
          </w:p>
        </w:tc>
        <w:tc>
          <w:tcPr>
            <w:tcW w:w="5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w:t>
            </w:r>
          </w:p>
        </w:tc>
        <w:tc>
          <w:tcPr>
            <w:tcW w:w="5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实用</w:t>
            </w:r>
            <w:r>
              <w:rPr>
                <w:rFonts w:hint="eastAsia" w:ascii="黑体" w:hAnsi="黑体" w:eastAsia="黑体" w:cs="黑体"/>
                <w:kern w:val="0"/>
                <w:sz w:val="24"/>
                <w:szCs w:val="24"/>
              </w:rPr>
              <w:br w:type="textWrapping"/>
            </w:r>
            <w:r>
              <w:rPr>
                <w:rFonts w:hint="eastAsia" w:ascii="黑体" w:hAnsi="黑体" w:eastAsia="黑体" w:cs="黑体"/>
                <w:kern w:val="0"/>
                <w:sz w:val="24"/>
                <w:szCs w:val="24"/>
              </w:rPr>
              <w:t>新型</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外观</w:t>
            </w:r>
            <w:r>
              <w:rPr>
                <w:rFonts w:hint="eastAsia" w:ascii="黑体" w:hAnsi="黑体" w:eastAsia="黑体" w:cs="黑体"/>
                <w:kern w:val="0"/>
                <w:sz w:val="24"/>
                <w:szCs w:val="24"/>
              </w:rPr>
              <w:br w:type="textWrapping"/>
            </w:r>
            <w:r>
              <w:rPr>
                <w:rFonts w:hint="eastAsia" w:ascii="黑体" w:hAnsi="黑体" w:eastAsia="黑体" w:cs="黑体"/>
                <w:kern w:val="0"/>
                <w:sz w:val="24"/>
                <w:szCs w:val="24"/>
              </w:rPr>
              <w:t>设计</w:t>
            </w:r>
          </w:p>
        </w:tc>
        <w:tc>
          <w:tcPr>
            <w:tcW w:w="6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合计</w:t>
            </w:r>
          </w:p>
        </w:tc>
        <w:tc>
          <w:tcPr>
            <w:tcW w:w="5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去年</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同期</w:t>
            </w:r>
          </w:p>
        </w:tc>
        <w:tc>
          <w:tcPr>
            <w:tcW w:w="5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比增(%)</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w:t>
            </w:r>
            <w:r>
              <w:rPr>
                <w:rFonts w:hint="eastAsia" w:ascii="黑体" w:hAnsi="黑体" w:eastAsia="黑体" w:cs="黑体"/>
                <w:kern w:val="0"/>
                <w:sz w:val="24"/>
                <w:szCs w:val="24"/>
              </w:rPr>
              <w:br w:type="textWrapping"/>
            </w:r>
            <w:r>
              <w:rPr>
                <w:rFonts w:hint="eastAsia" w:ascii="黑体" w:hAnsi="黑体" w:eastAsia="黑体" w:cs="黑体"/>
                <w:kern w:val="0"/>
                <w:sz w:val="24"/>
                <w:szCs w:val="24"/>
              </w:rPr>
              <w:t>比例(%)</w:t>
            </w:r>
          </w:p>
        </w:tc>
        <w:tc>
          <w:tcPr>
            <w:tcW w:w="6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去年同期发明</w:t>
            </w:r>
          </w:p>
        </w:tc>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发明比增(%)</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w:t>
            </w:r>
          </w:p>
        </w:tc>
        <w:tc>
          <w:tcPr>
            <w:tcW w:w="5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实用</w:t>
            </w:r>
            <w:r>
              <w:rPr>
                <w:rFonts w:hint="eastAsia" w:ascii="黑体" w:hAnsi="黑体" w:eastAsia="黑体" w:cs="黑体"/>
                <w:kern w:val="0"/>
                <w:sz w:val="24"/>
                <w:szCs w:val="24"/>
              </w:rPr>
              <w:br w:type="textWrapping"/>
            </w:r>
            <w:r>
              <w:rPr>
                <w:rFonts w:hint="eastAsia" w:ascii="黑体" w:hAnsi="黑体" w:eastAsia="黑体" w:cs="黑体"/>
                <w:kern w:val="0"/>
                <w:sz w:val="24"/>
                <w:szCs w:val="24"/>
              </w:rPr>
              <w:t>新型</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外观</w:t>
            </w:r>
            <w:r>
              <w:rPr>
                <w:rFonts w:hint="eastAsia" w:ascii="黑体" w:hAnsi="黑体" w:eastAsia="黑体" w:cs="黑体"/>
                <w:kern w:val="0"/>
                <w:sz w:val="24"/>
                <w:szCs w:val="24"/>
              </w:rPr>
              <w:br w:type="textWrapping"/>
            </w:r>
            <w:r>
              <w:rPr>
                <w:rFonts w:hint="eastAsia" w:ascii="黑体" w:hAnsi="黑体" w:eastAsia="黑体" w:cs="黑体"/>
                <w:kern w:val="0"/>
                <w:sz w:val="24"/>
                <w:szCs w:val="24"/>
              </w:rPr>
              <w:t>设计</w:t>
            </w:r>
          </w:p>
        </w:tc>
        <w:tc>
          <w:tcPr>
            <w:tcW w:w="6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合计</w:t>
            </w:r>
          </w:p>
        </w:tc>
        <w:tc>
          <w:tcPr>
            <w:tcW w:w="55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去年</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同期</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比增(%)</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w:t>
            </w:r>
            <w:r>
              <w:rPr>
                <w:rFonts w:hint="eastAsia" w:ascii="黑体" w:hAnsi="黑体" w:eastAsia="黑体" w:cs="黑体"/>
                <w:kern w:val="0"/>
                <w:sz w:val="24"/>
                <w:szCs w:val="24"/>
              </w:rPr>
              <w:br w:type="textWrapping"/>
            </w:r>
            <w:r>
              <w:rPr>
                <w:rFonts w:hint="eastAsia" w:ascii="黑体" w:hAnsi="黑体" w:eastAsia="黑体" w:cs="黑体"/>
                <w:kern w:val="0"/>
                <w:sz w:val="24"/>
                <w:szCs w:val="24"/>
              </w:rPr>
              <w:t>比例(%)</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去年同期发明</w:t>
            </w:r>
          </w:p>
        </w:tc>
        <w:tc>
          <w:tcPr>
            <w:tcW w:w="53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黑体" w:eastAsia="黑体" w:cs="黑体"/>
                <w:sz w:val="24"/>
                <w:szCs w:val="24"/>
              </w:rPr>
            </w:pPr>
            <w:r>
              <w:rPr>
                <w:rFonts w:hint="eastAsia" w:ascii="黑体" w:hAnsi="黑体" w:eastAsia="黑体" w:cs="黑体"/>
                <w:kern w:val="0"/>
                <w:sz w:val="24"/>
                <w:szCs w:val="24"/>
              </w:rPr>
              <w:t>发明比增(%)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2016</w:t>
            </w:r>
          </w:p>
        </w:tc>
        <w:tc>
          <w:tcPr>
            <w:tcW w:w="55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177</w:t>
            </w:r>
          </w:p>
        </w:tc>
        <w:tc>
          <w:tcPr>
            <w:tcW w:w="547"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695</w:t>
            </w:r>
          </w:p>
        </w:tc>
        <w:tc>
          <w:tcPr>
            <w:tcW w:w="454"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351</w:t>
            </w:r>
          </w:p>
        </w:tc>
        <w:tc>
          <w:tcPr>
            <w:tcW w:w="679"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1223</w:t>
            </w:r>
          </w:p>
        </w:tc>
        <w:tc>
          <w:tcPr>
            <w:tcW w:w="52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880</w:t>
            </w:r>
          </w:p>
        </w:tc>
        <w:tc>
          <w:tcPr>
            <w:tcW w:w="51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39.0</w:t>
            </w:r>
          </w:p>
        </w:tc>
        <w:tc>
          <w:tcPr>
            <w:tcW w:w="5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14.5</w:t>
            </w:r>
          </w:p>
        </w:tc>
        <w:tc>
          <w:tcPr>
            <w:tcW w:w="64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102</w:t>
            </w:r>
          </w:p>
        </w:tc>
        <w:tc>
          <w:tcPr>
            <w:tcW w:w="67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73.5</w:t>
            </w:r>
          </w:p>
        </w:tc>
        <w:tc>
          <w:tcPr>
            <w:tcW w:w="454"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c>
          <w:tcPr>
            <w:tcW w:w="55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534</w:t>
            </w:r>
          </w:p>
        </w:tc>
        <w:tc>
          <w:tcPr>
            <w:tcW w:w="49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288</w:t>
            </w:r>
          </w:p>
        </w:tc>
        <w:tc>
          <w:tcPr>
            <w:tcW w:w="60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866</w:t>
            </w:r>
          </w:p>
        </w:tc>
        <w:tc>
          <w:tcPr>
            <w:tcW w:w="559"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733</w:t>
            </w:r>
          </w:p>
        </w:tc>
        <w:tc>
          <w:tcPr>
            <w:tcW w:w="5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18.1</w:t>
            </w:r>
          </w:p>
        </w:tc>
        <w:tc>
          <w:tcPr>
            <w:tcW w:w="49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p>
        </w:tc>
        <w:tc>
          <w:tcPr>
            <w:tcW w:w="49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53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2017</w:t>
            </w:r>
          </w:p>
        </w:tc>
        <w:tc>
          <w:tcPr>
            <w:tcW w:w="5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182</w:t>
            </w:r>
          </w:p>
        </w:tc>
        <w:tc>
          <w:tcPr>
            <w:tcW w:w="5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691</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385</w:t>
            </w:r>
          </w:p>
        </w:tc>
        <w:tc>
          <w:tcPr>
            <w:tcW w:w="6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1258</w:t>
            </w:r>
          </w:p>
        </w:tc>
        <w:tc>
          <w:tcPr>
            <w:tcW w:w="5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1205</w:t>
            </w:r>
          </w:p>
        </w:tc>
        <w:tc>
          <w:tcPr>
            <w:tcW w:w="5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4.4</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14.5</w:t>
            </w:r>
          </w:p>
        </w:tc>
        <w:tc>
          <w:tcPr>
            <w:tcW w:w="6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168</w:t>
            </w:r>
          </w:p>
        </w:tc>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8.3</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51</w:t>
            </w:r>
          </w:p>
        </w:tc>
        <w:tc>
          <w:tcPr>
            <w:tcW w:w="5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440</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281</w:t>
            </w:r>
          </w:p>
        </w:tc>
        <w:tc>
          <w:tcPr>
            <w:tcW w:w="6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772</w:t>
            </w:r>
          </w:p>
        </w:tc>
        <w:tc>
          <w:tcPr>
            <w:tcW w:w="55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866</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-10.9</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6.6</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44</w:t>
            </w:r>
          </w:p>
        </w:tc>
        <w:tc>
          <w:tcPr>
            <w:tcW w:w="53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2018</w:t>
            </w:r>
          </w:p>
        </w:tc>
        <w:tc>
          <w:tcPr>
            <w:tcW w:w="5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321</w:t>
            </w:r>
          </w:p>
        </w:tc>
        <w:tc>
          <w:tcPr>
            <w:tcW w:w="5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1094</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473</w:t>
            </w:r>
          </w:p>
        </w:tc>
        <w:tc>
          <w:tcPr>
            <w:tcW w:w="6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1888</w:t>
            </w:r>
          </w:p>
        </w:tc>
        <w:tc>
          <w:tcPr>
            <w:tcW w:w="5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1258</w:t>
            </w:r>
          </w:p>
        </w:tc>
        <w:tc>
          <w:tcPr>
            <w:tcW w:w="5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50.1</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17.0</w:t>
            </w:r>
          </w:p>
        </w:tc>
        <w:tc>
          <w:tcPr>
            <w:tcW w:w="6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182</w:t>
            </w:r>
          </w:p>
        </w:tc>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76.4</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67</w:t>
            </w:r>
          </w:p>
        </w:tc>
        <w:tc>
          <w:tcPr>
            <w:tcW w:w="5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676</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430</w:t>
            </w:r>
          </w:p>
        </w:tc>
        <w:tc>
          <w:tcPr>
            <w:tcW w:w="6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1173</w:t>
            </w:r>
          </w:p>
        </w:tc>
        <w:tc>
          <w:tcPr>
            <w:tcW w:w="55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772</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51.9</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51</w:t>
            </w:r>
          </w:p>
        </w:tc>
        <w:tc>
          <w:tcPr>
            <w:tcW w:w="53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2019</w:t>
            </w:r>
          </w:p>
        </w:tc>
        <w:tc>
          <w:tcPr>
            <w:tcW w:w="5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367</w:t>
            </w:r>
          </w:p>
        </w:tc>
        <w:tc>
          <w:tcPr>
            <w:tcW w:w="5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1197</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471</w:t>
            </w:r>
          </w:p>
        </w:tc>
        <w:tc>
          <w:tcPr>
            <w:tcW w:w="6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2035</w:t>
            </w:r>
          </w:p>
        </w:tc>
        <w:tc>
          <w:tcPr>
            <w:tcW w:w="5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1888</w:t>
            </w:r>
          </w:p>
        </w:tc>
        <w:tc>
          <w:tcPr>
            <w:tcW w:w="5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7.8</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18.0</w:t>
            </w:r>
          </w:p>
        </w:tc>
        <w:tc>
          <w:tcPr>
            <w:tcW w:w="6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321</w:t>
            </w:r>
          </w:p>
        </w:tc>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14.3</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70</w:t>
            </w:r>
          </w:p>
        </w:tc>
        <w:tc>
          <w:tcPr>
            <w:tcW w:w="5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831</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387</w:t>
            </w:r>
          </w:p>
        </w:tc>
        <w:tc>
          <w:tcPr>
            <w:tcW w:w="6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1288</w:t>
            </w:r>
          </w:p>
        </w:tc>
        <w:tc>
          <w:tcPr>
            <w:tcW w:w="55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1173</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9.8</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5.4</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67</w:t>
            </w:r>
          </w:p>
        </w:tc>
        <w:tc>
          <w:tcPr>
            <w:tcW w:w="53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3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2020</w:t>
            </w:r>
          </w:p>
        </w:tc>
        <w:tc>
          <w:tcPr>
            <w:tcW w:w="5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472</w:t>
            </w:r>
          </w:p>
        </w:tc>
        <w:tc>
          <w:tcPr>
            <w:tcW w:w="5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2138</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909</w:t>
            </w:r>
          </w:p>
        </w:tc>
        <w:tc>
          <w:tcPr>
            <w:tcW w:w="6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3519</w:t>
            </w:r>
          </w:p>
        </w:tc>
        <w:tc>
          <w:tcPr>
            <w:tcW w:w="5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2035</w:t>
            </w:r>
          </w:p>
        </w:tc>
        <w:tc>
          <w:tcPr>
            <w:tcW w:w="5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72.9</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13.4</w:t>
            </w:r>
          </w:p>
        </w:tc>
        <w:tc>
          <w:tcPr>
            <w:tcW w:w="6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367</w:t>
            </w:r>
          </w:p>
        </w:tc>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28.6</w:t>
            </w:r>
          </w:p>
        </w:tc>
        <w:tc>
          <w:tcPr>
            <w:tcW w:w="4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106</w:t>
            </w:r>
          </w:p>
        </w:tc>
        <w:tc>
          <w:tcPr>
            <w:tcW w:w="5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1234</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690</w:t>
            </w:r>
          </w:p>
        </w:tc>
        <w:tc>
          <w:tcPr>
            <w:tcW w:w="6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2030</w:t>
            </w:r>
          </w:p>
        </w:tc>
        <w:tc>
          <w:tcPr>
            <w:tcW w:w="55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1288</w:t>
            </w:r>
          </w:p>
        </w:tc>
        <w:tc>
          <w:tcPr>
            <w:tcW w:w="5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57.6</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5.2</w:t>
            </w:r>
          </w:p>
        </w:tc>
        <w:tc>
          <w:tcPr>
            <w:tcW w:w="4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70</w:t>
            </w:r>
          </w:p>
        </w:tc>
        <w:tc>
          <w:tcPr>
            <w:tcW w:w="53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51.4</w:t>
            </w:r>
          </w:p>
        </w:tc>
      </w:tr>
    </w:tbl>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知识产权贯标企业效率较快，从2015年0家发展到2020年24家；</w:t>
      </w:r>
      <w:r>
        <w:rPr>
          <w:rFonts w:hint="default" w:ascii="Times New Roman" w:hAnsi="Times New Roman" w:eastAsia="仿宋_GB2312" w:cs="Times New Roman"/>
          <w:sz w:val="32"/>
          <w:szCs w:val="32"/>
          <w:lang w:val="en-US" w:eastAsia="zh-CN"/>
        </w:rPr>
        <w:t>专利质押融资贷款2016年和2017年均为零、2018年至2020年分别完成5660万元、25310万元、6650万元。</w:t>
      </w:r>
      <w:r>
        <w:rPr>
          <w:rFonts w:hint="default" w:ascii="Times New Roman" w:hAnsi="Times New Roman" w:eastAsia="仿宋_GB2312" w:cs="Times New Roman"/>
          <w:sz w:val="32"/>
          <w:szCs w:val="32"/>
        </w:rPr>
        <w:t>积极引导区内企业申报知识产权项目多次喜获各项资助，2016年至2020年共38家单位获806.79万元资金资助。</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rPr>
        <w:t>二是推进标准化示范点建设，成功申报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国家火龙果种植标准化示范区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广东省奶牛养殖标准化示范区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TW" w:eastAsia="zh-TW"/>
        </w:rPr>
        <w:t>推动莲麻特色小镇</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广州大丘有机农产有限公司2个项目入驻广东省标准馆宣传标准化工作成果</w:t>
      </w:r>
      <w:r>
        <w:rPr>
          <w:rFonts w:hint="default" w:ascii="Times New Roman" w:hAnsi="Times New Roman" w:eastAsia="仿宋_GB2312" w:cs="Times New Roman"/>
          <w:sz w:val="32"/>
          <w:szCs w:val="32"/>
          <w:lang w:val="zh-TW"/>
        </w:rPr>
        <w:t>。</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三是实施标准引领战略，鼓励企事业单位主导或参与国际、国家、行业标准研制，申报市标准化战略资金和开展农业类标准制修订项目，开展百城千业万企对标达标专项提升行动。</w:t>
      </w:r>
    </w:p>
    <w:p>
      <w:pPr>
        <w:pageBreakBefore w:val="0"/>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消费者权益维护力度加大。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十三五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期间，区市场监管局着力营造安全放心的消费环境。充分发挥消费维权服务站作用，形成覆盖城乡商场、超市、景区、市场、餐饮等行业的消费维权网络，抓好12315热线投诉办理，畅通线上线下消费投诉渠道。</w:t>
      </w:r>
      <w:r>
        <w:rPr>
          <w:rFonts w:hint="default" w:ascii="Times New Roman" w:hAnsi="Times New Roman" w:eastAsia="仿宋_GB2312" w:cs="Times New Roman"/>
          <w:bCs/>
          <w:sz w:val="32"/>
          <w:szCs w:val="32"/>
        </w:rPr>
        <w:t>建立我区消费者权益保护联席会议制度，全面对接全国</w:t>
      </w:r>
      <w:r>
        <w:rPr>
          <w:rFonts w:hint="default" w:ascii="Times New Roman" w:hAnsi="Times New Roman" w:eastAsia="仿宋_GB2312" w:cs="Times New Roman"/>
          <w:sz w:val="32"/>
          <w:szCs w:val="32"/>
        </w:rPr>
        <w:t>工商总局12315互联网平台，</w:t>
      </w:r>
      <w:r>
        <w:rPr>
          <w:rFonts w:hint="default" w:ascii="Times New Roman" w:hAnsi="Times New Roman" w:eastAsia="仿宋_GB2312" w:cs="Times New Roman"/>
          <w:bCs/>
          <w:sz w:val="32"/>
          <w:szCs w:val="32"/>
        </w:rPr>
        <w:t>依法受理处理消费者投诉举报，强化</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诉转案</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机制，严厉查处各类消费侵权案件。十三五期间共受理各类投诉举报15770宗，为消费者挽回经济损失1898.81万元。</w:t>
      </w:r>
    </w:p>
    <w:p>
      <w:pPr>
        <w:pageBreakBefore w:val="0"/>
        <w:kinsoku/>
        <w:wordWrap/>
        <w:overflowPunct/>
        <w:topLinePunct w:val="0"/>
        <w:bidi w:val="0"/>
        <w:spacing w:line="240" w:lineRule="auto"/>
        <w:jc w:val="center"/>
        <w:textAlignment w:val="auto"/>
        <w:rPr>
          <w:rFonts w:hint="default" w:ascii="Times New Roman" w:hAnsi="Times New Roman" w:eastAsia="楷体_GB2312" w:cs="Times New Roman"/>
          <w:b w:val="0"/>
        </w:rPr>
      </w:pPr>
      <w:bookmarkStart w:id="6" w:name="_Toc67319051"/>
      <w:r>
        <w:rPr>
          <w:rFonts w:hint="default" w:ascii="Times New Roman" w:hAnsi="Times New Roman" w:eastAsia="楷体_GB2312" w:cs="Times New Roman"/>
          <w:b w:val="0"/>
        </w:rPr>
        <w:t>第二节 面临形势</w:t>
      </w:r>
      <w:bookmarkEnd w:id="6"/>
    </w:p>
    <w:p>
      <w:pPr>
        <w:pageBreakBefore w:val="0"/>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时期，国际经济形势面临深刻变革，全球经济增长持续乏力，特别是新冠肺炎疫情在全球的迅速蔓延，经济全球化进入一个低潮期。我国经济实力、科技实力、综合国力跃上新的大台阶，经济运行总体平稳，但经济社会发展不平衡的矛盾仍未根本解决，加上疫情的冲击和中美贸易摩擦，当前和今后一个时期，我国发展面临风险挑战前所未有。面对复杂的国内外形势，要将外部压力转化为深化改革的强大动力，就需要将加强市场监管、发挥市场力量、优化营商环境和消费环境作为经济高质量发展的强大支撑。</w:t>
      </w:r>
    </w:p>
    <w:p>
      <w:pPr>
        <w:pageBreakBefore w:val="0"/>
        <w:kinsoku/>
        <w:wordWrap/>
        <w:overflowPunct/>
        <w:topLinePunct w:val="0"/>
        <w:bidi w:val="0"/>
        <w:spacing w:line="240" w:lineRule="auto"/>
        <w:ind w:firstLine="632"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1.面临机遇</w:t>
      </w:r>
    </w:p>
    <w:p>
      <w:pPr>
        <w:pageBreakBefore w:val="0"/>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从化区市场监管面临以下三大机遇：</w:t>
      </w:r>
    </w:p>
    <w:p>
      <w:pPr>
        <w:pageBreakBefore w:val="0"/>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一是中央政策指引为市场监管带来新机遇。</w:t>
      </w:r>
      <w:r>
        <w:rPr>
          <w:rFonts w:hint="default" w:ascii="Times New Roman" w:hAnsi="Times New Roman" w:eastAsia="仿宋_GB2312" w:cs="Times New Roman"/>
          <w:sz w:val="32"/>
          <w:szCs w:val="32"/>
        </w:rPr>
        <w:t>党的十九大提出要深化商事制度改革，完善市场监管体制，深化简政放权，创新监管方式。十九届四中全会要求，市场监管部门要充分认识坚持和完善中国特色社会主义制度、推进国家治理体系和治理能力现代化的重大意义。近年来，习近平总书记多次先后发表重要论述和指示，要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深化商事制度改革、完善市场监管体制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，为市场监管工作提供了行动指南。在习近平总书记的高度重视下，新时期的市场监管工作扎实推进。</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二是国内经济高质量发展为市场监管带来新机遇。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十三五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期间，我国全面深化改革取得重大突破，国家治理体系和治理能力现代化加快推进，为开启全面建设社会主义现代化国家新征程奠定了坚实基础。在经济高质量发展阶段，如何使市场在资源配置中起决定性作用和更好发挥政府作用，如何在构建以国内大循环为主体、国内国际双循环相互促进的新发展格局中，保持市场主体的高质量发展和品牌经济的快速发展，是市场监管部门的重要任务。</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三是区域发展战略为市场监管带来新机遇。</w:t>
      </w:r>
      <w:r>
        <w:rPr>
          <w:rFonts w:hint="default" w:ascii="Times New Roman" w:hAnsi="Times New Roman" w:eastAsia="仿宋_GB2312" w:cs="Times New Roman"/>
          <w:sz w:val="32"/>
          <w:szCs w:val="32"/>
        </w:rPr>
        <w:t>从化区乡村振兴战略全面实施、城乡融合发展不断深化、粤港澳大湾区建设深入推进、黄埔从化产业共建合作区建设有序开展。从化是粤港澳大湾区北部生态屏障和广州实施乡村振兴战略的主阵地、主战场。党的十九大以来，从化坚持以习近平新时代中国特色社会主义思想为指导，坚持农业农村优先发展不动摇，在生态文明建设与乡村振兴的实践中积累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从化经验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，形成了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从化样板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黄埔从化产业共建合作区基于助力市内循环、对接省内循环、融入国内国际双循环的目的，探索广州特大城市城乡融合发展新路径，加快畅通产业循环、市场循环、经济社会循环，强化广州作为粤港澳大湾区的核心引擎作用。</w:t>
      </w:r>
    </w:p>
    <w:p>
      <w:pPr>
        <w:pageBreakBefore w:val="0"/>
        <w:kinsoku/>
        <w:wordWrap/>
        <w:overflowPunct/>
        <w:topLinePunct w:val="0"/>
        <w:bidi w:val="0"/>
        <w:spacing w:line="240" w:lineRule="auto"/>
        <w:ind w:firstLine="63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2.面临挑战</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从化区市场监管发展目前面临三大挑战：</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一是全球经济衰退、国际贸易摩擦增多给市场监管带来新挑战。</w:t>
      </w:r>
      <w:r>
        <w:rPr>
          <w:rFonts w:hint="default" w:ascii="Times New Roman" w:hAnsi="Times New Roman" w:eastAsia="仿宋_GB2312" w:cs="Times New Roman"/>
          <w:sz w:val="32"/>
          <w:szCs w:val="32"/>
        </w:rPr>
        <w:t>受到新冠疫情的影响，经济全球化进入低潮期，各国经济呈现加速下行的态势，供应链、能源、粮食等领域安全受到冲击。加之国际经贸摩擦将不断增多，逆全球化思潮愈加盛行，发达国家推动国际贸易规则重构、促进中高端产业回流，东南亚等新兴经济体加大劳动密集型产业集聚力度，对我区维护市场经济体系稳定构成了新挑战，对市场监管统筹改革、推动高质量发展带来极大的不确定性。</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二是我国社会主要矛盾的转化给市场监管带来新挑战。</w:t>
      </w:r>
      <w:r>
        <w:rPr>
          <w:rFonts w:hint="default" w:ascii="Times New Roman" w:hAnsi="Times New Roman" w:eastAsia="仿宋_GB2312" w:cs="Times New Roman"/>
          <w:sz w:val="32"/>
          <w:szCs w:val="32"/>
        </w:rPr>
        <w:t>我国社会的主要矛盾已经转变为人民日益增长的美好生活需要同不平衡不充分的发展之间的矛盾，经济社会发展不平衡仍然是当前和今后一个时期我国发展面临的挑战。当前，金融、能源、生态等重点领域风险仍在集聚，人口、资源、环境压力加大，劳动就业、社会保障、收入分配、教育卫生、居民住房、安全生产、司法和社会治安等方面的问题仍然突出，国内城市中高端产业建设和人才要素的激烈竞争也给产业升级、提升供给体系水平增加了困难。在此背景下，对市场监管部门如何抓住产业及企业发展的痛点、难点，有针对性地解决公共问题，促进产业于经济的发展提出了新要求。</w:t>
      </w:r>
    </w:p>
    <w:p>
      <w:pPr>
        <w:pageBreakBefore w:val="0"/>
        <w:widowControl w:val="0"/>
        <w:kinsoku/>
        <w:wordWrap/>
        <w:overflowPunct/>
        <w:topLinePunct w:val="0"/>
        <w:autoSpaceDE/>
        <w:autoSpaceDN/>
        <w:bidi w:val="0"/>
        <w:adjustRightInd/>
        <w:snapToGrid w:val="0"/>
        <w:spacing w:line="580" w:lineRule="exact"/>
        <w:ind w:firstLine="632" w:firstLineChars="200"/>
        <w:textAlignment w:val="auto"/>
        <w:rPr>
          <w:rFonts w:hint="default" w:ascii="Times New Roman" w:hAnsi="Times New Roman" w:eastAsia="楷体_GB2312" w:cs="Times New Roman"/>
          <w:b w:val="0"/>
        </w:rPr>
      </w:pPr>
      <w:r>
        <w:rPr>
          <w:rFonts w:hint="default" w:ascii="Times New Roman" w:hAnsi="Times New Roman" w:eastAsia="仿宋_GB2312" w:cs="Times New Roman"/>
          <w:b/>
          <w:bCs/>
          <w:sz w:val="32"/>
          <w:szCs w:val="32"/>
        </w:rPr>
        <w:t>三是从化区市场监管工作尚存在一些薄弱环节。</w:t>
      </w:r>
      <w:r>
        <w:rPr>
          <w:rFonts w:hint="default" w:ascii="Times New Roman" w:hAnsi="Times New Roman" w:eastAsia="仿宋_GB2312" w:cs="Times New Roman"/>
          <w:sz w:val="32"/>
          <w:szCs w:val="32"/>
        </w:rPr>
        <w:t>主要表现在：首先，</w:t>
      </w:r>
      <w:r>
        <w:rPr>
          <w:rFonts w:hint="default" w:ascii="Times New Roman" w:hAnsi="Times New Roman" w:eastAsia="仿宋_GB2312" w:cs="Times New Roman"/>
          <w:b/>
          <w:sz w:val="32"/>
          <w:szCs w:val="32"/>
        </w:rPr>
        <w:t>部门内外部联动机制亟待加强。</w:t>
      </w:r>
      <w:r>
        <w:rPr>
          <w:rFonts w:hint="default" w:ascii="Times New Roman" w:hAnsi="Times New Roman" w:eastAsia="仿宋_GB2312" w:cs="Times New Roman"/>
          <w:sz w:val="32"/>
          <w:szCs w:val="32"/>
        </w:rPr>
        <w:t>当前，从化区市场监管机构改革从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整合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融合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转变仍然不足，大而不合等处于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隐层面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的问题尚没有得到根本解决。对内部门间监管信息未能真正实现互联互通，工作流程不够顺畅规范，没有形成强有力的创建合力；对外与上级市场监管部门机构设置不统一，导致上下对接出现问题。其次，</w:t>
      </w:r>
      <w:r>
        <w:rPr>
          <w:rFonts w:hint="default" w:ascii="Times New Roman" w:hAnsi="Times New Roman" w:eastAsia="仿宋_GB2312" w:cs="Times New Roman"/>
          <w:b/>
          <w:bCs/>
          <w:sz w:val="32"/>
          <w:szCs w:val="32"/>
        </w:rPr>
        <w:t>基层综合执法能力有待提升。</w:t>
      </w:r>
      <w:r>
        <w:rPr>
          <w:rFonts w:hint="default" w:ascii="Times New Roman" w:hAnsi="Times New Roman" w:eastAsia="仿宋_GB2312" w:cs="Times New Roman"/>
          <w:sz w:val="32"/>
          <w:szCs w:val="32"/>
        </w:rPr>
        <w:t>从化区市场监管缺乏有效的长效执法机制，市场中存在的问题涉及方方面面，如</w:t>
      </w:r>
      <w:r>
        <w:rPr>
          <w:rFonts w:hint="default" w:ascii="Times New Roman" w:hAnsi="Times New Roman" w:eastAsia="仿宋_GB2312" w:cs="Times New Roman"/>
          <w:bCs/>
          <w:sz w:val="32"/>
          <w:szCs w:val="32"/>
        </w:rPr>
        <w:t>商事登记改革中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一址多照、一照多址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问题泛滥，基层后续监管难度大；农贸市场、小餐饮、摩托车等难点问题反复出现，监管效果不佳；</w:t>
      </w:r>
      <w:r>
        <w:rPr>
          <w:rFonts w:hint="default" w:ascii="Times New Roman" w:hAnsi="Times New Roman" w:eastAsia="仿宋_GB2312" w:cs="Times New Roman"/>
          <w:bCs/>
          <w:sz w:val="32"/>
          <w:szCs w:val="32"/>
        </w:rPr>
        <w:t>网络监管缺乏有效手段，监管效能不高等。</w:t>
      </w:r>
      <w:r>
        <w:rPr>
          <w:rFonts w:hint="default" w:ascii="Times New Roman" w:hAnsi="Times New Roman" w:eastAsia="仿宋_GB2312" w:cs="Times New Roman"/>
          <w:sz w:val="32"/>
          <w:szCs w:val="32"/>
        </w:rPr>
        <w:t>综合执法机制下，从化如何</w:t>
      </w:r>
      <w:r>
        <w:rPr>
          <w:rFonts w:hint="default" w:ascii="Times New Roman" w:hAnsi="Times New Roman" w:eastAsia="仿宋_GB2312" w:cs="Times New Roman"/>
          <w:bCs/>
          <w:sz w:val="32"/>
          <w:szCs w:val="32"/>
        </w:rPr>
        <w:t>有效整合市场监管的</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工具箱</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，寄监管于执法，执法作用于监管，都仍需不断探索研究。另外，</w:t>
      </w:r>
      <w:r>
        <w:rPr>
          <w:rFonts w:hint="default" w:ascii="Times New Roman" w:hAnsi="Times New Roman" w:eastAsia="仿宋_GB2312" w:cs="Times New Roman"/>
          <w:b/>
          <w:sz w:val="32"/>
          <w:szCs w:val="32"/>
        </w:rPr>
        <w:t>市场监管体系建设有待加强</w:t>
      </w:r>
      <w:r>
        <w:rPr>
          <w:rFonts w:hint="default" w:ascii="Times New Roman" w:hAnsi="Times New Roman" w:eastAsia="仿宋_GB2312" w:cs="Times New Roman"/>
          <w:bCs/>
          <w:sz w:val="32"/>
          <w:szCs w:val="32"/>
        </w:rPr>
        <w:t>。一方面，综合化监管与专业化监管不相容。如机构改革后，部分执法人员因缺乏专业知识而在食品、药品监督管理等方面有待进一步加强。另一方面，提升市场监管的信息化、智慧化水平有待加强。随着新一轮科技革命和产业变革，以及大数据的广泛运用，对市场监管的信息化要求越来越高；且</w:t>
      </w:r>
      <w:r>
        <w:rPr>
          <w:rFonts w:hint="default" w:ascii="Times New Roman" w:hAnsi="Times New Roman" w:eastAsia="仿宋_GB2312" w:cs="Times New Roman"/>
          <w:sz w:val="32"/>
          <w:szCs w:val="32"/>
        </w:rPr>
        <w:t>从化地区地域广阔，监管目标分散、任务重，而基层执法力量有限，难以全面开展各项整治监管工作。这就迫使从化改变传统市场监管模式，创新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互联网+监管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，降低市场监管成本，提高市场监管效率。</w:t>
      </w:r>
    </w:p>
    <w:p>
      <w:pPr>
        <w:pStyle w:val="20"/>
        <w:spacing w:before="156" w:beforeLines="50" w:after="156" w:afterLines="50" w:line="240" w:lineRule="auto"/>
        <w:ind w:firstLine="0" w:firstLineChars="0"/>
        <w:jc w:val="center"/>
        <w:rPr>
          <w:rFonts w:hint="default" w:ascii="Times New Roman" w:hAnsi="Times New Roman" w:eastAsia="黑体" w:cs="Times New Roman"/>
          <w:b w:val="0"/>
          <w:sz w:val="32"/>
          <w:szCs w:val="32"/>
          <w:lang w:bidi="ar-SA"/>
        </w:rPr>
      </w:pPr>
      <w:bookmarkStart w:id="7" w:name="_Toc67319052"/>
      <w:r>
        <w:rPr>
          <w:rFonts w:hint="default" w:ascii="Times New Roman" w:hAnsi="Times New Roman" w:eastAsia="黑体" w:cs="Times New Roman"/>
          <w:b w:val="0"/>
          <w:sz w:val="32"/>
          <w:szCs w:val="32"/>
          <w:lang w:bidi="ar-SA"/>
        </w:rPr>
        <w:t>第二章 总体要求</w:t>
      </w:r>
      <w:bookmarkEnd w:id="7"/>
    </w:p>
    <w:p>
      <w:pPr>
        <w:spacing w:before="156" w:beforeLines="50" w:after="156" w:afterLines="50" w:line="240" w:lineRule="auto"/>
        <w:jc w:val="center"/>
        <w:rPr>
          <w:rFonts w:hint="default" w:ascii="Times New Roman" w:hAnsi="Times New Roman" w:eastAsia="楷体_GB2312" w:cs="Times New Roman"/>
          <w:b w:val="0"/>
        </w:rPr>
      </w:pPr>
      <w:bookmarkStart w:id="8" w:name="_Toc67319053"/>
      <w:r>
        <w:rPr>
          <w:rFonts w:hint="default" w:ascii="Times New Roman" w:hAnsi="Times New Roman" w:eastAsia="楷体_GB2312" w:cs="Times New Roman"/>
          <w:b w:val="0"/>
        </w:rPr>
        <w:t>第一节 指导思想</w:t>
      </w:r>
      <w:bookmarkEnd w:id="8"/>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十九大和十九届二中、三中、四中、五中全会精神，深入贯彻习近平总书记对广东重要讲话和重要指示批示精神，坚持和加强党的全面领导，坚持以人民为中心的发展思想，紧紧围绕统筹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五位一体</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总体布局和协调推进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四个全面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战略布局，坚持发展是第一要务，坚持以人民为中心，坚持新发展理念，坚持稳中求进工作总基调，不断深化商事制度改革，完善事中事后监管机制，保护各类市场主体合法权益，维护公平竞争的市场秩序，营造平等、公平、繁荣、有序的市场环境，促进从化区经济社会持续健康发展。</w:t>
      </w:r>
    </w:p>
    <w:p>
      <w:pPr>
        <w:jc w:val="center"/>
        <w:rPr>
          <w:rFonts w:hint="eastAsia" w:ascii="楷体_GB2312" w:hAnsi="楷体_GB2312" w:eastAsia="楷体_GB2312" w:cs="楷体_GB2312"/>
          <w:b w:val="0"/>
        </w:rPr>
      </w:pPr>
      <w:bookmarkStart w:id="9" w:name="_Toc67319054"/>
      <w:r>
        <w:rPr>
          <w:rFonts w:hint="eastAsia" w:ascii="楷体_GB2312" w:hAnsi="楷体_GB2312" w:eastAsia="楷体_GB2312" w:cs="楷体_GB2312"/>
          <w:b w:val="0"/>
        </w:rPr>
        <w:t>第二节 基本原则</w:t>
      </w:r>
      <w:bookmarkEnd w:id="9"/>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坚持依法监管，维护公平公正。</w:t>
      </w:r>
      <w:r>
        <w:rPr>
          <w:rFonts w:hint="default" w:ascii="Times New Roman" w:hAnsi="Times New Roman" w:eastAsia="仿宋_GB2312" w:cs="Times New Roman"/>
          <w:sz w:val="32"/>
          <w:szCs w:val="32"/>
        </w:rPr>
        <w:t>树立法治思维，依照法定权限和程序对各类市场主体实施公平公正监管，平等保护各类市场主体合法权益。推进市场监管法治化、制度化、规范化、程序化、标准化。</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坚持智慧监管，提升效率水平。</w:t>
      </w:r>
      <w:r>
        <w:rPr>
          <w:rFonts w:hint="default" w:ascii="Times New Roman" w:hAnsi="Times New Roman" w:eastAsia="仿宋_GB2312" w:cs="Times New Roman"/>
          <w:sz w:val="32"/>
          <w:szCs w:val="32"/>
        </w:rPr>
        <w:t>适应新一轮科技革命和产业变革趋势，适应市场主体活跃发展的客观要求，充分发挥新科技在市场监管中的作用。运用大数据等推动监管创新，依托互联网、大数据技术，打造市场监管大数据平台，推动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互联网+监管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，提高市场监管智能化水平。</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坚持协同监管，形成监管合力。</w:t>
      </w:r>
      <w:r>
        <w:rPr>
          <w:rFonts w:hint="default" w:ascii="Times New Roman" w:hAnsi="Times New Roman" w:eastAsia="仿宋_GB2312" w:cs="Times New Roman"/>
          <w:sz w:val="32"/>
          <w:szCs w:val="32"/>
        </w:rPr>
        <w:t>改变传统监管方式，强化企业主体责任，推动市场主体加强自我约束、诚信经营。充分发挥信用体系的约束作用、行业组织的自律作用以及消费者组织、社会舆论和公众的监督作用，构建市场主体自治、行业自律、社会监督、政府监管的社会共治格局。</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坚持综合监管，夯实基层基础。</w:t>
      </w:r>
      <w:r>
        <w:rPr>
          <w:rFonts w:hint="default" w:ascii="Times New Roman" w:hAnsi="Times New Roman" w:eastAsia="仿宋_GB2312" w:cs="Times New Roman"/>
          <w:sz w:val="32"/>
          <w:szCs w:val="32"/>
        </w:rPr>
        <w:t>准确把握市场规律，克服相互分割、多头执法、标准不一等痼疾，推进市场监管领域综合执法，建立综合监管体系，发挥各种监管资源的综合效益，消除监管盲点，降低执法成本。</w:t>
      </w:r>
    </w:p>
    <w:p>
      <w:pPr>
        <w:jc w:val="center"/>
        <w:rPr>
          <w:rFonts w:hint="default" w:ascii="楷体_GB2312" w:hAnsi="楷体_GB2312" w:eastAsia="楷体_GB2312" w:cs="楷体_GB2312"/>
          <w:b w:val="0"/>
        </w:rPr>
      </w:pPr>
      <w:bookmarkStart w:id="10" w:name="_Toc67319055"/>
      <w:r>
        <w:rPr>
          <w:rFonts w:hint="default" w:ascii="楷体_GB2312" w:hAnsi="楷体_GB2312" w:eastAsia="楷体_GB2312" w:cs="楷体_GB2312"/>
          <w:b w:val="0"/>
        </w:rPr>
        <w:t>第三节 主要目标</w:t>
      </w:r>
      <w:bookmarkEnd w:id="10"/>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逐步形成权责明确、公平公正、透明高效、法治保障的市场监管格局，推动建设统一开放、竞争有序、诚信守法、监管有力的现代市场体系，基本形成宽松便捷的市场准入环境、公平有序的市场竞争环境、安全放心的市场消费环境、权威高效的市场监管体制机制。</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宽松便捷的市场准入环境进一步优化。</w:t>
      </w:r>
      <w:r>
        <w:rPr>
          <w:rFonts w:hint="default" w:ascii="Times New Roman" w:hAnsi="Times New Roman" w:eastAsia="仿宋_GB2312" w:cs="Times New Roman"/>
          <w:sz w:val="32"/>
          <w:szCs w:val="32"/>
        </w:rPr>
        <w:t>商事制度框架逐步健全完善，公平统一、开放透明的市场准入规则基本形成。各种行政审批大幅削减，准入服务更加智能便捷，新增市场主体持续增长、活跃发展，城乡发展能级和核心竞争力全面提升，有力助推从化区</w:t>
      </w:r>
      <w:r>
        <w:rPr>
          <w:rFonts w:hint="default" w:ascii="Times New Roman" w:hAnsi="Times New Roman" w:eastAsia="仿宋_GB2312" w:cs="Times New Roman"/>
          <w:sz w:val="32"/>
          <w:szCs w:val="32"/>
          <w:lang w:eastAsia="zh-CN"/>
        </w:rPr>
        <w:t>经济社会发展实现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两区两谷双提升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到2025年，市场主体总量突破7万户，开办企业线上办理率达到96%</w:t>
      </w:r>
      <w:r>
        <w:rPr>
          <w:rFonts w:hint="default" w:ascii="Times New Roman" w:hAnsi="Times New Roman" w:eastAsia="仿宋_GB2312" w:cs="Times New Roman"/>
          <w:sz w:val="32"/>
          <w:szCs w:val="32"/>
        </w:rPr>
        <w:t>。</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公平有序的市场竞争环境基本形成。</w:t>
      </w:r>
      <w:r>
        <w:rPr>
          <w:rFonts w:hint="default" w:ascii="Times New Roman" w:hAnsi="Times New Roman" w:eastAsia="仿宋_GB2312" w:cs="Times New Roman"/>
          <w:sz w:val="32"/>
          <w:szCs w:val="32"/>
        </w:rPr>
        <w:t>规范市场秩序、维护公平竞争，坚持放活与管好相结合，做到放而不乱、活而有序。多头监管、重复执法现象大幅度下降，反垄断和反不正当竞争执法成效显著，侵权假冒、地方保护、行业垄断得到有效治理，公平竞争、优胜劣汰机制基本建立。市场秩序明显改善，质量标准化建设不断强化，商标品牌作用充分发挥，市场主体质量显著提升。到2025年，每万人发明专利拥有量达到15件以上。</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安全放心的市场消费环境进一步形成。</w:t>
      </w:r>
      <w:r>
        <w:rPr>
          <w:rFonts w:hint="default" w:ascii="Times New Roman" w:hAnsi="Times New Roman" w:eastAsia="仿宋_GB2312" w:cs="Times New Roman"/>
          <w:sz w:val="32"/>
          <w:szCs w:val="32"/>
        </w:rPr>
        <w:t>把握消费趋势，推进消费供给侧结构性改革，维护好广大人民群众的利益。消费维权和社会监督体系进一步完善，消费维权机制进一步健全。放心消费创建工作深入持续开展，消费维权社会化水平明显提高。统一的消费投诉举报网络平台更加优化，消费维权的便利程度大幅度提高。商品和服务消费的质量安全水平全面提升，消费者满意度、放心度持续提升。</w:t>
      </w:r>
      <w:r>
        <w:rPr>
          <w:rFonts w:hint="default" w:ascii="Times New Roman" w:hAnsi="Times New Roman" w:eastAsia="仿宋_GB2312" w:cs="Times New Roman"/>
          <w:sz w:val="32"/>
          <w:szCs w:val="32"/>
          <w:lang w:val="en-US" w:eastAsia="zh-CN"/>
        </w:rPr>
        <w:t>到2025年，食品检验量不少于从化区常住人口数</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每千人1批次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明厨亮灶</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覆盖率高于93%，农贸市场和大型生鲜超市快速检测室配备率达到90%，投诉按时办结率和举报按时核查率突破98%</w:t>
      </w:r>
      <w:r>
        <w:rPr>
          <w:rFonts w:hint="default" w:ascii="Times New Roman" w:hAnsi="Times New Roman" w:eastAsia="仿宋_GB2312" w:cs="Times New Roman"/>
          <w:sz w:val="32"/>
          <w:szCs w:val="32"/>
        </w:rPr>
        <w:t>。</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科学健全的事中事后监管机制基础夯实。</w:t>
      </w:r>
      <w:r>
        <w:rPr>
          <w:rFonts w:hint="default" w:ascii="Times New Roman" w:hAnsi="Times New Roman" w:eastAsia="仿宋_GB2312" w:cs="Times New Roman"/>
          <w:sz w:val="32"/>
          <w:szCs w:val="32"/>
        </w:rPr>
        <w:t>监管职责全面厘清，监管力量重心下沉，监管资源配置合理，执法职能相对集中。实现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监管方式全覆盖，以信用公示为基础的事中事后监管机制逐渐构建，建立健全失信惩戒制度，增强随机抽查威慑力和信用奖惩影响力。</w:t>
      </w:r>
    </w:p>
    <w:p>
      <w:pPr>
        <w:jc w:val="center"/>
        <w:rPr>
          <w:rFonts w:hint="eastAsia" w:ascii="黑体" w:hAnsi="黑体" w:eastAsia="黑体" w:cs="黑体"/>
          <w:b w:val="0"/>
        </w:rPr>
      </w:pPr>
      <w:bookmarkStart w:id="11" w:name="_Toc67319056"/>
      <w:r>
        <w:rPr>
          <w:rFonts w:hint="eastAsia" w:ascii="黑体" w:hAnsi="黑体" w:eastAsia="黑体" w:cs="黑体"/>
          <w:b w:val="0"/>
        </w:rPr>
        <w:t>第三章 完善市场准入体系</w:t>
      </w:r>
      <w:bookmarkEnd w:id="11"/>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对标世界银行评估标准，认真落实优化营商环境各项重点任务，围绕减材料、减程序、减时间、减成本，全面深化开办企业便利化改革、</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证照分离</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改革、注销便利化改革，进一步完善市场准入和退出机制，持续激发市场活力，全力建设便利化国际化法制化营商环境，助力从化经济高质量发展。</w:t>
      </w:r>
    </w:p>
    <w:p>
      <w:pPr>
        <w:tabs>
          <w:tab w:val="left" w:pos="420"/>
          <w:tab w:val="left" w:pos="630"/>
        </w:tabs>
        <w:spacing w:before="156" w:beforeLines="50" w:after="156" w:afterLines="50" w:line="240" w:lineRule="auto"/>
        <w:jc w:val="center"/>
        <w:rPr>
          <w:rFonts w:hint="default" w:ascii="Times New Roman" w:hAnsi="Times New Roman" w:eastAsia="方正楷体_GBK" w:cs="Times New Roman"/>
          <w:b w:val="0"/>
          <w:bCs/>
          <w:sz w:val="32"/>
          <w:szCs w:val="32"/>
        </w:rPr>
      </w:pPr>
      <w:bookmarkStart w:id="12" w:name="_Toc67319057"/>
      <w:r>
        <w:rPr>
          <w:rFonts w:hint="default" w:ascii="Times New Roman" w:hAnsi="Times New Roman" w:eastAsia="方正楷体_GBK" w:cs="Times New Roman"/>
          <w:b w:val="0"/>
          <w:bCs/>
          <w:sz w:val="32"/>
          <w:szCs w:val="32"/>
        </w:rPr>
        <w:t>第一节 深化开办企业便利化改革</w:t>
      </w:r>
      <w:bookmarkEnd w:id="1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zh-CN"/>
        </w:rPr>
        <w:t>全面实行开办企业</w:t>
      </w:r>
      <w:r>
        <w:rPr>
          <w:rFonts w:hint="eastAsia"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zh-CN"/>
        </w:rPr>
        <w:t>一网通办、一窗通取</w:t>
      </w:r>
      <w:r>
        <w:rPr>
          <w:rFonts w:hint="eastAsia"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rPr>
        <w:t>依托全市开办企业一网通平台，深化商事登记制度改革，全面实行开办企业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一网通办、一窗通取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，打破部门局限，推动审批流程再造，实现统一入口、一表申报、同步推送、数据内部交换，进一步深化线上线下融合服务，大力推行开办企业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网上办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掌上办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邮寄办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即时办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一次办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服务，实现商事登记、刻制印章、申领发票0.5天办结，</w:t>
      </w:r>
      <w:r>
        <w:rPr>
          <w:rFonts w:hint="default" w:ascii="Times New Roman" w:hAnsi="Times New Roman" w:eastAsia="仿宋_GB2312" w:cs="Times New Roman"/>
          <w:sz w:val="32"/>
          <w:szCs w:val="32"/>
          <w:lang w:val="zh-CN"/>
        </w:rPr>
        <w:t>持续做好免费印章和免费税务Ukey发放，</w:t>
      </w:r>
      <w:r>
        <w:rPr>
          <w:rFonts w:hint="default" w:ascii="Times New Roman" w:hAnsi="Times New Roman" w:eastAsia="仿宋_GB2312" w:cs="Times New Roman"/>
          <w:sz w:val="32"/>
          <w:szCs w:val="32"/>
        </w:rPr>
        <w:t>支持中小微企业发展和转型升级，促进新增市场主体快速增长、健康发展，持续建设便利化的市场准入环境。</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rPr>
        <w:t>优化企业设立服务方式。</w:t>
      </w:r>
      <w:r>
        <w:rPr>
          <w:rFonts w:hint="default" w:ascii="Times New Roman" w:hAnsi="Times New Roman" w:eastAsia="仿宋_GB2312" w:cs="Times New Roman"/>
          <w:sz w:val="32"/>
          <w:szCs w:val="32"/>
        </w:rPr>
        <w:t>积极争取商事登记确认制改革试点，</w:t>
      </w:r>
      <w:r>
        <w:rPr>
          <w:rFonts w:hint="default" w:ascii="Times New Roman" w:hAnsi="Times New Roman" w:eastAsia="仿宋_GB2312" w:cs="Times New Roman"/>
          <w:sz w:val="32"/>
          <w:szCs w:val="32"/>
          <w:lang w:val="zh-CN"/>
        </w:rPr>
        <w:t>以商事登记实名认证、全程电子化办理、要件式智能化审理、申请人</w:t>
      </w:r>
      <w:r>
        <w:rPr>
          <w:rFonts w:hint="default" w:ascii="Times New Roman" w:hAnsi="Times New Roman" w:eastAsia="仿宋_GB2312" w:cs="Times New Roman"/>
          <w:sz w:val="32"/>
          <w:szCs w:val="32"/>
        </w:rPr>
        <w:t>信用</w:t>
      </w:r>
      <w:r>
        <w:rPr>
          <w:rFonts w:hint="default" w:ascii="Times New Roman" w:hAnsi="Times New Roman" w:eastAsia="仿宋_GB2312" w:cs="Times New Roman"/>
          <w:sz w:val="32"/>
          <w:szCs w:val="32"/>
          <w:lang w:val="zh-CN"/>
        </w:rPr>
        <w:t>承诺制为支撑，</w:t>
      </w:r>
      <w:r>
        <w:rPr>
          <w:rFonts w:hint="default" w:ascii="Times New Roman" w:hAnsi="Times New Roman" w:eastAsia="仿宋_GB2312" w:cs="Times New Roman"/>
          <w:sz w:val="32"/>
          <w:szCs w:val="32"/>
        </w:rPr>
        <w:t>全面推行企业名称、经营范围、住所、</w:t>
      </w:r>
      <w:r>
        <w:rPr>
          <w:rFonts w:hint="default" w:ascii="Times New Roman" w:hAnsi="Times New Roman" w:eastAsia="仿宋_GB2312" w:cs="Times New Roman"/>
          <w:sz w:val="32"/>
          <w:szCs w:val="32"/>
          <w:lang w:val="zh-CN"/>
        </w:rPr>
        <w:t>公司章程</w:t>
      </w:r>
      <w:r>
        <w:rPr>
          <w:rFonts w:hint="default" w:ascii="Times New Roman" w:hAnsi="Times New Roman" w:eastAsia="仿宋_GB2312" w:cs="Times New Roman"/>
          <w:sz w:val="32"/>
          <w:szCs w:val="32"/>
        </w:rPr>
        <w:t>等登记事项自主申报，</w:t>
      </w:r>
      <w:r>
        <w:rPr>
          <w:rFonts w:hint="default" w:ascii="Times New Roman" w:hAnsi="Times New Roman" w:eastAsia="仿宋_GB2312" w:cs="Times New Roman"/>
          <w:sz w:val="32"/>
          <w:szCs w:val="32"/>
          <w:lang w:val="zh-CN"/>
        </w:rPr>
        <w:t>持续推进企业开办</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一套材料、一次采集、多方复用</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机制，进一步简化登记事项、申请材料和办理流程。完善市场监管部门与网格管理部门信息共享机制，</w:t>
      </w:r>
      <w:r>
        <w:rPr>
          <w:rFonts w:hint="default" w:ascii="Times New Roman" w:hAnsi="Times New Roman" w:eastAsia="仿宋_GB2312" w:cs="Times New Roman"/>
          <w:sz w:val="32"/>
          <w:szCs w:val="32"/>
        </w:rPr>
        <w:t>防范虚拟地址注册。</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加快推动电子化应用。</w:t>
      </w:r>
      <w:r>
        <w:rPr>
          <w:rFonts w:hint="default" w:ascii="Times New Roman" w:hAnsi="Times New Roman" w:eastAsia="仿宋_GB2312" w:cs="Times New Roman"/>
          <w:sz w:val="32"/>
          <w:szCs w:val="32"/>
        </w:rPr>
        <w:t>依托全市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开办企业全程电子化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商事登记系统，全面提升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互联网+行政许可登记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水平，实现商事登记和行政许可各类申请事项可网办率100%。</w:t>
      </w:r>
      <w:r>
        <w:rPr>
          <w:rFonts w:hint="default" w:ascii="Times New Roman" w:hAnsi="Times New Roman" w:eastAsia="仿宋_GB2312" w:cs="Times New Roman"/>
          <w:sz w:val="32"/>
          <w:szCs w:val="32"/>
          <w:lang w:val="zh-CN"/>
        </w:rPr>
        <w:t>在加强监管、保障安全前提下，</w:t>
      </w:r>
      <w:r>
        <w:rPr>
          <w:rFonts w:hint="default" w:ascii="Times New Roman" w:hAnsi="Times New Roman" w:eastAsia="仿宋_GB2312" w:cs="Times New Roman"/>
          <w:sz w:val="32"/>
          <w:szCs w:val="32"/>
        </w:rPr>
        <w:t>加快</w:t>
      </w:r>
      <w:r>
        <w:rPr>
          <w:rFonts w:hint="default" w:ascii="Times New Roman" w:hAnsi="Times New Roman" w:eastAsia="仿宋_GB2312" w:cs="Times New Roman"/>
          <w:sz w:val="32"/>
          <w:szCs w:val="32"/>
          <w:lang w:val="zh-CN"/>
        </w:rPr>
        <w:t>推</w:t>
      </w:r>
      <w:r>
        <w:rPr>
          <w:rFonts w:hint="default" w:ascii="Times New Roman" w:hAnsi="Times New Roman" w:eastAsia="仿宋_GB2312" w:cs="Times New Roman"/>
          <w:sz w:val="32"/>
          <w:szCs w:val="32"/>
        </w:rPr>
        <w:t>广</w:t>
      </w:r>
      <w:r>
        <w:rPr>
          <w:rFonts w:hint="default" w:ascii="Times New Roman" w:hAnsi="Times New Roman" w:eastAsia="仿宋_GB2312" w:cs="Times New Roman"/>
          <w:sz w:val="32"/>
          <w:szCs w:val="32"/>
          <w:lang w:val="zh-CN"/>
        </w:rPr>
        <w:t>电子营业执照应用，</w:t>
      </w:r>
      <w:r>
        <w:rPr>
          <w:rFonts w:hint="default" w:ascii="Times New Roman" w:hAnsi="Times New Roman" w:eastAsia="仿宋_GB2312" w:cs="Times New Roman"/>
          <w:sz w:val="32"/>
          <w:szCs w:val="32"/>
        </w:rPr>
        <w:t>深化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区块链+电子证照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的运用，进一步提升电子证照管理和服务效能。</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微软雅黑" w:cs="Times New Roman"/>
          <w:sz w:val="19"/>
          <w:szCs w:val="19"/>
        </w:rPr>
      </w:pPr>
      <w:r>
        <w:rPr>
          <w:rFonts w:hint="default" w:ascii="Times New Roman" w:hAnsi="Times New Roman" w:eastAsia="楷体_GB2312" w:cs="Times New Roman"/>
          <w:b/>
          <w:bCs/>
          <w:sz w:val="32"/>
          <w:szCs w:val="32"/>
        </w:rPr>
        <w:t>持续深化企业登记制度改革。</w:t>
      </w:r>
      <w:r>
        <w:rPr>
          <w:rFonts w:hint="default" w:ascii="Times New Roman" w:hAnsi="Times New Roman" w:eastAsia="仿宋_GB2312" w:cs="Times New Roman"/>
          <w:sz w:val="32"/>
          <w:szCs w:val="32"/>
          <w:lang w:val="zh-CN"/>
        </w:rPr>
        <w:t>全</w:t>
      </w:r>
      <w:r>
        <w:rPr>
          <w:rFonts w:hint="default" w:ascii="Times New Roman" w:hAnsi="Times New Roman" w:eastAsia="仿宋_GB2312" w:cs="Times New Roman"/>
          <w:sz w:val="32"/>
          <w:szCs w:val="32"/>
        </w:rPr>
        <w:t>面推行优化营商环境系列政策落地实施，细化量化登记服务标准，压缩自由裁量权，推进全区同一事项实行无差别受理、同标准办理，切实有效做到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一口清</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一纸清</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。梳理编制服务清单，为入驻企业提供便捷市场准入、商标注册、品牌培育、消费投诉处理、政策及时传达等便捷高效的政务服务。</w:t>
      </w:r>
    </w:p>
    <w:p>
      <w:pPr>
        <w:tabs>
          <w:tab w:val="left" w:pos="420"/>
          <w:tab w:val="left" w:pos="630"/>
        </w:tabs>
        <w:spacing w:line="240" w:lineRule="auto"/>
        <w:jc w:val="center"/>
        <w:rPr>
          <w:rFonts w:hint="default" w:ascii="Times New Roman" w:hAnsi="Times New Roman" w:eastAsia="方正楷体_GBK" w:cs="Times New Roman"/>
          <w:b w:val="0"/>
          <w:bCs/>
          <w:sz w:val="32"/>
        </w:rPr>
      </w:pPr>
      <w:bookmarkStart w:id="13" w:name="_Toc67319058"/>
      <w:r>
        <w:rPr>
          <w:rFonts w:hint="default" w:ascii="Times New Roman" w:hAnsi="Times New Roman" w:eastAsia="方正楷体_GBK" w:cs="Times New Roman"/>
          <w:b w:val="0"/>
          <w:bCs/>
          <w:sz w:val="32"/>
        </w:rPr>
        <w:t>第二节 深化</w:t>
      </w:r>
      <w:r>
        <w:rPr>
          <w:rFonts w:hint="eastAsia"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rPr>
        <w:t>证照分离</w:t>
      </w:r>
      <w:r>
        <w:rPr>
          <w:rFonts w:hint="eastAsia"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rPr>
        <w:t>改革</w:t>
      </w:r>
      <w:bookmarkEnd w:id="13"/>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有序推进</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证照分离</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改革</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rPr>
        <w:t>加快梳理我区</w:t>
      </w:r>
      <w:r>
        <w:rPr>
          <w:rFonts w:hint="default" w:ascii="Times New Roman" w:hAnsi="Times New Roman" w:eastAsia="仿宋_GB2312" w:cs="Times New Roman"/>
          <w:sz w:val="32"/>
          <w:szCs w:val="32"/>
          <w:lang w:val="zh-CN"/>
        </w:rPr>
        <w:t>涉企事项</w:t>
      </w:r>
      <w:r>
        <w:rPr>
          <w:rFonts w:hint="default" w:ascii="Times New Roman" w:hAnsi="Times New Roman" w:eastAsia="仿宋_GB2312" w:cs="Times New Roman"/>
          <w:sz w:val="32"/>
          <w:szCs w:val="32"/>
        </w:rPr>
        <w:t>问题清单，选取企业关注、改革诉求迫切的清单相关事项，在法律法规允许范围内，有序推进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证照分离</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改革，实现从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以部门为中心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的单个事项改革，转向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以企业为中心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办成</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一件事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的业务流程再造，向企业提供精细化服务，激发市场活力，培育企业新动能，破解</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准入不准营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问题，促进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照后减证</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和简化审批。进一步强化与上级部门的主动对接，明确工作程序、工作流程和办事指南，制定改革配套监管标准、监管方式、监管措施，为改革落地夯实基础。</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cs="Times New Roman"/>
        </w:rPr>
      </w:pPr>
      <w:r>
        <w:rPr>
          <w:rFonts w:hint="default" w:ascii="Times New Roman" w:hAnsi="Times New Roman" w:eastAsia="楷体_GB2312" w:cs="Times New Roman"/>
          <w:b/>
          <w:bCs/>
          <w:sz w:val="32"/>
          <w:szCs w:val="32"/>
        </w:rPr>
        <w:t>统筹推进</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证照联办</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改革。</w:t>
      </w:r>
      <w:r>
        <w:rPr>
          <w:rFonts w:hint="default" w:ascii="Times New Roman" w:hAnsi="Times New Roman" w:eastAsia="仿宋_GB2312" w:cs="Times New Roman"/>
          <w:sz w:val="32"/>
          <w:szCs w:val="32"/>
        </w:rPr>
        <w:t>依托全市开办企业一网通平台，统筹推进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证照分离</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证照联办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改革，探索建立证照联办审批系统，集成商事登记和行政许可审批服务，进一步压缩区级食品药品许可审批时限和层级。强化科技赋能，探索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准入准营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全程电子化改革，逐步推行全流程智能网上联办联审。加快实行流程再造，梳理行政许可事项、压缩许可审批时限80%以上，全面实行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告知承诺制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，探索实施</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证照合一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证照通取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，打破事权划分，实现证照的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化学融合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强化</w:t>
      </w:r>
      <w:r>
        <w:rPr>
          <w:rFonts w:hint="default" w:ascii="Times New Roman" w:hAnsi="Times New Roman" w:eastAsia="楷体_GB2312" w:cs="Times New Roman"/>
          <w:b/>
          <w:bCs/>
          <w:sz w:val="32"/>
          <w:szCs w:val="32"/>
          <w:lang w:val="zh-CN"/>
        </w:rPr>
        <w:t>事中事后监管。</w:t>
      </w:r>
      <w:r>
        <w:rPr>
          <w:rFonts w:hint="default" w:ascii="Times New Roman" w:hAnsi="Times New Roman" w:eastAsia="仿宋_GB2312" w:cs="Times New Roman"/>
          <w:sz w:val="32"/>
          <w:szCs w:val="32"/>
        </w:rPr>
        <w:t>牢牢把握事中事后监管的底线要求，</w:t>
      </w:r>
      <w:r>
        <w:rPr>
          <w:rFonts w:hint="default" w:ascii="Times New Roman" w:hAnsi="Times New Roman" w:eastAsia="仿宋_GB2312" w:cs="Times New Roman"/>
          <w:sz w:val="32"/>
          <w:szCs w:val="32"/>
          <w:lang w:val="zh-CN"/>
        </w:rPr>
        <w:t>按照</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谁审批、谁监管，谁主管、谁监管</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原则，加强审批与监管的衔接，健全监管规则和标准，全面推行</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双随机、一公开</w:t>
      </w:r>
      <w:r>
        <w:rPr>
          <w:rFonts w:hint="eastAsia" w:ascii="Times New Roman" w:hAnsi="Times New Roman" w:cs="Times New Roman"/>
          <w:sz w:val="32"/>
          <w:szCs w:val="32"/>
          <w:lang w:val="zh-CN"/>
        </w:rPr>
        <w:t>”</w:t>
      </w:r>
      <w:r>
        <w:rPr>
          <w:rFonts w:hint="default" w:ascii="Times New Roman" w:hAnsi="Times New Roman" w:eastAsia="仿宋_GB2312" w:cs="Times New Roman"/>
          <w:sz w:val="32"/>
          <w:szCs w:val="32"/>
          <w:lang w:val="zh-CN"/>
        </w:rPr>
        <w:t>监管，</w:t>
      </w:r>
      <w:r>
        <w:rPr>
          <w:rFonts w:hint="default" w:ascii="Times New Roman" w:hAnsi="Times New Roman" w:eastAsia="仿宋_GB2312" w:cs="Times New Roman"/>
          <w:sz w:val="32"/>
          <w:szCs w:val="32"/>
        </w:rPr>
        <w:t>进一步发挥市场监管和企业信用信息平台作用，</w:t>
      </w:r>
      <w:r>
        <w:rPr>
          <w:rFonts w:hint="default" w:ascii="Times New Roman" w:hAnsi="Times New Roman" w:eastAsia="仿宋_GB2312" w:cs="Times New Roman"/>
          <w:sz w:val="32"/>
          <w:szCs w:val="32"/>
          <w:lang w:val="zh-CN"/>
        </w:rPr>
        <w:t>建立联动信息管理和公示平台，构建跨部门</w:t>
      </w:r>
      <w:r>
        <w:rPr>
          <w:rFonts w:hint="default" w:ascii="Times New Roman" w:hAnsi="Times New Roman" w:eastAsia="仿宋_GB2312" w:cs="Times New Roman"/>
          <w:sz w:val="32"/>
          <w:szCs w:val="32"/>
        </w:rPr>
        <w:t>信息共享、</w:t>
      </w:r>
      <w:r>
        <w:rPr>
          <w:rFonts w:hint="default" w:ascii="Times New Roman" w:hAnsi="Times New Roman" w:eastAsia="仿宋_GB2312" w:cs="Times New Roman"/>
          <w:sz w:val="32"/>
          <w:szCs w:val="32"/>
          <w:lang w:val="zh-CN"/>
        </w:rPr>
        <w:t>联合监管和承诺事项回查、纠正机制</w:t>
      </w:r>
      <w:r>
        <w:rPr>
          <w:rStyle w:val="17"/>
          <w:rFonts w:hint="default" w:ascii="Times New Roman" w:hAnsi="Times New Roman" w:eastAsia="仿宋_GB2312" w:cs="Times New Roman"/>
          <w:b w:val="0"/>
          <w:sz w:val="32"/>
          <w:szCs w:val="32"/>
          <w:shd w:val="clear" w:color="auto" w:fill="FFFFFF"/>
        </w:rPr>
        <w:t>，</w:t>
      </w:r>
      <w:r>
        <w:rPr>
          <w:rFonts w:hint="default" w:ascii="Times New Roman" w:hAnsi="Times New Roman" w:eastAsia="仿宋_GB2312" w:cs="Times New Roman"/>
          <w:sz w:val="32"/>
          <w:szCs w:val="32"/>
        </w:rPr>
        <w:t>加强诚信体系建设和</w:t>
      </w:r>
      <w:r>
        <w:rPr>
          <w:rFonts w:hint="default" w:ascii="Times New Roman" w:hAnsi="Times New Roman" w:eastAsia="仿宋_GB2312" w:cs="Times New Roman"/>
          <w:sz w:val="32"/>
          <w:szCs w:val="32"/>
          <w:lang w:val="zh-CN"/>
        </w:rPr>
        <w:t>信用监管，依法查处虚假承诺、违规经营等行为并记入信用记录，实行失信联合惩戒，增强监管威慑力，对严重违法经营的企业及相关责任人员，依法撤销、吊销有关证照，实施市场禁入措施。</w:t>
      </w:r>
    </w:p>
    <w:p>
      <w:pPr>
        <w:tabs>
          <w:tab w:val="left" w:pos="420"/>
          <w:tab w:val="left" w:pos="630"/>
        </w:tabs>
        <w:spacing w:line="240" w:lineRule="auto"/>
        <w:jc w:val="center"/>
        <w:rPr>
          <w:rFonts w:hint="default" w:ascii="Times New Roman" w:hAnsi="Times New Roman" w:eastAsia="方正楷体_GBK" w:cs="Times New Roman"/>
          <w:b w:val="0"/>
          <w:bCs/>
          <w:sz w:val="32"/>
        </w:rPr>
      </w:pPr>
      <w:bookmarkStart w:id="14" w:name="_Toc67319059"/>
      <w:r>
        <w:rPr>
          <w:rFonts w:hint="default" w:ascii="Times New Roman" w:hAnsi="Times New Roman" w:eastAsia="方正楷体_GBK" w:cs="Times New Roman"/>
          <w:b w:val="0"/>
          <w:bCs/>
          <w:sz w:val="32"/>
        </w:rPr>
        <w:t>第三节 深化注销便利化改革</w:t>
      </w:r>
      <w:bookmarkEnd w:id="14"/>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深化</w:t>
      </w:r>
      <w:r>
        <w:rPr>
          <w:rFonts w:hint="default" w:ascii="Times New Roman" w:hAnsi="Times New Roman" w:eastAsia="楷体_GB2312" w:cs="Times New Roman"/>
          <w:b/>
          <w:bCs/>
          <w:sz w:val="32"/>
          <w:szCs w:val="32"/>
          <w:lang w:val="zh-CN"/>
        </w:rPr>
        <w:t>注销制度</w:t>
      </w:r>
      <w:r>
        <w:rPr>
          <w:rFonts w:hint="default" w:ascii="Times New Roman" w:hAnsi="Times New Roman" w:eastAsia="楷体_GB2312" w:cs="Times New Roman"/>
          <w:b/>
          <w:bCs/>
          <w:sz w:val="32"/>
          <w:szCs w:val="32"/>
        </w:rPr>
        <w:t>改革</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rPr>
        <w:t>聚焦企业全生命周期，深化注销便利化改革，优化普通注销制度，简化普通注销流程。加快建立企业注销疑难事项协调解决机制，强化行政机关与司法机关合作，推进司法处置国有僵尸企业。加大企业简易注销登记改革力度，扩展简易注销企业类型的适用范围，将依职权注销适用主体推广到企业，探索建立企业强制出清制度，完善企业撤销登记程序。压缩简易注销登记公告时间，探索建立企业简易注销容错机制。加大企业简易注销推广力度，积极引导符合条件的企业通过简易注销程序办理注销登记。</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优化企业注销服务。</w:t>
      </w:r>
      <w:r>
        <w:rPr>
          <w:rFonts w:hint="default" w:ascii="Times New Roman" w:hAnsi="Times New Roman" w:eastAsia="仿宋_GB2312" w:cs="Times New Roman"/>
          <w:sz w:val="32"/>
          <w:szCs w:val="32"/>
        </w:rPr>
        <w:t>推行税务注销分类处理，对符合条件的企业实行清税证明免办服务和简易注销程序。推行市场监管、税务、人社、科工商信、公安、银行等部门信息共享，加强跨部门业务协同，实现一般企业注销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一事一网一窗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办理，真正实现企业注销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服务，提升企业办事体验。</w:t>
      </w:r>
    </w:p>
    <w:p>
      <w:pPr>
        <w:tabs>
          <w:tab w:val="left" w:pos="420"/>
          <w:tab w:val="left" w:pos="630"/>
        </w:tabs>
        <w:spacing w:line="240" w:lineRule="auto"/>
        <w:jc w:val="center"/>
        <w:rPr>
          <w:rFonts w:hint="default" w:ascii="Times New Roman" w:hAnsi="Times New Roman" w:eastAsia="方正楷体_GBK" w:cs="Times New Roman"/>
          <w:b w:val="0"/>
          <w:bCs/>
          <w:sz w:val="32"/>
        </w:rPr>
      </w:pPr>
      <w:bookmarkStart w:id="15" w:name="_Toc67319060"/>
      <w:r>
        <w:rPr>
          <w:rFonts w:hint="default" w:ascii="Times New Roman" w:hAnsi="Times New Roman" w:eastAsia="方正楷体_GBK" w:cs="Times New Roman"/>
          <w:b w:val="0"/>
          <w:bCs/>
          <w:sz w:val="32"/>
        </w:rPr>
        <w:t>第四节 支持民营经济发展</w:t>
      </w:r>
      <w:bookmarkEnd w:id="15"/>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壮大民营企业市场主体。</w:t>
      </w:r>
      <w:r>
        <w:rPr>
          <w:rFonts w:hint="default" w:ascii="Times New Roman" w:hAnsi="Times New Roman" w:eastAsia="仿宋_GB2312" w:cs="Times New Roman"/>
          <w:sz w:val="32"/>
          <w:szCs w:val="32"/>
        </w:rPr>
        <w:t>鼓励</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经济形态发展，实施包容审慎监管，深入推进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经济登记注册便利化；支持国家战略新兴行业发展，结合大数据等技术手段，为新兴企业提供智能化、标准化、规范化的经营范围。对电商、微商、居民楼内从事经营活动、培训机构等多种经营活动按照法律法规规定进行规范办照。</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黑体" w:cs="Times New Roman"/>
          <w:bCs/>
          <w:sz w:val="32"/>
          <w:szCs w:val="32"/>
        </w:rPr>
      </w:pPr>
      <w:r>
        <w:rPr>
          <w:rFonts w:hint="default" w:ascii="Times New Roman" w:hAnsi="Times New Roman" w:eastAsia="楷体_GB2312" w:cs="Times New Roman"/>
          <w:b/>
          <w:bCs/>
          <w:sz w:val="32"/>
          <w:szCs w:val="32"/>
        </w:rPr>
        <w:t>优化民营企业服务。</w:t>
      </w:r>
      <w:r>
        <w:rPr>
          <w:rFonts w:hint="default" w:ascii="Times New Roman" w:hAnsi="Times New Roman" w:eastAsia="仿宋_GB2312" w:cs="Times New Roman"/>
          <w:sz w:val="32"/>
          <w:szCs w:val="32"/>
        </w:rPr>
        <w:t>支持个体私营经济和小微企业发展，鼓励和引导</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个转企</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。完善民营企业信用监管体系，进一步规范涉企行政检查和收费政策工作，切实减轻民营企业负担。加强非公党建、团建工作，巩固和扩大党在非公经济组织中的覆盖面。</w:t>
      </w:r>
    </w:p>
    <w:p>
      <w:pPr>
        <w:jc w:val="center"/>
        <w:rPr>
          <w:rFonts w:hint="eastAsia" w:ascii="黑体" w:hAnsi="黑体" w:eastAsia="黑体" w:cs="黑体"/>
        </w:rPr>
      </w:pPr>
      <w:bookmarkStart w:id="16" w:name="_Toc67319061"/>
      <w:r>
        <w:rPr>
          <w:rFonts w:hint="eastAsia" w:ascii="黑体" w:hAnsi="黑体" w:eastAsia="黑体" w:cs="黑体"/>
        </w:rPr>
        <w:t>第四章 规范市场竞争体系</w:t>
      </w:r>
      <w:bookmarkEnd w:id="16"/>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放管结合，切实加强重点市场事中事后监管，落实监管责任，健全监管规则，创新监管方式，规范企业生产经营行为，维护公平竞争，维护市场秩序，加快构建权责明确、公平公正、公开透明、简约高效的事中事后监管体系，切实管出公平、管出效率、管出活力，促进提高市场主体竞争力和市场效率，推动经济社会持续健康发展。</w:t>
      </w:r>
    </w:p>
    <w:p>
      <w:pPr>
        <w:jc w:val="center"/>
        <w:rPr>
          <w:rFonts w:hint="eastAsia" w:ascii="楷体_GB2312" w:hAnsi="楷体_GB2312" w:eastAsia="楷体_GB2312" w:cs="楷体_GB2312"/>
          <w:b w:val="0"/>
        </w:rPr>
      </w:pPr>
      <w:bookmarkStart w:id="17" w:name="_Toc67319062"/>
      <w:r>
        <w:rPr>
          <w:rFonts w:hint="eastAsia" w:ascii="楷体_GB2312" w:hAnsi="楷体_GB2312" w:eastAsia="楷体_GB2312" w:cs="楷体_GB2312"/>
          <w:b w:val="0"/>
        </w:rPr>
        <w:t>第一节 加强重点市场监管</w:t>
      </w:r>
      <w:bookmarkEnd w:id="17"/>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加强网络市场监管。</w:t>
      </w:r>
      <w:r>
        <w:rPr>
          <w:rFonts w:hint="default" w:ascii="Times New Roman" w:hAnsi="Times New Roman" w:eastAsia="仿宋_GB2312" w:cs="Times New Roman"/>
          <w:kern w:val="0"/>
          <w:sz w:val="32"/>
          <w:szCs w:val="32"/>
        </w:rPr>
        <w:t>大力贯宣《电子商务法》和《网络交易监督管理办法》，</w:t>
      </w:r>
      <w:r>
        <w:rPr>
          <w:rFonts w:hint="default" w:ascii="Times New Roman" w:hAnsi="Times New Roman" w:eastAsia="仿宋_GB2312" w:cs="Times New Roman"/>
          <w:sz w:val="32"/>
          <w:szCs w:val="32"/>
        </w:rPr>
        <w:t>推进依法管网，引导、督促网络交易平台落实主体责任，规范网络商品和服务经营者行为，推动网络身份认证、网店实名制、网上亮照亮标，保障网络经营活动的规范性和可追溯性。以市场主体年报涉网信息为基础，坚持网上搜索和实地检查相结合，加快网络市场经营主体建档和信用体系建设，加大经费投入和技术支撑力度，完善本地网络经营主体数据库，健全网络经济户口。加强信息共享、协同监管和协同执法，提升监管和执法效能。加强对网络售假、虚假宣传、虚假促销、刷单炒信、恶意诋毁等网络市场违法行为的治理，加强对社交电商、手机应用软件商城等新模式，以及农村电商、服务电商、直播电商等新业态的监管，配合探索建立风险监测、网上抽查、源头追溯、属地查处、信用管理、电子商务产品质量监督机制，推动线上线下一体化监管。</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加强广告市场监管。</w:t>
      </w:r>
      <w:r>
        <w:rPr>
          <w:rFonts w:hint="default" w:ascii="Times New Roman" w:hAnsi="Times New Roman" w:eastAsia="仿宋_GB2312" w:cs="Times New Roman"/>
          <w:sz w:val="32"/>
          <w:szCs w:val="32"/>
        </w:rPr>
        <w:t>树立现代广告市场监管理念，突出广告导向监管，加强广告法律法规宣贯培训，提高广告主、广告经营者、广告发布者的守法经营意识和消费者识别虚假违法广告的能力，创新广告市场监管机制，构建广告市场监管新模式，全力建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以导向监管为重点、以智慧监管为支撑、以信用监管为依托、以协同监管为抓手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广告监管治理体系，不断提高广告协同监管能力和水平。以整治虚假违法广告专项行动为抓手，发挥行业主管部门职能优势，强化信息沟通机制，细化部门职责和协调配合事项，加强执法协作，加大房地产、金融投资、旅游服务、教育培训等重点领域虚假违法广告案件查处力度，定期曝光典型案件，发挥震慑作用。深入开展互联网广告整治行动。以社会影响大、覆盖面广的门户网站、搜索引擎、移动客户端和新媒体等作为互联网媒介的监管重点，加强对互联网用户公众账号、移动APP广告等新业态的监管力度，建立健全监测制度，完善监测措施，及时发现和处理违法广告。加大违法互联网广告的惩治力度，实施协同共治，坚持线上线下一个标准、一把尺子、一体监管，着力祛除互联网广告</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顽疾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b/>
          <w:sz w:val="32"/>
          <w:szCs w:val="32"/>
        </w:rPr>
        <w:t>加强农贸市场监管。</w:t>
      </w:r>
      <w:r>
        <w:rPr>
          <w:rStyle w:val="24"/>
          <w:rFonts w:hint="default" w:ascii="Times New Roman" w:hAnsi="Times New Roman" w:eastAsia="仿宋_GB2312" w:cs="Times New Roman"/>
          <w:sz w:val="32"/>
          <w:szCs w:val="32"/>
        </w:rPr>
        <w:t>建</w:t>
      </w:r>
      <w:r>
        <w:rPr>
          <w:rFonts w:hint="default" w:ascii="Times New Roman" w:hAnsi="Times New Roman" w:eastAsia="仿宋_GB2312" w:cs="Times New Roman"/>
          <w:sz w:val="32"/>
          <w:szCs w:val="32"/>
        </w:rPr>
        <w:t>立农贸市场联合监</w:t>
      </w:r>
      <w:r>
        <w:rPr>
          <w:rStyle w:val="24"/>
          <w:rFonts w:hint="default" w:ascii="Times New Roman" w:hAnsi="Times New Roman" w:eastAsia="仿宋_GB2312" w:cs="Times New Roman"/>
          <w:sz w:val="32"/>
          <w:szCs w:val="32"/>
        </w:rPr>
        <w:t>管制度，健全各职能部门工作落实和衔接制度，增强履职自觉性，强化协作有效性。加强监管队伍建设，充实各级监管力量，加大执法检查力度，积极开展产品检测活动。</w:t>
      </w:r>
      <w:r>
        <w:rPr>
          <w:rFonts w:hint="default" w:ascii="Times New Roman" w:hAnsi="Times New Roman" w:eastAsia="仿宋_GB2312" w:cs="Times New Roman"/>
          <w:sz w:val="32"/>
          <w:szCs w:val="32"/>
        </w:rPr>
        <w:t>全面推行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食品现场快速检测和应用农产品溯源系统</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监管模式，推动农贸市场快检全覆盖。</w:t>
      </w:r>
      <w:r>
        <w:rPr>
          <w:rStyle w:val="24"/>
          <w:rFonts w:hint="default" w:ascii="Times New Roman" w:hAnsi="Times New Roman" w:eastAsia="仿宋_GB2312" w:cs="Times New Roman"/>
          <w:sz w:val="32"/>
          <w:szCs w:val="32"/>
        </w:rPr>
        <w:t>协调推进齐抓共管工作，积极开展多部门联合巡检巡查活动，</w:t>
      </w:r>
      <w:r>
        <w:rPr>
          <w:rFonts w:hint="default" w:ascii="Times New Roman" w:hAnsi="Times New Roman" w:eastAsia="仿宋_GB2312" w:cs="Times New Roman"/>
          <w:sz w:val="32"/>
          <w:szCs w:val="32"/>
        </w:rPr>
        <w:t>实施农贸市场经营秩序专项整治行动，</w:t>
      </w:r>
      <w:r>
        <w:rPr>
          <w:rFonts w:hint="default" w:ascii="Times New Roman" w:hAnsi="Times New Roman" w:eastAsia="仿宋_GB2312" w:cs="Times New Roman"/>
          <w:kern w:val="0"/>
          <w:sz w:val="32"/>
          <w:szCs w:val="32"/>
        </w:rPr>
        <w:t>依法</w:t>
      </w:r>
      <w:r>
        <w:rPr>
          <w:rStyle w:val="24"/>
          <w:rFonts w:hint="default" w:ascii="Times New Roman" w:hAnsi="Times New Roman" w:eastAsia="仿宋_GB2312" w:cs="Times New Roman"/>
          <w:sz w:val="32"/>
          <w:szCs w:val="32"/>
        </w:rPr>
        <w:t>严查食品安全违法行为，维护农贸市场秩序。完善农贸市场基层治理制度，</w:t>
      </w:r>
      <w:r>
        <w:rPr>
          <w:rFonts w:hint="default" w:ascii="Times New Roman" w:hAnsi="Times New Roman" w:eastAsia="仿宋_GB2312" w:cs="Times New Roman"/>
          <w:sz w:val="32"/>
          <w:szCs w:val="32"/>
        </w:rPr>
        <w:t>加强农贸市场综合治理。</w:t>
      </w:r>
      <w:r>
        <w:rPr>
          <w:rStyle w:val="24"/>
          <w:rFonts w:hint="default" w:ascii="Times New Roman" w:hAnsi="Times New Roman" w:eastAsia="仿宋_GB2312" w:cs="Times New Roman"/>
          <w:sz w:val="32"/>
          <w:szCs w:val="32"/>
        </w:rPr>
        <w:t>健全农贸市场应急演练和食品安全应急处置机制，构建上下联动、左右协调的应急管理网络。压实市场开办者对市场和经营者的管理责任，</w:t>
      </w:r>
      <w:r>
        <w:rPr>
          <w:rFonts w:hint="default" w:ascii="Times New Roman" w:hAnsi="Times New Roman" w:eastAsia="仿宋_GB2312" w:cs="Times New Roman"/>
          <w:sz w:val="32"/>
          <w:szCs w:val="32"/>
        </w:rPr>
        <w:t>督促市场开办</w:t>
      </w:r>
      <w:r>
        <w:rPr>
          <w:rStyle w:val="24"/>
          <w:rFonts w:hint="default" w:ascii="Times New Roman" w:hAnsi="Times New Roman" w:eastAsia="仿宋_GB2312" w:cs="Times New Roman"/>
          <w:sz w:val="32"/>
          <w:szCs w:val="32"/>
        </w:rPr>
        <w:t>者加强经营管理指引，加大设备、人员投入和经费保障，</w:t>
      </w:r>
      <w:r>
        <w:rPr>
          <w:rFonts w:hint="default" w:ascii="Times New Roman" w:hAnsi="Times New Roman" w:eastAsia="仿宋_GB2312" w:cs="Times New Roman"/>
          <w:sz w:val="32"/>
          <w:szCs w:val="32"/>
        </w:rPr>
        <w:t>完善市场运营组织架构与管理制度体系，加强经营管理人员队伍建设，</w:t>
      </w:r>
      <w:r>
        <w:rPr>
          <w:rStyle w:val="24"/>
          <w:rFonts w:hint="default" w:ascii="Times New Roman" w:hAnsi="Times New Roman" w:eastAsia="仿宋_GB2312" w:cs="Times New Roman"/>
          <w:sz w:val="32"/>
          <w:szCs w:val="32"/>
        </w:rPr>
        <w:t>建立专兼职食品安全信息员队伍，</w:t>
      </w:r>
      <w:r>
        <w:rPr>
          <w:rFonts w:hint="default" w:ascii="Times New Roman" w:hAnsi="Times New Roman" w:eastAsia="仿宋_GB2312" w:cs="Times New Roman"/>
          <w:sz w:val="32"/>
          <w:szCs w:val="32"/>
        </w:rPr>
        <w:t>推动诚信示范市场建设，全周期记录市场各项经营管理活动数据，及时披露和公示市场各类不诚信经营信息，</w:t>
      </w:r>
      <w:r>
        <w:rPr>
          <w:rStyle w:val="24"/>
          <w:rFonts w:hint="default" w:ascii="Times New Roman" w:hAnsi="Times New Roman" w:eastAsia="仿宋_GB2312" w:cs="Times New Roman"/>
          <w:sz w:val="32"/>
          <w:szCs w:val="32"/>
        </w:rPr>
        <w:t>协助处理消费纠纷，保证市场安全有序运行。全面落实休市工作要求，配合相关部门落实</w:t>
      </w:r>
      <w:r>
        <w:rPr>
          <w:rStyle w:val="24"/>
          <w:rFonts w:hint="eastAsia" w:ascii="Times New Roman" w:hAnsi="Times New Roman" w:cs="Times New Roman"/>
          <w:sz w:val="32"/>
          <w:szCs w:val="32"/>
          <w:lang w:eastAsia="zh-CN"/>
        </w:rPr>
        <w:t>“</w:t>
      </w:r>
      <w:r>
        <w:rPr>
          <w:rStyle w:val="24"/>
          <w:rFonts w:hint="default" w:ascii="Times New Roman" w:hAnsi="Times New Roman" w:eastAsia="仿宋_GB2312" w:cs="Times New Roman"/>
          <w:sz w:val="32"/>
          <w:szCs w:val="32"/>
        </w:rPr>
        <w:t>1110</w:t>
      </w:r>
      <w:r>
        <w:rPr>
          <w:rStyle w:val="24"/>
          <w:rFonts w:hint="eastAsia" w:ascii="Times New Roman" w:hAnsi="Times New Roman" w:cs="Times New Roman"/>
          <w:sz w:val="32"/>
          <w:szCs w:val="32"/>
          <w:lang w:eastAsia="zh-CN"/>
        </w:rPr>
        <w:t>”</w:t>
      </w:r>
      <w:r>
        <w:rPr>
          <w:rStyle w:val="24"/>
          <w:rFonts w:hint="default" w:ascii="Times New Roman" w:hAnsi="Times New Roman" w:eastAsia="仿宋_GB2312" w:cs="Times New Roman"/>
          <w:sz w:val="32"/>
          <w:szCs w:val="32"/>
        </w:rPr>
        <w:t>工作制度</w:t>
      </w:r>
      <w:r>
        <w:rPr>
          <w:rFonts w:hint="default" w:ascii="Times New Roman" w:hAnsi="Times New Roman" w:eastAsia="仿宋_GB2312" w:cs="Times New Roman"/>
          <w:sz w:val="32"/>
          <w:szCs w:val="32"/>
        </w:rPr>
        <w:t>，严格落实禽类批发市场和农贸肉菜市场禽流感防控措施。</w:t>
      </w:r>
      <w:r>
        <w:rPr>
          <w:rStyle w:val="24"/>
          <w:rFonts w:hint="default" w:ascii="Times New Roman" w:hAnsi="Times New Roman" w:eastAsia="仿宋_GB2312" w:cs="Times New Roman"/>
          <w:sz w:val="32"/>
          <w:szCs w:val="32"/>
        </w:rPr>
        <w:t>建立严谨的进货查验和产品追溯管理制度，强化产品溯源工作机制，严防无合法来源产品进入农贸市场。完善经营者准入制度，提高进入农贸市场从事经营活动的标准和门槛。建立有效的人员健康管理和日常监测制度，杜绝健康不合格人员经销食用农产品。压实经营者对产品的溯源把关责任，严把产品来源关、运输关、储存关，坚持索票索证，保证记录真实完整，规范经营管理行为，确保产品安全卫生。</w:t>
      </w:r>
    </w:p>
    <w:p>
      <w:pPr>
        <w:jc w:val="center"/>
        <w:rPr>
          <w:rFonts w:hint="default" w:ascii="楷体_GB2312" w:hAnsi="楷体_GB2312" w:eastAsia="楷体_GB2312" w:cs="楷体_GB2312"/>
          <w:b w:val="0"/>
        </w:rPr>
      </w:pPr>
      <w:bookmarkStart w:id="18" w:name="_Toc67319063"/>
      <w:r>
        <w:rPr>
          <w:rFonts w:hint="default" w:ascii="楷体_GB2312" w:hAnsi="楷体_GB2312" w:eastAsia="楷体_GB2312" w:cs="楷体_GB2312"/>
          <w:b w:val="0"/>
        </w:rPr>
        <w:t>第二节 强化竞争执法力度</w:t>
      </w:r>
      <w:bookmarkEnd w:id="18"/>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kern w:val="0"/>
          <w:sz w:val="31"/>
          <w:szCs w:val="31"/>
        </w:rPr>
      </w:pPr>
      <w:r>
        <w:rPr>
          <w:rFonts w:hint="default" w:ascii="Times New Roman" w:hAnsi="Times New Roman" w:eastAsia="楷体_GB2312" w:cs="Times New Roman"/>
          <w:b/>
          <w:bCs/>
          <w:sz w:val="32"/>
          <w:szCs w:val="32"/>
        </w:rPr>
        <w:t>全面落实公平竞争审查制度。</w:t>
      </w:r>
      <w:r>
        <w:rPr>
          <w:rFonts w:hint="default" w:ascii="Times New Roman" w:hAnsi="Times New Roman" w:eastAsia="仿宋_GB2312" w:cs="Times New Roman"/>
          <w:kern w:val="0"/>
          <w:sz w:val="32"/>
          <w:szCs w:val="32"/>
        </w:rPr>
        <w:t>完善公平竞争审查联席会议制度，指导政策制定机关开展公平竞争审查和相关政策措施清理工作。进一步明确和细化纳入公平竞争审查范围的政策措施类别，确保全面覆盖、应审必审。落实审查规则，细化审查标准，进一步</w:t>
      </w:r>
      <w:r>
        <w:rPr>
          <w:rFonts w:hint="default" w:ascii="Times New Roman" w:hAnsi="Times New Roman" w:eastAsia="仿宋_GB2312" w:cs="Times New Roman"/>
          <w:kern w:val="0"/>
          <w:sz w:val="32"/>
          <w:szCs w:val="32"/>
          <w:lang w:val="zh-CN"/>
        </w:rPr>
        <w:t>规范政策措施的出台、执行、纠错等程序，力求做到政策出台前进行全方位公平竞争审查，出现排除限制竞争行为后立即修订废止相关政策。建立公平竞争审查第三方评估制度，丰富审查工具和方法，提高审查质量</w:t>
      </w:r>
      <w:r>
        <w:rPr>
          <w:rFonts w:hint="default" w:ascii="Times New Roman" w:hAnsi="Times New Roman" w:eastAsia="仿宋_GB2312" w:cs="Times New Roman"/>
          <w:kern w:val="0"/>
          <w:sz w:val="32"/>
          <w:szCs w:val="32"/>
        </w:rPr>
        <w:t>和效果</w:t>
      </w: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rPr>
        <w:t>建立公平竞争审查监督考核及通报公示制度，优化面向各类市场主体的公平竞争审查举报处理和回应机制，强化监督问责与社会监督。</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bCs/>
          <w:kern w:val="0"/>
          <w:sz w:val="32"/>
          <w:szCs w:val="32"/>
          <w:lang w:val="zh-CN"/>
        </w:rPr>
        <w:t>加强反不正当竞争执法。</w:t>
      </w:r>
      <w:r>
        <w:rPr>
          <w:rFonts w:hint="default" w:ascii="Times New Roman" w:hAnsi="Times New Roman" w:eastAsia="仿宋_GB2312" w:cs="Times New Roman"/>
          <w:kern w:val="0"/>
          <w:sz w:val="32"/>
          <w:szCs w:val="32"/>
        </w:rPr>
        <w:t>建立完善多层次、全方位的反不正当竞争执法监管体系，深化反不正当竞争执法监管机制建设，防范、打击破坏市场竞争规则、扰乱市场竞争秩序的不正当竞争行为，建立完善反不正当竞争组织保障机制、执法协作与区域合作机制、防范预警机制、信息披露与惩戒机制、行业自律与社会监督机制。</w:t>
      </w:r>
      <w:r>
        <w:rPr>
          <w:rFonts w:hint="default" w:ascii="Times New Roman" w:hAnsi="Times New Roman" w:eastAsia="仿宋_GB2312" w:cs="Times New Roman"/>
          <w:kern w:val="0"/>
          <w:sz w:val="32"/>
          <w:szCs w:val="32"/>
          <w:lang w:val="zh-CN"/>
        </w:rPr>
        <w:t>集中优势力量，从保护知识产权、优化营商环境出发，重点解决市场混淆、虚假宣传、侵犯商业秘密等突出问题，查办公布一批典型案件，形成有力震慑和强大声势，切实维护公平竞争市场秩序。</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严厉打击制售假冒伪劣商品行为。</w:t>
      </w:r>
      <w:r>
        <w:rPr>
          <w:rFonts w:hint="default" w:ascii="Times New Roman" w:hAnsi="Times New Roman" w:eastAsia="仿宋_GB2312" w:cs="Times New Roman"/>
          <w:kern w:val="0"/>
          <w:sz w:val="32"/>
          <w:szCs w:val="32"/>
        </w:rPr>
        <w:t>围绕保障和改善民生，加大对与百姓生活密切相关、涉及人身财产安全的日常消费品的打假力度，严惩不符合强制性标准、掺杂掺假、以假充真、以次充好、以不合格产品冒充合格产品等违法行为。坚决打击制售假冒伪劣防疫用品和药品违法犯罪行为，开展违法违规经营使用医疗器械专项整治，开展化妆品</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线上净网线下清源</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专项行动。强化对利用互联网销售假冒伪劣商品和传播制假售假违法信息的监管。加大对城乡结合部、农村假冒伪劣的打击力度，加强对食品药品、农资、家用电器、儿童用品等商品市场的整治，对列入强制性产品认证目录的产品未经认证擅自出厂、销售、进口或者在其他经营活动中使用的行为，加强执法查处。探索建立重点产品追溯制度，完善跨区域执法办案协作机制，强化线索发现、源头追溯、属地查处、联合监管等工作机制，对假冒伪劣商品的生产、流通、销售形成全链条打击。</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统筹做好打击传销与规范直销。</w:t>
      </w:r>
      <w:r>
        <w:rPr>
          <w:rFonts w:hint="default" w:ascii="Times New Roman" w:hAnsi="Times New Roman" w:eastAsia="仿宋_GB2312" w:cs="Times New Roman"/>
          <w:kern w:val="0"/>
          <w:sz w:val="32"/>
          <w:szCs w:val="32"/>
        </w:rPr>
        <w:t>强化传销综合治理，加强对查处传销工作的组织领导和部门执法联动，建立打击传销协作机制、信息技术监控机制、群防群控机制，加强城乡结合部、城中村等传销易聚地的监管，加强流动人口和房屋出租管理，加大对聚集型传销、网络传销有社会影响较大、群众反映强烈的大要案件的监测查处。积极开展传销防范宣传进校园、进社区、进企业、进市场活动，深入开展</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无传销社区（村）</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和</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无传销网络平台</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创建，建立健全传销预防机制，形成强大工作合力。以会议培训、产品宣传为重点,进一步优化直销监管，严格各类直销会议的报备与监管，严禁出现夸大产品功效、夸大奖励回报等虚假宣传内容。加强对直销员及直销企业经销商、合作方、关联方的监管，</w:t>
      </w:r>
      <w:r>
        <w:rPr>
          <w:rFonts w:hint="default" w:ascii="Times New Roman" w:hAnsi="Times New Roman" w:eastAsia="仿宋_GB2312" w:cs="Times New Roman"/>
          <w:kern w:val="0"/>
          <w:sz w:val="32"/>
          <w:szCs w:val="32"/>
          <w:lang w:val="zh-CN"/>
        </w:rPr>
        <w:t>适时召开全</w:t>
      </w:r>
      <w:r>
        <w:rPr>
          <w:rFonts w:hint="default" w:ascii="Times New Roman" w:hAnsi="Times New Roman" w:eastAsia="仿宋_GB2312" w:cs="Times New Roman"/>
          <w:kern w:val="0"/>
          <w:sz w:val="32"/>
          <w:szCs w:val="32"/>
        </w:rPr>
        <w:t>区</w:t>
      </w:r>
      <w:r>
        <w:rPr>
          <w:rFonts w:hint="default" w:ascii="Times New Roman" w:hAnsi="Times New Roman" w:eastAsia="仿宋_GB2312" w:cs="Times New Roman"/>
          <w:kern w:val="0"/>
          <w:sz w:val="32"/>
          <w:szCs w:val="32"/>
          <w:lang w:val="zh-CN"/>
        </w:rPr>
        <w:t>直销企业经销商自律约谈会，</w:t>
      </w:r>
      <w:r>
        <w:rPr>
          <w:rFonts w:hint="default" w:ascii="Times New Roman" w:hAnsi="Times New Roman" w:eastAsia="仿宋_GB2312" w:cs="Times New Roman"/>
          <w:kern w:val="0"/>
          <w:sz w:val="32"/>
          <w:szCs w:val="32"/>
        </w:rPr>
        <w:t>督促直销企业对其经销商的经营行为进行指引和约束，切实规范直销经营行为。</w:t>
      </w:r>
    </w:p>
    <w:p>
      <w:pPr>
        <w:jc w:val="center"/>
        <w:rPr>
          <w:rFonts w:hint="default" w:ascii="楷体_GB2312" w:hAnsi="楷体_GB2312" w:eastAsia="楷体_GB2312" w:cs="楷体_GB2312"/>
          <w:b w:val="0"/>
        </w:rPr>
      </w:pPr>
      <w:bookmarkStart w:id="19" w:name="_Toc67319064"/>
      <w:r>
        <w:rPr>
          <w:rFonts w:hint="default" w:ascii="楷体_GB2312" w:hAnsi="楷体_GB2312" w:eastAsia="楷体_GB2312" w:cs="楷体_GB2312"/>
          <w:b w:val="0"/>
        </w:rPr>
        <w:t>第三节</w:t>
      </w:r>
      <w:r>
        <w:rPr>
          <w:rFonts w:hint="eastAsia" w:ascii="楷体_GB2312" w:hAnsi="楷体_GB2312" w:eastAsia="楷体_GB2312" w:cs="楷体_GB2312"/>
          <w:b w:val="0"/>
          <w:lang w:val="en-US" w:eastAsia="zh-CN"/>
        </w:rPr>
        <w:t xml:space="preserve"> </w:t>
      </w:r>
      <w:r>
        <w:rPr>
          <w:rFonts w:hint="default" w:ascii="楷体_GB2312" w:hAnsi="楷体_GB2312" w:eastAsia="楷体_GB2312" w:cs="楷体_GB2312"/>
          <w:b w:val="0"/>
        </w:rPr>
        <w:t>完善价格监管机制</w:t>
      </w:r>
      <w:bookmarkEnd w:id="19"/>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rPr>
        <w:t>强化各行业领域价格行为监管。</w:t>
      </w:r>
      <w:r>
        <w:rPr>
          <w:rFonts w:hint="default" w:ascii="Times New Roman" w:hAnsi="Times New Roman" w:eastAsia="仿宋_GB2312" w:cs="Times New Roman"/>
          <w:kern w:val="0"/>
          <w:sz w:val="32"/>
          <w:szCs w:val="32"/>
        </w:rPr>
        <w:t>加强重点商品和重点时段价格监管，加大对药品、医疗器械和猪肉、粮油、蛋菜等重点民生商品价格和节假日、重大活动期间等重点价格的监管力度，加强重要商品市场价格波动预警，严厉查处哄抬价格、串通涨价等违法行为。加强商场、超市、网络购物、药店、宾馆、旅店、餐饮、酒店、美容美发、娱乐健身场所、农贸市场、涉农物资等重点行业领域价格监管，严厉打击不按规定明码标价、价格欺诈、价格串通和哄抬价格等不正当价格行为。有步骤、有重点地组织开展水、电、气、油、交通运输、通信、环保、住房租赁和物业管理等重点领域价格改革的跟踪检查，坚决制止强制服务收费和乱收费、不明码标价收费等行为。</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rPr>
        <w:t>重点保障降费惠企政策落地落实。</w:t>
      </w:r>
      <w:r>
        <w:rPr>
          <w:rFonts w:hint="default" w:ascii="Times New Roman" w:hAnsi="Times New Roman" w:eastAsia="仿宋_GB2312" w:cs="Times New Roman"/>
          <w:sz w:val="32"/>
          <w:szCs w:val="32"/>
        </w:rPr>
        <w:t>依法</w:t>
      </w:r>
      <w:r>
        <w:rPr>
          <w:rFonts w:hint="default" w:ascii="Times New Roman" w:hAnsi="Times New Roman" w:eastAsia="仿宋_GB2312" w:cs="Times New Roman"/>
          <w:kern w:val="0"/>
          <w:sz w:val="32"/>
          <w:szCs w:val="32"/>
        </w:rPr>
        <w:t>加强清理口岸收费监督检查，督促取消不合理收费项目。督促供电、供气、公路等领域严格落实各项阶段性降价政策。加强商业银行收费监管，从严规范治理违规收费行为。规范电子政务平台、工程质量监管平台收费，督导行业协会依法合规收费。充分发挥12315和12345平台，广泛收集降价降费政策不落实或落实不到位等问题线索，加大检查抽查和通报曝光力度。根据企业所属行业、规模等主动精准推送降费惠企政策，抓好降费惠企政策兑现和落实工作。</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黑体" w:cs="Times New Roman"/>
          <w:bCs/>
          <w:sz w:val="32"/>
          <w:szCs w:val="32"/>
        </w:rPr>
      </w:pPr>
      <w:r>
        <w:rPr>
          <w:rFonts w:hint="default" w:ascii="Times New Roman" w:hAnsi="Times New Roman" w:eastAsia="楷体_GB2312" w:cs="Times New Roman"/>
          <w:b/>
          <w:bCs/>
          <w:kern w:val="0"/>
          <w:sz w:val="32"/>
          <w:szCs w:val="32"/>
        </w:rPr>
        <w:t>建立健全价格监管长效机制。</w:t>
      </w:r>
      <w:r>
        <w:rPr>
          <w:rFonts w:hint="default" w:ascii="Times New Roman" w:hAnsi="Times New Roman" w:eastAsia="仿宋_GB2312" w:cs="Times New Roman"/>
          <w:kern w:val="0"/>
          <w:sz w:val="32"/>
          <w:szCs w:val="32"/>
        </w:rPr>
        <w:t>探索建立市场价格监管前移制度，形成重点领域价格行为规范制度，探索不同行业明码标价的规则和方法，完善价格收费公示制度，健全价格收费投诉举报受理、价格收费案件查处工作机制，完善落实价格收费案件查处各项工作制度。针对重大价格违法案件的情况，优化跨区域、跨部门价格执法合作机制，加强沟通协调，提升整体执法效能。</w:t>
      </w:r>
    </w:p>
    <w:p>
      <w:pPr>
        <w:pageBreakBefore w:val="0"/>
        <w:tabs>
          <w:tab w:val="left" w:pos="420"/>
          <w:tab w:val="left" w:pos="630"/>
        </w:tabs>
        <w:kinsoku/>
        <w:wordWrap/>
        <w:overflowPunct/>
        <w:topLinePunct w:val="0"/>
        <w:bidi w:val="0"/>
        <w:spacing w:line="240" w:lineRule="auto"/>
        <w:ind w:firstLine="632" w:firstLineChars="200"/>
        <w:jc w:val="center"/>
        <w:textAlignment w:val="auto"/>
        <w:rPr>
          <w:rFonts w:hint="default" w:ascii="Times New Roman" w:hAnsi="Times New Roman" w:eastAsia="黑体" w:cs="Times New Roman"/>
          <w:b w:val="0"/>
          <w:sz w:val="32"/>
          <w:szCs w:val="32"/>
        </w:rPr>
      </w:pPr>
      <w:bookmarkStart w:id="20" w:name="_Toc67319065"/>
      <w:r>
        <w:rPr>
          <w:rFonts w:hint="default" w:ascii="Times New Roman" w:hAnsi="Times New Roman" w:eastAsia="黑体" w:cs="Times New Roman"/>
          <w:b w:val="0"/>
          <w:sz w:val="32"/>
          <w:szCs w:val="32"/>
        </w:rPr>
        <w:t>第五章 优化市场治理体系</w:t>
      </w:r>
      <w:bookmarkEnd w:id="20"/>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变政府大包大揽的传统监管模式，推动形成市场主体自律、行业自治和社会监督协同监管体系，强化消费者权益保护，完善以信用为基础的新型市场监管机制，构建社会多元主体共同参与、共担责任、共同保障、共建共治共享的市场治理体系。</w:t>
      </w:r>
    </w:p>
    <w:p>
      <w:pPr>
        <w:jc w:val="center"/>
        <w:rPr>
          <w:rFonts w:hint="eastAsia" w:ascii="楷体_GB2312" w:hAnsi="楷体_GB2312" w:eastAsia="楷体_GB2312" w:cs="楷体_GB2312"/>
          <w:b w:val="0"/>
        </w:rPr>
      </w:pPr>
      <w:bookmarkStart w:id="21" w:name="_Toc67319066"/>
      <w:r>
        <w:rPr>
          <w:rFonts w:hint="eastAsia" w:ascii="楷体_GB2312" w:hAnsi="楷体_GB2312" w:eastAsia="楷体_GB2312" w:cs="楷体_GB2312"/>
          <w:b w:val="0"/>
        </w:rPr>
        <w:t>第一节 推动形成协同监管体系</w:t>
      </w:r>
      <w:bookmarkEnd w:id="21"/>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强化市场主体责任。</w:t>
      </w:r>
      <w:r>
        <w:rPr>
          <w:rFonts w:hint="default" w:ascii="Times New Roman" w:hAnsi="Times New Roman" w:eastAsia="仿宋_GB2312" w:cs="Times New Roman"/>
          <w:sz w:val="32"/>
          <w:szCs w:val="32"/>
        </w:rPr>
        <w:t>建立完善市场主体首负责任制，促使市场主体在安全生产、质量管理、营销宣传、售后服务等方面加强自我监督，切实履行法定义务。创新市场信用评价机制，推动政府部门信用数据向社会开放，培育发展社会信用评价机构，支持电子商务等互联网平台企业和行业协会商会开展信用评价工作，促进市场参与各方加强自我约束。发挥金融机构的市场制约作用，形成监督有力、风险分担的市场化监督和市场救济机制。</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发挥行业自治作用。</w:t>
      </w:r>
      <w:r>
        <w:rPr>
          <w:rFonts w:hint="default" w:ascii="Times New Roman" w:hAnsi="Times New Roman" w:eastAsia="仿宋_GB2312" w:cs="Times New Roman"/>
          <w:sz w:val="32"/>
          <w:szCs w:val="32"/>
        </w:rPr>
        <w:t>推动行业协会商会建立健全行业经营自律规范、自律公约和职业道德准则，规范会员行为。推动行业协会与政府部门建立沟通合作机制，鼓励行业协会制定发布本行业的产品和服务标准，积极参与制定国家标准、发展规划和政策法规，积极主动向政府有关部门反映会员单位诉求、行业及市场发展动态，协助市场监管机关开展市场监管活动。推动行业协会建立行业性约束和惩戒机制，并与政府、市场、社会建立的惩戒约束机制相衔接。探索建立新型行业自治平台，在事中事后监管各个环节建立行业组织参与机制，发挥在权益保护、资质认定、纠纷处理、失信惩戒等方面的作用，推进政府监管和行业自治的良性互动。</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推动社会监督。</w:t>
      </w:r>
      <w:r>
        <w:rPr>
          <w:rFonts w:hint="default" w:ascii="Times New Roman" w:hAnsi="Times New Roman" w:eastAsia="仿宋_GB2312" w:cs="Times New Roman"/>
          <w:sz w:val="32"/>
          <w:szCs w:val="32"/>
        </w:rPr>
        <w:t>完善政府向社会力量购买服务机制，推动社会组织多渠道参与市场监督。 发挥会计、法律、公证、仲裁、检验检测认证等第三方专业机构的监督作用。扩大采信第三方检验检测认证结果，加强对第三方检验检测认证机构的监督管理。鼓励公众及时发现问题、监督问题处置，鼓励新闻媒体曝光违法违规行为，震慑违法犯罪行为，提高公众认知和防范能力。完善公众参与监督方式，有效运用新媒体等手段畅通公众监督投诉、举报渠道，保障公众的知情权、参与权、监督权。</w:t>
      </w:r>
    </w:p>
    <w:p>
      <w:pPr>
        <w:jc w:val="center"/>
        <w:rPr>
          <w:rFonts w:hint="default" w:ascii="楷体_GB2312" w:hAnsi="楷体_GB2312" w:eastAsia="楷体_GB2312" w:cs="楷体_GB2312"/>
          <w:b w:val="0"/>
          <w:kern w:val="2"/>
          <w:shd w:val="clear" w:color="auto" w:fill="auto"/>
        </w:rPr>
      </w:pPr>
      <w:bookmarkStart w:id="22" w:name="_Toc67319067"/>
      <w:r>
        <w:rPr>
          <w:rFonts w:hint="default" w:ascii="楷体_GB2312" w:hAnsi="楷体_GB2312" w:eastAsia="楷体_GB2312" w:cs="楷体_GB2312"/>
          <w:b w:val="0"/>
        </w:rPr>
        <w:t>第二节 加强消费者权益保护</w:t>
      </w:r>
      <w:bookmarkEnd w:id="2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楷体_GB2312" w:cs="Times New Roman"/>
          <w:b/>
          <w:kern w:val="0"/>
          <w:sz w:val="32"/>
          <w:szCs w:val="32"/>
          <w:shd w:val="clear" w:color="auto" w:fill="FFFFFF"/>
        </w:rPr>
        <w:t>健全消费维权工作机制。</w:t>
      </w:r>
      <w:r>
        <w:rPr>
          <w:rFonts w:hint="default" w:ascii="Times New Roman" w:hAnsi="Times New Roman" w:eastAsia="仿宋" w:cs="Times New Roman"/>
          <w:sz w:val="32"/>
          <w:szCs w:val="32"/>
        </w:rPr>
        <w:t>充分发挥区放心消费创建暨消费者权益保护工作部门联席会议机制作用，</w:t>
      </w:r>
      <w:r>
        <w:rPr>
          <w:rFonts w:hint="default" w:ascii="Times New Roman" w:hAnsi="Times New Roman" w:eastAsia="仿宋_GB2312" w:cs="Times New Roman"/>
          <w:bCs/>
          <w:kern w:val="0"/>
          <w:sz w:val="32"/>
          <w:szCs w:val="32"/>
          <w:shd w:val="clear" w:color="auto" w:fill="FFFFFF"/>
        </w:rPr>
        <w:t>强化部门间信息共享和执法协作机制，</w:t>
      </w:r>
      <w:r>
        <w:rPr>
          <w:rFonts w:hint="default" w:ascii="Times New Roman" w:hAnsi="Times New Roman" w:eastAsia="仿宋" w:cs="Times New Roman"/>
          <w:sz w:val="32"/>
          <w:szCs w:val="32"/>
        </w:rPr>
        <w:t>共同指导、促进消费者权益保护工作。</w:t>
      </w:r>
      <w:r>
        <w:rPr>
          <w:rFonts w:hint="default" w:ascii="Times New Roman" w:hAnsi="Times New Roman" w:eastAsia="仿宋_GB2312" w:cs="Times New Roman"/>
          <w:bCs/>
          <w:kern w:val="0"/>
          <w:sz w:val="32"/>
          <w:szCs w:val="32"/>
          <w:shd w:val="clear" w:color="auto" w:fill="FFFFFF"/>
        </w:rPr>
        <w:t>完善投诉举报处理工作机制，规范行政部门处理消费投诉工作规程。开展消费侵权热点专项执法行动，建立消费安全事件应急处置制度，完善应急处置方案。继续加强消费维权平台和站点建设，强化维权保障机制，建立完善消费者投诉处置协调机制，及时处理消费者投诉。</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楷体_GB2312" w:cs="Times New Roman"/>
          <w:b/>
          <w:kern w:val="0"/>
          <w:sz w:val="32"/>
          <w:szCs w:val="32"/>
          <w:shd w:val="clear" w:color="auto" w:fill="FFFFFF"/>
        </w:rPr>
        <w:t>加强消费维权网络体系建设。</w:t>
      </w:r>
      <w:r>
        <w:rPr>
          <w:rFonts w:hint="default" w:ascii="Times New Roman" w:hAnsi="Times New Roman" w:eastAsia="仿宋" w:cs="Times New Roman"/>
          <w:sz w:val="32"/>
          <w:szCs w:val="32"/>
        </w:rPr>
        <w:t>加强消费维权服务基层站点建设，抓好基层市场监管所消费维权工作，强化行政指导和业务指导，落实主体责任和工作措施，完</w:t>
      </w:r>
      <w:r>
        <w:rPr>
          <w:rFonts w:hint="default" w:ascii="Times New Roman" w:hAnsi="Times New Roman" w:eastAsia="仿宋_GB2312" w:cs="Times New Roman"/>
          <w:bCs/>
          <w:kern w:val="0"/>
          <w:sz w:val="32"/>
          <w:szCs w:val="32"/>
          <w:shd w:val="clear" w:color="auto" w:fill="FFFFFF"/>
        </w:rPr>
        <w:t>善消费维权网络体系，提高投诉处置满意度。加强</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一会两站</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规范化建设，畅通多渠道维权方式，持续拓展12315</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五进</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网络覆盖面。依托全国12315平台，构建统一、权威、高效的12315行政执法体系，优化工作程序，扎实推进消费投诉信息公示与数据应用，提升消费投诉处置效能。</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shd w:val="clear" w:color="auto" w:fill="FFFFFF"/>
        </w:rPr>
        <w:t>强化消费维权监管执法。</w:t>
      </w:r>
      <w:r>
        <w:rPr>
          <w:rFonts w:hint="default" w:ascii="Times New Roman" w:hAnsi="Times New Roman" w:eastAsia="仿宋" w:cs="Times New Roman"/>
          <w:sz w:val="32"/>
          <w:szCs w:val="32"/>
        </w:rPr>
        <w:t>强化投诉举报相对集中的重点行业和新兴领域</w:t>
      </w:r>
      <w:r>
        <w:rPr>
          <w:rFonts w:hint="default" w:ascii="Times New Roman" w:hAnsi="Times New Roman" w:eastAsia="仿宋_GB2312" w:cs="Times New Roman"/>
          <w:bCs/>
          <w:kern w:val="0"/>
          <w:sz w:val="32"/>
          <w:szCs w:val="32"/>
          <w:shd w:val="clear" w:color="auto" w:fill="FFFFFF"/>
        </w:rPr>
        <w:t>消费维权</w:t>
      </w:r>
      <w:r>
        <w:rPr>
          <w:rFonts w:hint="default" w:ascii="Times New Roman" w:hAnsi="Times New Roman" w:eastAsia="仿宋" w:cs="Times New Roman"/>
          <w:sz w:val="32"/>
          <w:szCs w:val="32"/>
        </w:rPr>
        <w:t>，</w:t>
      </w:r>
      <w:r>
        <w:rPr>
          <w:rFonts w:hint="default" w:ascii="Times New Roman" w:hAnsi="Times New Roman" w:eastAsia="仿宋_GB2312" w:cs="Times New Roman"/>
          <w:bCs/>
          <w:kern w:val="0"/>
          <w:sz w:val="32"/>
          <w:szCs w:val="32"/>
          <w:shd w:val="clear" w:color="auto" w:fill="FFFFFF"/>
        </w:rPr>
        <w:t>加强对预付费、商品售后、教育培训、通信服务、汽车维修、农村消费等重点领域的消费维权监管力度，规范网络购物、跨境消费、微商等新兴消费领域，强化电商平台、社交平台、搜索引擎等法律责任，严厉查处质量违法、虚假宣传、虚假广告、合同欺诈等各类侵害消费者权益案件。</w:t>
      </w:r>
      <w:r>
        <w:rPr>
          <w:rFonts w:hint="default" w:ascii="Times New Roman" w:hAnsi="Times New Roman" w:eastAsia="仿宋_GB2312" w:cs="Times New Roman"/>
          <w:sz w:val="32"/>
          <w:szCs w:val="32"/>
        </w:rPr>
        <w:t>强化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诉转案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执法力度，</w:t>
      </w:r>
      <w:r>
        <w:rPr>
          <w:rFonts w:hint="default" w:ascii="Times New Roman" w:hAnsi="Times New Roman" w:eastAsia="仿宋_GB2312" w:cs="Times New Roman"/>
          <w:bCs/>
          <w:kern w:val="0"/>
          <w:sz w:val="32"/>
          <w:szCs w:val="32"/>
          <w:shd w:val="clear" w:color="auto" w:fill="FFFFFF"/>
        </w:rPr>
        <w:t>认真梳理排查违法线索，加强</w:t>
      </w:r>
      <w:r>
        <w:rPr>
          <w:rFonts w:hint="default" w:ascii="Times New Roman" w:hAnsi="Times New Roman" w:eastAsia="仿宋_GB2312" w:cs="Times New Roman"/>
          <w:kern w:val="0"/>
          <w:sz w:val="32"/>
          <w:szCs w:val="32"/>
        </w:rPr>
        <w:t>消费投诉重点热点领域案件</w:t>
      </w:r>
      <w:r>
        <w:rPr>
          <w:rFonts w:hint="default" w:ascii="Times New Roman" w:hAnsi="Times New Roman" w:eastAsia="仿宋_GB2312" w:cs="Times New Roman"/>
          <w:bCs/>
          <w:kern w:val="0"/>
          <w:sz w:val="32"/>
          <w:szCs w:val="32"/>
          <w:shd w:val="clear" w:color="auto" w:fill="FFFFFF"/>
        </w:rPr>
        <w:t>督查协办和联动执法，打</w:t>
      </w:r>
      <w:r>
        <w:rPr>
          <w:rFonts w:hint="default" w:ascii="Times New Roman" w:hAnsi="Times New Roman" w:eastAsia="仿宋_GB2312" w:cs="Times New Roman"/>
          <w:sz w:val="32"/>
          <w:szCs w:val="32"/>
        </w:rPr>
        <w:t>造形成</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在投诉中找案源,在线索中查违法,在查处中维权益</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的投诉维权一体化格局。</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楷体_GB2312" w:cs="Times New Roman"/>
          <w:b/>
          <w:kern w:val="0"/>
          <w:sz w:val="32"/>
          <w:szCs w:val="32"/>
          <w:shd w:val="clear" w:color="auto" w:fill="FFFFFF"/>
        </w:rPr>
        <w:t>推动消费维权社会共治。</w:t>
      </w:r>
      <w:r>
        <w:rPr>
          <w:rFonts w:hint="default" w:ascii="Times New Roman" w:hAnsi="Times New Roman" w:eastAsia="仿宋" w:cs="Times New Roman"/>
          <w:sz w:val="32"/>
          <w:szCs w:val="32"/>
        </w:rPr>
        <w:t>推动政府和社会共同抓好消费维权，</w:t>
      </w:r>
      <w:r>
        <w:rPr>
          <w:rFonts w:hint="default" w:ascii="Times New Roman" w:hAnsi="Times New Roman" w:eastAsia="仿宋_GB2312" w:cs="Times New Roman"/>
          <w:bCs/>
          <w:kern w:val="0"/>
          <w:sz w:val="32"/>
          <w:szCs w:val="32"/>
          <w:shd w:val="clear" w:color="auto" w:fill="FFFFFF"/>
        </w:rPr>
        <w:t>督促生产经营者落实消费维权主体责任，严把商品质量和服务质量关，及时处理消费者投诉，积极落实经营者首问和赔偿先付等制度，引导推动消费纠纷源头解决和在线和解。大力开展放心消费创建工作，以</w:t>
      </w:r>
      <w:r>
        <w:rPr>
          <w:rFonts w:hint="default" w:ascii="Times New Roman" w:hAnsi="Times New Roman" w:eastAsia="仿宋" w:cs="Times New Roman"/>
          <w:sz w:val="32"/>
          <w:szCs w:val="32"/>
        </w:rPr>
        <w:t>经营活动频繁、人员密集、消费畅旺、消费者关注度高的商业街、大型商场作为重点，扎实抓好放心消费示范点建设，充分发挥示范带动作用，推动创建范围全面拓展。</w:t>
      </w:r>
      <w:r>
        <w:rPr>
          <w:rFonts w:hint="default" w:ascii="Times New Roman" w:hAnsi="Times New Roman" w:eastAsia="仿宋_GB2312" w:cs="Times New Roman"/>
          <w:bCs/>
          <w:kern w:val="0"/>
          <w:sz w:val="32"/>
          <w:szCs w:val="32"/>
          <w:shd w:val="clear" w:color="auto" w:fill="FFFFFF"/>
        </w:rPr>
        <w:t>加强消费者组织和消费维权志愿者队伍建设，积极组织开展消费者评议，引导消费者自觉参与消费环境治理，鼓励消费者组织积极引入专家库、律师团、志愿者等专业资源，培育壮大消费维权志愿者队伍，提高消费维权工作专业化法治化社会化水平。积极开展放心消费与消费维权宣传教育。依托12315消费维权网络，积极</w:t>
      </w:r>
      <w:r>
        <w:rPr>
          <w:rFonts w:hint="default" w:ascii="Times New Roman" w:hAnsi="Times New Roman" w:eastAsia="仿宋_GB2312" w:cs="Times New Roman"/>
          <w:sz w:val="32"/>
          <w:szCs w:val="32"/>
        </w:rPr>
        <w:t>发动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放心消费共建单位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消费维权服务站</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突出</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3·15</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质量月</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等重大宣传节点，</w:t>
      </w:r>
      <w:r>
        <w:rPr>
          <w:rFonts w:hint="default" w:ascii="Times New Roman" w:hAnsi="Times New Roman" w:eastAsia="仿宋_GB2312" w:cs="Times New Roman"/>
          <w:bCs/>
          <w:kern w:val="0"/>
          <w:sz w:val="32"/>
          <w:szCs w:val="32"/>
          <w:shd w:val="clear" w:color="auto" w:fill="FFFFFF"/>
        </w:rPr>
        <w:t>充分利用</w:t>
      </w:r>
      <w:r>
        <w:rPr>
          <w:rFonts w:hint="default" w:ascii="Times New Roman" w:hAnsi="Times New Roman" w:eastAsia="仿宋_GB2312" w:cs="Times New Roman"/>
          <w:kern w:val="0"/>
          <w:sz w:val="32"/>
          <w:szCs w:val="32"/>
        </w:rPr>
        <w:t>《今日从化》、从化电视台、</w:t>
      </w:r>
      <w:r>
        <w:rPr>
          <w:rFonts w:hint="default" w:ascii="Times New Roman" w:hAnsi="Times New Roman" w:eastAsia="仿宋_GB2312" w:cs="Times New Roman"/>
          <w:bCs/>
          <w:kern w:val="0"/>
          <w:sz w:val="32"/>
          <w:szCs w:val="32"/>
          <w:shd w:val="clear" w:color="auto" w:fill="FFFFFF"/>
        </w:rPr>
        <w:t>互联网、微信公众号、社交平台等重点媒体，</w:t>
      </w:r>
      <w:r>
        <w:rPr>
          <w:rFonts w:hint="default" w:ascii="Times New Roman" w:hAnsi="Times New Roman" w:eastAsia="仿宋_GB2312" w:cs="Times New Roman"/>
          <w:kern w:val="0"/>
          <w:sz w:val="32"/>
          <w:szCs w:val="32"/>
        </w:rPr>
        <w:t>开辟专版专栏，及时更新市场监管动态、</w:t>
      </w:r>
      <w:r>
        <w:rPr>
          <w:rFonts w:hint="default" w:ascii="Times New Roman" w:hAnsi="Times New Roman" w:eastAsia="仿宋_GB2312" w:cs="Times New Roman"/>
          <w:bCs/>
          <w:kern w:val="0"/>
          <w:sz w:val="32"/>
          <w:szCs w:val="32"/>
          <w:shd w:val="clear" w:color="auto" w:fill="FFFFFF"/>
        </w:rPr>
        <w:t>发布消费维权</w:t>
      </w:r>
      <w:r>
        <w:rPr>
          <w:rFonts w:hint="default" w:ascii="Times New Roman" w:hAnsi="Times New Roman" w:eastAsia="仿宋_GB2312" w:cs="Times New Roman"/>
          <w:kern w:val="0"/>
          <w:sz w:val="32"/>
          <w:szCs w:val="32"/>
        </w:rPr>
        <w:t>典型案例和</w:t>
      </w:r>
      <w:r>
        <w:rPr>
          <w:rFonts w:hint="default" w:ascii="Times New Roman" w:hAnsi="Times New Roman" w:eastAsia="仿宋_GB2312" w:cs="Times New Roman"/>
          <w:bCs/>
          <w:kern w:val="0"/>
          <w:sz w:val="32"/>
          <w:szCs w:val="32"/>
          <w:shd w:val="clear" w:color="auto" w:fill="FFFFFF"/>
        </w:rPr>
        <w:t>消费提示警示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kern w:val="0"/>
          <w:sz w:val="32"/>
          <w:szCs w:val="32"/>
          <w:shd w:val="clear" w:color="auto" w:fill="FFFFFF"/>
        </w:rPr>
        <w:t>深入开展《消费者权益保护法》及其配套规章的普法宣传，普及消费维权法律法规和消费知识，引导消费者依法理性维权和经营者诚信守法经营。</w:t>
      </w:r>
    </w:p>
    <w:p>
      <w:pPr>
        <w:jc w:val="center"/>
        <w:rPr>
          <w:rFonts w:hint="default" w:ascii="楷体_GB2312" w:hAnsi="楷体_GB2312" w:eastAsia="楷体_GB2312" w:cs="楷体_GB2312"/>
          <w:b w:val="0"/>
        </w:rPr>
      </w:pPr>
      <w:bookmarkStart w:id="23" w:name="_Toc67319068"/>
      <w:r>
        <w:rPr>
          <w:rFonts w:hint="default" w:ascii="楷体_GB2312" w:hAnsi="楷体_GB2312" w:eastAsia="楷体_GB2312" w:cs="楷体_GB2312"/>
          <w:b w:val="0"/>
        </w:rPr>
        <w:t>第三节 构建以信用为基础的新型市场监管机制</w:t>
      </w:r>
      <w:bookmarkEnd w:id="23"/>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深入推进</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双随机、一公开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监管的全覆盖、常态化。</w:t>
      </w:r>
      <w:r>
        <w:rPr>
          <w:rFonts w:hint="default" w:ascii="Times New Roman" w:hAnsi="Times New Roman" w:eastAsia="仿宋_GB2312" w:cs="Times New Roman"/>
          <w:sz w:val="32"/>
          <w:szCs w:val="32"/>
        </w:rPr>
        <w:t>建立健全从化区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监管工作联席会议制度，加强统筹协调，完善工作机制，推动市场监管领域相关部门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监管全覆盖。进一步强化担当意识，压实工作责任，不断强化执法检查规范性，细化工作流程，逐步实现行政检查全覆盖。加大抽查力度，依托市综合监管平台，完善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一单两库</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，优化平台数据，统筹建立健全与抽查事项相对应的检查对象名录库和执法检查人员名录库，并根据检查对象和执法检查人员变动情况实施动态管理。根据法律法规和部门职责分工，按照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谁审批、谁监管，谁主管、谁监管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原则，通过分类标注、批量导入等方式，在市综合监管平台分别建立与部门职责相对应的检查对象名录库。健全跨部门随机抽查事项清单，将更多事项纳入跨部门联合抽查范围，减少重复检查、多头检查。做好信息归集，加强协同监管，及时准确将抽查计划、任务和检查结果导入综合监管平台，实行信息归集一体化，打破</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信息壁垒</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，实现互联互通、共用共享，真正实现部门之间监管信息共享，最大限度发挥整体监管效能。</w:t>
      </w:r>
      <w:bookmarkStart w:id="24" w:name="_Toc1222"/>
      <w:bookmarkStart w:id="25" w:name="_Toc15512"/>
      <w:bookmarkStart w:id="26" w:name="_Toc15471"/>
      <w:bookmarkStart w:id="27" w:name="_Toc28882"/>
      <w:bookmarkStart w:id="28" w:name="_Toc31007"/>
      <w:bookmarkStart w:id="29" w:name="_Toc14320"/>
      <w:bookmarkStart w:id="30" w:name="_Toc2518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积极推进企业信用风险分类监管</w:t>
      </w:r>
      <w:bookmarkEnd w:id="24"/>
      <w:bookmarkEnd w:id="25"/>
      <w:bookmarkEnd w:id="26"/>
      <w:bookmarkEnd w:id="27"/>
      <w:bookmarkEnd w:id="28"/>
      <w:bookmarkEnd w:id="29"/>
      <w:bookmarkEnd w:id="30"/>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利用大数据、人工智能等现代技术手段深入分析涉企信息，实现对企业信用风险等级的定期筛查、自动分类，将信用风险分类结果充分运用于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双随机、一公开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监管，提高违法失信、风险较高的检查对象的抽查比例和频次，不断提高抽查的有效性和靶向性，</w:t>
      </w:r>
      <w:r>
        <w:rPr>
          <w:rFonts w:hint="default" w:ascii="Times New Roman" w:hAnsi="Times New Roman" w:eastAsia="仿宋_GB2312" w:cs="Times New Roman"/>
          <w:kern w:val="0"/>
          <w:sz w:val="32"/>
          <w:szCs w:val="32"/>
        </w:rPr>
        <w:t>实现监管资源的合理配置和高效利用</w:t>
      </w:r>
      <w:r>
        <w:rPr>
          <w:rFonts w:hint="default" w:ascii="Times New Roman" w:hAnsi="Times New Roman" w:eastAsia="仿宋_GB2312" w:cs="Times New Roman"/>
          <w:sz w:val="32"/>
          <w:szCs w:val="32"/>
        </w:rPr>
        <w:t>；对高风险行业及特定领域重点监测和提前预警，实现对信用风险、行业风险、舆情风险易发领域问题的早发现、早提醒、早处置，推进智慧监管。实施企业信用风险分类监管，将随机抽查的比例频次、被抽查概率与抽查对象的信用等级、风险程度挂钩，对有不良信用记录、风险高的加大抽查力度，对信用较好、风险较低的适当减少抽查。抽查结果分别通过国家企业信用信息公示系统和信用广州网等全面进行公示，接受社会监督，达到抽查一部分、警示一大片、规范全行业的效果</w:t>
      </w:r>
      <w:bookmarkStart w:id="31" w:name="_Toc26006"/>
      <w:bookmarkStart w:id="32" w:name="_Toc20054"/>
      <w:bookmarkStart w:id="33" w:name="_Toc9154"/>
      <w:bookmarkStart w:id="34" w:name="_Toc1795"/>
      <w:bookmarkStart w:id="35" w:name="_Toc24012"/>
      <w:bookmarkStart w:id="36" w:name="_Toc5806"/>
      <w:bookmarkStart w:id="37" w:name="_Toc9533"/>
      <w:r>
        <w:rPr>
          <w:rFonts w:hint="default" w:ascii="Times New Roman" w:hAnsi="Times New Roman" w:eastAsia="仿宋_GB2312" w:cs="Times New Roman"/>
          <w:sz w:val="32"/>
          <w:szCs w:val="32"/>
        </w:rPr>
        <w:t>。</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完善企业信用体系建设</w:t>
      </w:r>
      <w:bookmarkEnd w:id="31"/>
      <w:bookmarkEnd w:id="32"/>
      <w:bookmarkEnd w:id="33"/>
      <w:bookmarkEnd w:id="34"/>
      <w:bookmarkEnd w:id="35"/>
      <w:bookmarkEnd w:id="36"/>
      <w:bookmarkEnd w:id="37"/>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进一步完善涉企信用信息归集，畅通信息归集路径，拓展信息归集范围，规范信息归集标准，强化信息挖掘应用，配合完善企业信用信息公示系统建设，为社会公众提供便捷高效的涉企信用查询服务，为党委政府决策和监管提供有力的数据支撑。引导市场主体进一步强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公示即监管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意识，不断提升涉企信息归集公示的科学性和有效性。严格落实国家、省、市签署的各项守信联合激励备忘录，加大对信用优良市场主体的联合激励力度。加大对严重失信市场主体的联合惩戒力度，建立健全跨部门联动响应机制和失信惩戒机制。探索严重违法失信企业名单和经营异常名录信用修复机制，进一步完善信用修复规则，降低信用修复成本，促进市场活力。</w:t>
      </w:r>
    </w:p>
    <w:p>
      <w:pPr>
        <w:pageBreakBefore w:val="0"/>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p>
    <w:p>
      <w:pPr>
        <w:jc w:val="center"/>
        <w:rPr>
          <w:rFonts w:hint="eastAsia" w:ascii="黑体" w:hAnsi="黑体" w:eastAsia="黑体" w:cs="黑体"/>
          <w:b w:val="0"/>
        </w:rPr>
      </w:pPr>
      <w:bookmarkStart w:id="38" w:name="_Toc67319069"/>
      <w:r>
        <w:rPr>
          <w:rFonts w:hint="eastAsia" w:ascii="黑体" w:hAnsi="黑体" w:eastAsia="黑体" w:cs="黑体"/>
          <w:b w:val="0"/>
        </w:rPr>
        <w:t>第六章 强化安全应急体系</w:t>
      </w:r>
      <w:bookmarkEnd w:id="38"/>
    </w:p>
    <w:p>
      <w:pPr>
        <w:jc w:val="center"/>
        <w:rPr>
          <w:rFonts w:hint="default" w:ascii="楷体_GB2312" w:hAnsi="楷体_GB2312" w:eastAsia="楷体_GB2312" w:cs="楷体_GB2312"/>
          <w:b w:val="0"/>
        </w:rPr>
      </w:pPr>
      <w:bookmarkStart w:id="39" w:name="_Toc67319070"/>
      <w:r>
        <w:rPr>
          <w:rFonts w:hint="default" w:ascii="楷体_GB2312" w:hAnsi="楷体_GB2312" w:eastAsia="楷体_GB2312" w:cs="楷体_GB2312"/>
          <w:b w:val="0"/>
        </w:rPr>
        <w:t>第一节 强化产品质量安全监管</w:t>
      </w:r>
      <w:bookmarkEnd w:id="39"/>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完善产品质量安全监管体制机制。</w:t>
      </w:r>
      <w:r>
        <w:rPr>
          <w:rFonts w:hint="default" w:ascii="Times New Roman" w:hAnsi="Times New Roman" w:eastAsia="仿宋_GB2312" w:cs="Times New Roman"/>
          <w:sz w:val="32"/>
          <w:szCs w:val="32"/>
        </w:rPr>
        <w:t>加快建立政府负总责、部门监管、社会组织协同、消费者积极参与的产品质量安全监管共建共治新格局，构建以监测评估为基础、以分类监管为抓手、以信用监管为依托、以智慧监管为支撑的产品质量安全监管新机制，有效推动企业主体责任落实，提升监管效能。深化行政审批制度改革，做好重点产品生产许可证审批工作，强化证后监管。加强全区产品质量安全形势分析，深入落实质量警示通报制度，科学制定重点监管产品目录，组织开展产品质量专项整治，强化区域性质量问题监管，严格履行质量监管属地责任。</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深入开展产品安全监管整治。</w:t>
      </w:r>
      <w:r>
        <w:rPr>
          <w:rFonts w:hint="default" w:ascii="Times New Roman" w:hAnsi="Times New Roman" w:eastAsia="仿宋_GB2312" w:cs="Times New Roman"/>
          <w:sz w:val="32"/>
          <w:szCs w:val="32"/>
        </w:rPr>
        <w:t>改革创新监督抽查模式，扩大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双随机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抽查范围，全面加大监督抽查力度，提高监督抽查发现问题的效能。聚焦涉及人民群众穿、住、用、行及公共安全的产品，加强质量监管与稽查执法的联合，切实保障产品质量安全。抓好成品油、危险化学品及包装物、电动自行车、燃气器具等重点产品的质量专项整治，筑牢质量安全底线。</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提升产品质量安全监管能力。</w:t>
      </w:r>
      <w:r>
        <w:rPr>
          <w:rFonts w:hint="default" w:ascii="Times New Roman" w:hAnsi="Times New Roman" w:eastAsia="仿宋_GB2312" w:cs="Times New Roman"/>
          <w:sz w:val="32"/>
          <w:szCs w:val="32"/>
        </w:rPr>
        <w:t>依托省市场监管数据系统，强化大数据、风险监测等手段的支撑作用，提升产品质量监管信息化、智慧化水平。科学制定重点监管产品目录，精准分析全区工业产品存在的区域性、行业性质量问题，开展产品质量专项整治。加强对新技术、新工艺、新材料以及电子商务、个性化定制等新业态、新消费模式的研究，探索实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包容期</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管理、建立企业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容错</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机制，实施包容审慎监管。深入开展产品质量安全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问诊治病</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工作，提升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产品医院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和监管人员的产品质量监管水平和服务企业能力，强化产品质量问题</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清零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目标管理。加强质量监管与稽查执法的高度衔接，充分发挥媒体舆论作用，提高质量违法成本。</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探索建立产品质量分级管理。</w:t>
      </w:r>
      <w:r>
        <w:rPr>
          <w:rFonts w:hint="default" w:ascii="Times New Roman" w:hAnsi="Times New Roman" w:eastAsia="仿宋_GB2312" w:cs="Times New Roman"/>
          <w:sz w:val="32"/>
          <w:szCs w:val="32"/>
        </w:rPr>
        <w:t>围绕打造</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粤港澳大湾区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高质量产业区和高品质生活圈，探索建立质量分级管理，鼓励引导有条件的企业对标国际、国内先进标准，走高品质、品牌化发展之路，推动企业产品明示品类分级，引导消费者分级选购。运用市场手段，推动电子商务平台、大型商超采信高质量广货标准和认证产品，推动广货质量逐级提升。</w:t>
      </w:r>
    </w:p>
    <w:p>
      <w:pPr>
        <w:jc w:val="center"/>
        <w:rPr>
          <w:rFonts w:hint="default" w:ascii="楷体_GB2312" w:hAnsi="楷体_GB2312" w:eastAsia="楷体_GB2312" w:cs="楷体_GB2312"/>
          <w:b w:val="0"/>
        </w:rPr>
      </w:pPr>
      <w:bookmarkStart w:id="40" w:name="_Toc67319071"/>
      <w:r>
        <w:rPr>
          <w:rFonts w:hint="default" w:ascii="楷体_GB2312" w:hAnsi="楷体_GB2312" w:eastAsia="楷体_GB2312" w:cs="楷体_GB2312"/>
          <w:b w:val="0"/>
        </w:rPr>
        <w:t>第二节 加强特种设备安全监管</w:t>
      </w:r>
      <w:bookmarkEnd w:id="40"/>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健全特种设备安全监管机制。</w:t>
      </w:r>
      <w:r>
        <w:rPr>
          <w:rFonts w:hint="default" w:ascii="Times New Roman" w:hAnsi="Times New Roman" w:eastAsia="仿宋_GB2312" w:cs="Times New Roman"/>
          <w:sz w:val="32"/>
          <w:szCs w:val="32"/>
        </w:rPr>
        <w:t>强化特种设备使用单位主体责任，严格落实地方党委政府特种设备安全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党政同责、一岗双责</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制度，明晰特种设备权力清单和责任清单，着力构建企业和社会共同参与，政府、企业和社会协同治理新格局。深入推进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放管服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改革，承担好特种设备许可项目下放区级实施工作任务，强化事中事后监管。</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加强隐患排查治理强化风险防控。</w:t>
      </w:r>
      <w:r>
        <w:rPr>
          <w:rFonts w:hint="default" w:ascii="Times New Roman" w:hAnsi="Times New Roman" w:eastAsia="仿宋_GB2312" w:cs="Times New Roman"/>
          <w:sz w:val="32"/>
          <w:szCs w:val="32"/>
        </w:rPr>
        <w:t>认真落实特种设备安全形势分析和风险警示制度，指导使用单位开展双重预防体系建设，加强隐患排查治理，强化风险防控。重点加强锅炉、压力管道、液化石油气充装、电梯、起重机械、叉车、大型游乐设施等监管力度，压紧压实企业安全主体责任。督促企业全面开展自查自纠，严格履行法定义务，加大安全投入，及时发现安全隐患并进行整改。严格监管执法，严厉查处违法违规行为。</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提升应急救援能力。</w:t>
      </w:r>
      <w:r>
        <w:rPr>
          <w:rFonts w:hint="default" w:ascii="Times New Roman" w:hAnsi="Times New Roman" w:eastAsia="仿宋_GB2312" w:cs="Times New Roman"/>
          <w:sz w:val="32"/>
          <w:szCs w:val="32"/>
        </w:rPr>
        <w:t>以企业为依托，健全专业应急队伍网络，加强分类应急演练。大力推广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96333</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电梯应急平台，以广州建设全国电梯按需维保改革广东省试点城市为契机，深入推广电梯按需维保，引入电梯智慧监测终端，打造按需维保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3+2</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新模式（即电梯使用年限、电梯维保单位技术水平、电梯使用管理人管理水平、A级维保信用评分、AI智能监测），提升电梯困梯救援水平。</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探索建立信用监管机制。</w:t>
      </w:r>
      <w:r>
        <w:rPr>
          <w:rFonts w:hint="default" w:ascii="Times New Roman" w:hAnsi="Times New Roman" w:eastAsia="仿宋_GB2312" w:cs="Times New Roman"/>
          <w:sz w:val="32"/>
          <w:szCs w:val="32"/>
        </w:rPr>
        <w:t>建立信用监管为基础的新型监管机制，探索建立贯穿特种设备全生命周期，衔接事前、事中、事后全监管环节的新型监管机制，推动特种设备从业单位有序发展。引导特种设备行业组织建立行业信用承诺制度，加强行业自律，促进诚信守法经营。落实联合惩戒措施，对列入严重失信主体，列入重点监管对象。</w:t>
      </w:r>
    </w:p>
    <w:p>
      <w:pPr>
        <w:jc w:val="center"/>
        <w:rPr>
          <w:rFonts w:hint="default" w:ascii="楷体_GB2312" w:hAnsi="楷体_GB2312" w:eastAsia="楷体_GB2312" w:cs="楷体_GB2312"/>
          <w:b w:val="0"/>
        </w:rPr>
      </w:pPr>
      <w:bookmarkStart w:id="41" w:name="_Toc67319072"/>
      <w:r>
        <w:rPr>
          <w:rFonts w:hint="default" w:ascii="楷体_GB2312" w:hAnsi="楷体_GB2312" w:eastAsia="楷体_GB2312" w:cs="楷体_GB2312"/>
          <w:b w:val="0"/>
        </w:rPr>
        <w:t>第三节 强化全链条食品安全监管</w:t>
      </w:r>
      <w:bookmarkEnd w:id="41"/>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强化食品生产企业主体责任。</w:t>
      </w:r>
      <w:r>
        <w:rPr>
          <w:rFonts w:hint="default" w:ascii="Times New Roman" w:hAnsi="Times New Roman" w:eastAsia="仿宋_GB2312" w:cs="Times New Roman"/>
          <w:bCs/>
          <w:sz w:val="32"/>
          <w:szCs w:val="32"/>
        </w:rPr>
        <w:t>严守不发生系统性食品安全问题这个底线，在企业风险分级分类监管基础上， 打好日常监督检查、 专项检查、 飞行检查和体系检查组合拳， 落实食品安全自查制度，督促企业严格实施生产过程控制， 不断规范企业生产行为。加强食品小作坊综合整治，及时掌握食品小作坊生产状态、场所卫生条件，严厉打击违法添加非食用物质、滥用添加剂，依法查处取缔</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黑窝点</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筑牢防范化解重大风险的制度机制，建立完善风险隐患排查与风险品种整治相结合，企业风险自查与监管主动核查相结合的风险治理机制，严厉打击非法添加、虚假宣传、假冒伪劣食品等违法违规行。以食品生产全过程动态监管平台为依托，督促企业完善追溯体系， 把生产企业溯源数据完整性纳入日常检查内容。</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强化食用农产品质量安全监管。</w:t>
      </w:r>
      <w:r>
        <w:rPr>
          <w:rFonts w:hint="default" w:ascii="Times New Roman" w:hAnsi="Times New Roman" w:eastAsia="仿宋_GB2312" w:cs="Times New Roman"/>
          <w:sz w:val="32"/>
          <w:szCs w:val="32"/>
        </w:rPr>
        <w:t>扎实推进食品销售风险分级管理工作，依据全面落实风险分级管理制度的有关要求，确保中小学校周边食品销售单位实现100%纳入动态风险分级管理，全市100%食品销售单位实现风险分级动态管理。深化食用农产品市场销售监管平台建设，推动食用农产品集中交易市场监管全覆盖。强化特殊食品、冷藏冷冻食品等重点领域风险防控，配合建立完善特殊食品销售者信息数据库，强化冷藏冷冻食品安全监督检查，做好非食品经营冷库主体备案和监管工作。持续组织开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放心肉菜市场超市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 xml:space="preserve"> 培育行动，实现示范超市100%开展自我承诺，促进经营规范化。</w:t>
      </w:r>
    </w:p>
    <w:p>
      <w:pPr>
        <w:pStyle w:val="12"/>
        <w:pageBreakBefore w:val="0"/>
        <w:widowControl/>
        <w:kinsoku/>
        <w:wordWrap/>
        <w:overflowPunct/>
        <w:topLinePunct w:val="0"/>
        <w:bidi w:val="0"/>
        <w:spacing w:beforeAutospacing="0" w:afterAutospacing="0"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实施</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互联网+明厨亮社</w:t>
      </w:r>
      <w:r>
        <w:rPr>
          <w:rFonts w:hint="eastAsia" w:eastAsia="楷体_GB2312" w:cs="Times New Roman"/>
          <w:b/>
          <w:bCs/>
          <w:sz w:val="32"/>
          <w:szCs w:val="32"/>
          <w:lang w:eastAsia="zh-CN"/>
        </w:rPr>
        <w:t>”</w:t>
      </w:r>
      <w:r>
        <w:rPr>
          <w:rFonts w:hint="default" w:ascii="Times New Roman" w:hAnsi="Times New Roman" w:eastAsia="楷体_GB2312" w:cs="Times New Roman"/>
          <w:b/>
          <w:bCs/>
          <w:sz w:val="32"/>
          <w:szCs w:val="32"/>
        </w:rPr>
        <w:t>工程。</w:t>
      </w:r>
      <w:r>
        <w:rPr>
          <w:rFonts w:hint="default" w:ascii="Times New Roman" w:hAnsi="Times New Roman" w:eastAsia="仿宋_GB2312" w:cs="Times New Roman"/>
          <w:sz w:val="32"/>
          <w:szCs w:val="32"/>
        </w:rPr>
        <w:t>积极开展校园食品安全守护行动，严格落实学校食品安全校长(园长)负责制，全面推行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互联网+明厨亮灶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等智慧管理模式，全面落实校外供餐单位食品安全主体责任，实现校园食品供应各环节可查可追溯、食品安全信息公开透明，形成学校食品安全管理自查、校园后勤管理日常巡查、行业协会、人大代表及政协委员协同监督、家委会（代表）参与社会监督、政府部门依法监督检查全方位联动监督制度体系，保障校园食品安全。深入实施餐饮服务示范工程， 严防食品安全事故的发生。</w:t>
      </w:r>
    </w:p>
    <w:p>
      <w:pPr>
        <w:pStyle w:val="12"/>
        <w:pageBreakBefore w:val="0"/>
        <w:widowControl/>
        <w:kinsoku/>
        <w:wordWrap/>
        <w:overflowPunct/>
        <w:topLinePunct w:val="0"/>
        <w:bidi w:val="0"/>
        <w:spacing w:beforeAutospacing="0" w:afterAutospacing="0" w:line="240" w:lineRule="auto"/>
        <w:ind w:firstLine="632" w:firstLineChars="200"/>
        <w:textAlignment w:val="auto"/>
        <w:rPr>
          <w:rFonts w:hint="default" w:ascii="Times New Roman" w:hAnsi="Times New Roman" w:cs="Times New Roman"/>
        </w:rPr>
      </w:pPr>
      <w:r>
        <w:rPr>
          <w:rFonts w:hint="default" w:ascii="Times New Roman" w:hAnsi="Times New Roman" w:eastAsia="楷体_GB2312" w:cs="Times New Roman"/>
          <w:b/>
          <w:bCs/>
          <w:sz w:val="32"/>
          <w:szCs w:val="32"/>
        </w:rPr>
        <w:t>创建国家食品安全城市。</w:t>
      </w:r>
      <w:r>
        <w:rPr>
          <w:rFonts w:hint="default" w:ascii="Times New Roman" w:hAnsi="Times New Roman" w:eastAsia="仿宋_GB2312" w:cs="Times New Roman"/>
          <w:sz w:val="32"/>
          <w:szCs w:val="32"/>
        </w:rPr>
        <w:t>认真对照国家、省的创建标准及评价细则，完善食品安全组织管理体系，强化食品生产经营者主体责任，健全食品生产经营规范化、标准化体系，确保实现食品安全总体状况良好、食品安全工作落实到位、社会认可程度较高三大目标。积极推进食品安全知识进家庭、 进校园、进社区活动，普及推广食品安全知识。 持续部署开展食品安全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你送我检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活动，充分发挥公众参与 和监督，引导市民关注食品安全监管。</w:t>
      </w:r>
    </w:p>
    <w:p>
      <w:pPr>
        <w:jc w:val="center"/>
        <w:rPr>
          <w:rFonts w:hint="default" w:ascii="楷体_GB2312" w:hAnsi="楷体_GB2312" w:eastAsia="楷体_GB2312" w:cs="楷体_GB2312"/>
          <w:b w:val="0"/>
        </w:rPr>
      </w:pPr>
      <w:bookmarkStart w:id="42" w:name="_Toc67319073"/>
      <w:r>
        <w:rPr>
          <w:rFonts w:hint="default" w:ascii="楷体_GB2312" w:hAnsi="楷体_GB2312" w:eastAsia="楷体_GB2312" w:cs="楷体_GB2312"/>
          <w:b w:val="0"/>
        </w:rPr>
        <w:t>第四节 加强药品化妆品医疗器械安全监管</w:t>
      </w:r>
      <w:bookmarkEnd w:id="4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优化</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两品一械</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行政审批。</w:t>
      </w:r>
      <w:r>
        <w:rPr>
          <w:rFonts w:hint="default" w:ascii="Times New Roman" w:hAnsi="Times New Roman" w:eastAsia="仿宋_GB2312" w:cs="Times New Roman"/>
          <w:sz w:val="32"/>
          <w:szCs w:val="32"/>
        </w:rPr>
        <w:t>优化审批流程，严格执行分级分类管理规定，综合考虑业务性质、风险程度、办理时限等因素，实行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分情形审批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，认真核查经营场地、配备人员、经营规模及经营范围。推行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告知承诺制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审批，提高审批效能。深化证照分离改革，认真贯彻落实上级行业准入规则，扩大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行政审批事项减证便民工作。完善化妆品备案管理，细化普通化妆品备案审核要求。</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完善</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两品一械</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监管体系。</w:t>
      </w:r>
      <w:r>
        <w:rPr>
          <w:rFonts w:hint="default" w:ascii="Times New Roman" w:hAnsi="Times New Roman" w:eastAsia="仿宋_GB2312" w:cs="Times New Roman"/>
          <w:sz w:val="32"/>
          <w:szCs w:val="32"/>
        </w:rPr>
        <w:t>严格落实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四个最严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，建立常态化检查机制，高效衔接注册审评、日常监管、专项检查和行业综合监管，形成权责明确、协作顺畅、覆盖全面的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监管体系。完善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质量监督抽检制度，制定全区药品化妆品生产、经营、使用环节年度监督检查计划及专项检查计划，坚持日常抽检与动态跟踪抽检相结合、常态抽检与突击抽检相结合，突出重点企业、重点产品的抽检，守住不发生系统性、区域性安全事故的底线。建立健全排查化解风险隐患的长效机制，加强高风险产品的监督检查，增强事中事后监管。着力加强疫苗监管体系和能力建设，全面落实《广东省改革和完善疫苗管理体制的实施意见》，定期研判疫苗安全风险，认真落实疫苗电子追溯制度，确保疫苗全过程可追溯。</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增强高效协同规范稽查执法能力。</w:t>
      </w:r>
      <w:r>
        <w:rPr>
          <w:rFonts w:hint="default" w:ascii="Times New Roman" w:hAnsi="Times New Roman" w:eastAsia="仿宋_GB2312" w:cs="Times New Roman"/>
          <w:sz w:val="32"/>
          <w:szCs w:val="32"/>
        </w:rPr>
        <w:t>加强与公安机关等部门的协作配合，建立联合打击机制，及时解决群众反映强烈的突出问题和重案要案。开展规范网络违法违规售药、执业药师违规挂证等专项整治，聚焦</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高频案发类型，科学组织专项打击行动。进一步理顺工作机制，加强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两法衔接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健全涉刑案件移送机制。全面推进广东省行政执法信息平台和行政执法监督网络平台，完善政务信息资源共享交换体系，建立执法装备配备标准，保障实施执法全过程记录制度的硬件需求。推进日常检查与稽查工作的衔接，突出药品执法的专业性、特殊性，建立完善的执法管理体系，落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最严厉的处罚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要求。</w:t>
      </w:r>
    </w:p>
    <w:p>
      <w:pPr>
        <w:pageBreakBefore w:val="0"/>
        <w:tabs>
          <w:tab w:val="left" w:pos="420"/>
          <w:tab w:val="left" w:pos="630"/>
        </w:tabs>
        <w:kinsoku/>
        <w:wordWrap/>
        <w:overflowPunct/>
        <w:topLinePunct w:val="0"/>
        <w:autoSpaceDE w:val="0"/>
        <w:autoSpaceDN w:val="0"/>
        <w:bidi w:val="0"/>
        <w:adjustRightInd w:val="0"/>
        <w:spacing w:line="240" w:lineRule="auto"/>
        <w:ind w:firstLine="64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kern w:val="0"/>
          <w:sz w:val="32"/>
          <w:szCs w:val="32"/>
          <w:lang w:val="zh-CN"/>
        </w:rPr>
        <w:t>加强药品检验体系建设。</w:t>
      </w:r>
      <w:r>
        <w:rPr>
          <w:rFonts w:hint="default" w:ascii="Times New Roman" w:hAnsi="Times New Roman" w:eastAsia="仿宋_GB2312" w:cs="Times New Roman"/>
          <w:kern w:val="0"/>
          <w:sz w:val="32"/>
          <w:szCs w:val="32"/>
          <w:lang w:val="zh-CN"/>
        </w:rPr>
        <w:t>以提高专业水平和创新能力为核心，初步建立一支政治过硬、素质优良、业务精湛、廉洁高效，基本满足药品监管需求的职业化专业化药品检查员队伍。加强认证认可检验检测能力，不断强化与市级检验检测机构对接合作，积极引入第三方检验检测体系，进一步培育和规范认证、检测市场。加大财政投入，配好配齐检验设施设备，逐步建立起覆盖中药、化药、生物制品、辅料包材、医疗器械、诊断试剂、化妆品以及高风险物质等重点领域的检测技术体系。</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强化</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两品一械</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监管技术支撑。</w:t>
      </w:r>
      <w:r>
        <w:rPr>
          <w:rFonts w:hint="default" w:ascii="Times New Roman" w:hAnsi="Times New Roman" w:eastAsia="仿宋_GB2312" w:cs="Times New Roman"/>
          <w:sz w:val="32"/>
          <w:szCs w:val="32"/>
        </w:rPr>
        <w:t>加大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检查人才队伍建设，加强对检查员的培训教育，积极参加上级举办的各类专项业务学习，加大科所联动，推动监管队伍内部形成"传、帮、带"的学习局面，提升监管人员的监管能力，构建齐抓共管的工作局面。</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构建</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两品一械</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多元化安全治理格局。</w:t>
      </w:r>
      <w:r>
        <w:rPr>
          <w:rFonts w:hint="default" w:ascii="Times New Roman" w:hAnsi="Times New Roman" w:eastAsia="仿宋_GB2312" w:cs="Times New Roman"/>
          <w:sz w:val="32"/>
          <w:szCs w:val="32"/>
        </w:rPr>
        <w:t>推动落实药品安全党政同责机制，健全安全责任考核制度，落实各环节监管责任，确保属地责任落到实处。压实企业主体责任，推动信用体系建设，强化产品源头监管，督促企业加强质量管理体系建设，落实质量受权人、企业管理者代表等制度要求，落实企业不良反应/不良事件报告、产品召回等责任。发挥人大代表、政协委员、新闻媒体、协会学会等社会各方力量，推动形成齐抓共管工作格局。畅通投诉举报渠道，完善有奖举报制度。加大相关法律、法规的宣贯力度，加强重大政策的宣传解读。</w:t>
      </w:r>
    </w:p>
    <w:p>
      <w:pPr>
        <w:jc w:val="center"/>
        <w:rPr>
          <w:rFonts w:hint="default" w:ascii="楷体_GB2312" w:hAnsi="楷体_GB2312" w:eastAsia="楷体_GB2312" w:cs="楷体_GB2312"/>
          <w:b w:val="0"/>
        </w:rPr>
      </w:pPr>
      <w:bookmarkStart w:id="43" w:name="_Toc67319074"/>
      <w:r>
        <w:rPr>
          <w:rFonts w:hint="default" w:ascii="楷体_GB2312" w:hAnsi="楷体_GB2312" w:eastAsia="楷体_GB2312" w:cs="楷体_GB2312"/>
          <w:b w:val="0"/>
        </w:rPr>
        <w:t>第五节 建立风险预警处置和防控联动机制</w:t>
      </w:r>
      <w:bookmarkEnd w:id="43"/>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开展风险监测工作。</w:t>
      </w:r>
      <w:r>
        <w:rPr>
          <w:rFonts w:hint="default" w:ascii="Times New Roman" w:hAnsi="Times New Roman" w:eastAsia="仿宋_GB2312" w:cs="Times New Roman"/>
          <w:sz w:val="32"/>
          <w:szCs w:val="32"/>
        </w:rPr>
        <w:t>健全风险信息采集、整理和报送制度。重点加强特种设备、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两品一械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不良反应事件监测和数据分析，推进不良反应监测哨点建设，配合对特种设备不良事件、药品不良反应和医疗器械不良事件监测资料的收集、核实、评价和上报，加强对严重不良反应/不良事件的调查和评价，探索完善品种安全性评价机制。</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加强市场风险分析研判和预警。</w:t>
      </w:r>
      <w:r>
        <w:rPr>
          <w:rFonts w:hint="default" w:ascii="Times New Roman" w:hAnsi="Times New Roman" w:eastAsia="仿宋_GB2312" w:cs="Times New Roman"/>
          <w:sz w:val="32"/>
          <w:szCs w:val="32"/>
        </w:rPr>
        <w:t>主动对接省和市风险信息共享平台和数据库，探索建立基于舆情分析、标准分析、风险分析的市场风险评估指标体系，形成风险清单，对市场风险进行评估。加强市场监管执法、法定检验监测、投诉举报等数据的关联分析，强化对重点领域、重点行业、重点商品等风险信息的分析、研判，主动发现风险点，有效防范市场监管的区域性、行业性、系统性风险。健全风险研判会商机制，根据风险评估结果及时向社会发布风险警示。建立市场风险防控联动机制，做好风险隐患排查工作，畅通监管部门、行业协会、企业、消费者之间的沟通交流渠道，实施风险防控联动。</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cs="Times New Roman"/>
        </w:rPr>
      </w:pPr>
      <w:r>
        <w:rPr>
          <w:rFonts w:hint="default" w:ascii="Times New Roman" w:hAnsi="Times New Roman" w:eastAsia="楷体_GB2312" w:cs="Times New Roman"/>
          <w:b/>
          <w:sz w:val="32"/>
          <w:szCs w:val="32"/>
        </w:rPr>
        <w:t>建立覆盖市场监管领域的应急机制。</w:t>
      </w:r>
      <w:r>
        <w:rPr>
          <w:rFonts w:hint="default" w:ascii="Times New Roman" w:hAnsi="Times New Roman" w:eastAsia="仿宋_GB2312" w:cs="Times New Roman"/>
          <w:sz w:val="32"/>
          <w:szCs w:val="32"/>
        </w:rPr>
        <w:t>建立完善应急管理组织体系，建立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上下联动、协同应对、运转有序、 处置有力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的重大突发事件处置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一盘棋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应急响应机制。完善突发事件预防与应急准备、监测与预警、应急处置与救援、 恢复与重建等工作机制，健全应急预案体系，提高食品安全突发事件、药品不良反应和医疗器械不良事件、农产品质量安全突发事件等早期预防和及时发现能力，强化风险沟通。</w:t>
      </w:r>
    </w:p>
    <w:p>
      <w:pPr>
        <w:jc w:val="center"/>
        <w:rPr>
          <w:rFonts w:hint="eastAsia" w:ascii="黑体" w:hAnsi="黑体" w:eastAsia="黑体" w:cs="黑体"/>
          <w:b w:val="0"/>
        </w:rPr>
      </w:pPr>
      <w:bookmarkStart w:id="44" w:name="_Toc67319075"/>
      <w:r>
        <w:rPr>
          <w:rFonts w:hint="eastAsia" w:ascii="黑体" w:hAnsi="黑体" w:eastAsia="黑体" w:cs="黑体"/>
          <w:b w:val="0"/>
        </w:rPr>
        <w:t>第七章 提升质量发展体系</w:t>
      </w:r>
      <w:bookmarkEnd w:id="44"/>
    </w:p>
    <w:p>
      <w:pPr>
        <w:jc w:val="center"/>
        <w:rPr>
          <w:rFonts w:hint="default" w:ascii="楷体_GB2312" w:hAnsi="楷体_GB2312" w:eastAsia="楷体_GB2312" w:cs="楷体_GB2312"/>
          <w:b w:val="0"/>
        </w:rPr>
      </w:pPr>
      <w:bookmarkStart w:id="45" w:name="_Toc67319076"/>
      <w:r>
        <w:rPr>
          <w:rFonts w:hint="default" w:ascii="楷体_GB2312" w:hAnsi="楷体_GB2312" w:eastAsia="楷体_GB2312" w:cs="楷体_GB2312"/>
          <w:b w:val="0"/>
        </w:rPr>
        <w:t>第一节 实施质量品牌提升工程</w:t>
      </w:r>
      <w:bookmarkEnd w:id="45"/>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完善品牌培育激励机制。</w:t>
      </w:r>
      <w:r>
        <w:rPr>
          <w:rFonts w:hint="default" w:ascii="Times New Roman" w:hAnsi="Times New Roman" w:eastAsia="仿宋_GB2312" w:cs="Times New Roman"/>
          <w:sz w:val="32"/>
          <w:szCs w:val="32"/>
        </w:rPr>
        <w:t>推广应用卓越绩效管理模式，推动更多从化企业组织机构获得国家级、省级和市级质量奖，打造一批质量管理标杆。鼓励企业参加</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湾区制造</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卓越质量星级评价、岭南精品、标准领航产品申报培育工作，树立一批在质量管理、产品质量控制等方面具有示范性的行业质量标杆。积极参加广州国际品牌节等平台，大力宣传从化企业知名品牌。支持企业实施品牌经营和市场多元化战略，打造区域甚至全国知名品牌。进一步加强地理标志产品、中国驰名商标及地方名牌产品等工作。</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实施质量提升工程。</w:t>
      </w:r>
      <w:r>
        <w:rPr>
          <w:rFonts w:hint="default" w:ascii="Times New Roman" w:hAnsi="Times New Roman" w:eastAsia="仿宋_GB2312" w:cs="Times New Roman"/>
          <w:sz w:val="32"/>
          <w:szCs w:val="32"/>
        </w:rPr>
        <w:t>实施质量竞争力提升工程，多措并举提升我区产品质量合格率、先进标准增长率、计量保证体系通过率、质量管理体系认证率和企业名牌产品数率。增强产品可靠性，加强产品可靠性设计、试验及生产过程质量控制，依靠技术进步、管理创新和标准完善，提升可靠性水平，着力加强汽车、机床、轨道交通、家用电器、元器件和基础件等重点行业产品可靠性。提升服务质量满意度，引导企业树立以用户为中心的经营理念和以顾客满意为标准的质量理念，在商贸、餐饮、交通、物流、旅游、金融、邮政、通讯、卫生等重点领域，建立顾客满意度评价制度，推进服务业满意度评价试点。建立健全质量对比提升工作制度，在重点行业和支柱产业，鼓励以行业龙头为标杆，开展过程质量控制和管理绩效对比。</w:t>
      </w:r>
    </w:p>
    <w:p>
      <w:pPr>
        <w:jc w:val="center"/>
        <w:rPr>
          <w:rFonts w:hint="eastAsia" w:ascii="楷体_GB2312" w:hAnsi="楷体_GB2312" w:eastAsia="楷体_GB2312" w:cs="楷体_GB2312"/>
          <w:lang w:val="en-US" w:eastAsia="zh-CN"/>
        </w:rPr>
      </w:pPr>
      <w:bookmarkStart w:id="46" w:name="_Toc67319077"/>
      <w:r>
        <w:rPr>
          <w:rFonts w:hint="eastAsia" w:ascii="楷体_GB2312" w:hAnsi="楷体_GB2312" w:eastAsia="楷体_GB2312" w:cs="楷体_GB2312"/>
          <w:lang w:val="en-US" w:eastAsia="zh-CN"/>
        </w:rPr>
        <w:t>第二节 推进质量诚信体系建设</w:t>
      </w:r>
      <w:bookmarkEnd w:id="46"/>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加强质量信用建设。</w:t>
      </w:r>
      <w:r>
        <w:rPr>
          <w:rFonts w:hint="default" w:ascii="Times New Roman" w:hAnsi="Times New Roman" w:eastAsia="仿宋_GB2312" w:cs="Times New Roman"/>
          <w:sz w:val="32"/>
          <w:szCs w:val="32"/>
        </w:rPr>
        <w:t>建立质量信用信息收集制度，建立企业质量信用档案和产品质量信用信息记录，探索搭建以统一社会信用代码为基础、以物品编码管理为溯源手段的质量信用信息平台，实施质量信用分类监管。建立质量信用信息发布制度，建立质量失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黑名单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并向社会公开，严惩质量失信行为。</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加强诚信计量制度建设。</w:t>
      </w:r>
      <w:r>
        <w:rPr>
          <w:rFonts w:hint="default" w:ascii="Times New Roman" w:hAnsi="Times New Roman" w:eastAsia="仿宋_GB2312" w:cs="Times New Roman"/>
          <w:sz w:val="32"/>
          <w:szCs w:val="32"/>
        </w:rPr>
        <w:t>认真贯彻落实《广州市诚信计量示范单位评价细则》，实施诚信计量分类监管。深入开展计量诚信活动，在商业服务业等重点领域开展诚信计量制度建设，推动更多企业加入到实行诚信计量自我承诺活动，开展诚信计量示范单位创建，强化分类监管，营造诚信经营、放心消费的市场环境。加强集贸市场诚信建设，严格落实市场主办方责任，协同打造民生计量共建共治共享的社会治理格局。加强诚信计量宣传，开展诚信计量进社区、进小区、进市场。</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加强质量诚信文化建设。</w:t>
      </w:r>
      <w:r>
        <w:rPr>
          <w:rFonts w:hint="default" w:ascii="Times New Roman" w:hAnsi="Times New Roman" w:eastAsia="仿宋_GB2312" w:cs="Times New Roman"/>
          <w:sz w:val="32"/>
          <w:szCs w:val="32"/>
        </w:rPr>
        <w:t>把诚信守法作为质量发展的重要基石，倡导诚实守信、合法经营。增强质量诚信意识，完善质量诚信体系，发展先进的质量文化，推动企业牢固树立诚信理念。将诚实守信、持续改进、创新发展、追求卓越的质量精神转化为社会、广大企业及企业员工的行为准则，自觉抵制违法失信的生产经营行为。</w:t>
      </w:r>
    </w:p>
    <w:p>
      <w:pPr>
        <w:jc w:val="center"/>
        <w:rPr>
          <w:rFonts w:hint="default" w:ascii="楷体_GB2312" w:hAnsi="楷体_GB2312" w:eastAsia="楷体_GB2312" w:cs="楷体_GB2312"/>
          <w:lang w:val="en-US" w:eastAsia="zh-CN"/>
        </w:rPr>
      </w:pPr>
      <w:bookmarkStart w:id="47" w:name="_Toc67319078"/>
      <w:r>
        <w:rPr>
          <w:rFonts w:hint="default" w:ascii="楷体_GB2312" w:hAnsi="楷体_GB2312" w:eastAsia="楷体_GB2312" w:cs="楷体_GB2312"/>
          <w:lang w:val="en-US" w:eastAsia="zh-CN"/>
        </w:rPr>
        <w:t>第三节 发挥标准引领作用</w:t>
      </w:r>
      <w:bookmarkEnd w:id="47"/>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持续开展企业标准自我声明公开。</w:t>
      </w:r>
      <w:r>
        <w:rPr>
          <w:rFonts w:hint="default" w:ascii="Times New Roman" w:hAnsi="Times New Roman" w:eastAsia="仿宋_GB2312" w:cs="Times New Roman"/>
          <w:sz w:val="32"/>
          <w:szCs w:val="32"/>
        </w:rPr>
        <w:t>全面实施企业标准自我声明公开制度，加大企业标准自我声明公开制度宣传力度，鼓励和指导企业将产品标准通过全国标准信息公共服务平台向社会公开。加强对自我声明公开标准的监督检查，加强事中事后监管，对不符合自我声明公开标准制度要求的按有关法律法规要求处理。</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推进农业农村标准化试点建设。</w:t>
      </w:r>
      <w:r>
        <w:rPr>
          <w:rFonts w:hint="default" w:ascii="Times New Roman" w:hAnsi="Times New Roman" w:eastAsia="仿宋_GB2312" w:cs="Times New Roman"/>
          <w:sz w:val="32"/>
          <w:szCs w:val="32"/>
        </w:rPr>
        <w:t>围绕乡村振兴战略，依托全区大力推进特色小镇、美丽乡村、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老温泉、新活力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等建设，积极推动温泉的标准化工作，培育省级农业农村标准化试点示范项目，符合条件的进一步申报国家级试点示范。加强对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从化荔枝蜜</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钱岗糯米糍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等地理标志产品的地方标准实施情况开展调查，进一步完善地方标准。鼓励企事业单位开展农业类标准制修订项目，推进市地方标准修订工作，筹备荔枝种植技术等方面的团体标准制定。</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加强服务行业标准化提升工作。</w:t>
      </w:r>
      <w:r>
        <w:rPr>
          <w:rFonts w:hint="default" w:ascii="Times New Roman" w:hAnsi="Times New Roman" w:eastAsia="仿宋_GB2312" w:cs="Times New Roman"/>
          <w:sz w:val="32"/>
          <w:szCs w:val="32"/>
        </w:rPr>
        <w:t>结合生态文化旅游产业体系发展需求，引导旅游服务行业统一制定和推广实施餐饮住宿、景区游览、娱乐购物等方面的乡村特色游标准。争取推动以生活服务为主导的粤菜师傅、家政服务、养老服务、中医康养等领域创建标准化试点示范。发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标准化+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作用，促进基本公共服务设施建设、人员配备和服务管理等方面的标准化。</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助推全市创建标准国际化创新型城市。</w:t>
      </w:r>
      <w:r>
        <w:rPr>
          <w:rFonts w:hint="default" w:ascii="Times New Roman" w:hAnsi="Times New Roman" w:eastAsia="仿宋_GB2312" w:cs="Times New Roman"/>
          <w:sz w:val="32"/>
          <w:szCs w:val="32"/>
        </w:rPr>
        <w:t>扎实推进创建标准国际化创新型城市，鼓励从化企事业单位积极参与国际、国家城市可持续发展标准化工作，培育发展团体标准。持续开展百城千业万企对标达标专项提升行动，推动从化企业产品标准对标国内外先进标准，培育企业标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领跑者</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。组织企事业单位积极申报广州市标准化战略资金资助，争取更多上级资源支持。加大标准化培训和宣传力度，加强业务培训提高企业标准化工作人员的水平，培养专业的标准化人才，结合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世界标准日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，积极推动标准化宣传进企业、进学校、进社区。</w:t>
      </w:r>
    </w:p>
    <w:p>
      <w:pPr>
        <w:jc w:val="center"/>
        <w:rPr>
          <w:rFonts w:hint="default" w:ascii="楷体_GB2312" w:hAnsi="楷体_GB2312" w:eastAsia="楷体_GB2312" w:cs="楷体_GB2312"/>
          <w:lang w:val="en-US" w:eastAsia="zh-CN"/>
        </w:rPr>
      </w:pPr>
      <w:bookmarkStart w:id="48" w:name="_Toc67319079"/>
      <w:r>
        <w:rPr>
          <w:rFonts w:hint="default" w:ascii="楷体_GB2312" w:hAnsi="楷体_GB2312" w:eastAsia="楷体_GB2312" w:cs="楷体_GB2312"/>
          <w:lang w:val="en-US" w:eastAsia="zh-CN"/>
        </w:rPr>
        <w:t>第四节 加强质量管理</w:t>
      </w:r>
      <w:bookmarkEnd w:id="48"/>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完善质量工作体制机制。</w:t>
      </w:r>
      <w:r>
        <w:rPr>
          <w:rFonts w:hint="default" w:ascii="Times New Roman" w:hAnsi="Times New Roman" w:eastAsia="仿宋_GB2312" w:cs="Times New Roman"/>
          <w:sz w:val="32"/>
          <w:szCs w:val="32"/>
        </w:rPr>
        <w:t>健全质量安全责任体系，构建政府监管、市场调节、企业主体、行业自律、社会参与的质量工作格局，充分运用经济、法律、行政等手段维护质量安全，充分发挥市场和企业在促进质量发展中的能动作用。加大质量综合管理能力投入，强化质量工作基础建设，提升质量监管能力，重点加强产业功能区质量安全保障能力。创新质量发展激励机制，建立健全质量奖励制度，对质量管理先进、成绩显著的组织和个人给予表彰奖励，树立先进典型，激励广大企业和全社会重质量、讲诚信、树品牌。</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加强质量统计分析。</w:t>
      </w:r>
      <w:r>
        <w:rPr>
          <w:rFonts w:hint="default" w:ascii="Times New Roman" w:hAnsi="Times New Roman" w:eastAsia="仿宋_GB2312" w:cs="Times New Roman"/>
          <w:sz w:val="32"/>
          <w:szCs w:val="32"/>
        </w:rPr>
        <w:t>建立健全以产品质量合格率、出口商品质量合格率、顾客满意指数以及质量损失率等为主要内容的质量指标体系，推动质量指标纳入国民经济和社会发展统计指标体系。要结合实际情况，建立和完善从化质量状况分析报告制度，定期评估分析全区质量状况及质量竞争力水平，为重大经济决策提供依据。</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大力开展质量提升行动。</w:t>
      </w:r>
      <w:r>
        <w:rPr>
          <w:rFonts w:hint="default" w:ascii="Times New Roman" w:hAnsi="Times New Roman" w:eastAsia="仿宋_GB2312" w:cs="Times New Roman"/>
          <w:sz w:val="32"/>
          <w:szCs w:val="32"/>
        </w:rPr>
        <w:t>广泛开展质量强区活动，健全科学规范的质量工作考核评价体系，推动各部门更加重视质量工作，形成全社会齐抓共管的良好氛围，全面提升产品、服务和工程质量。对标国内外先进标准，推广先进质量管理方法，不断提高供给体系质量。组织开展公共服务质量监测工作，开展公共服务质量提升行动，提高市民对公共服务的满意度。</w:t>
      </w:r>
    </w:p>
    <w:p>
      <w:pPr>
        <w:jc w:val="center"/>
        <w:rPr>
          <w:rFonts w:hint="eastAsia" w:ascii="黑体" w:hAnsi="黑体" w:eastAsia="黑体" w:cs="黑体"/>
          <w:lang w:val="en-US" w:eastAsia="zh-CN"/>
        </w:rPr>
      </w:pPr>
      <w:bookmarkStart w:id="49" w:name="_Toc67319080"/>
      <w:r>
        <w:rPr>
          <w:rFonts w:hint="eastAsia" w:ascii="黑体" w:hAnsi="黑体" w:eastAsia="黑体" w:cs="黑体"/>
          <w:lang w:val="en-US" w:eastAsia="zh-CN"/>
        </w:rPr>
        <w:t>第八章 加强知识产权体系</w:t>
      </w:r>
      <w:bookmarkEnd w:id="49"/>
    </w:p>
    <w:p>
      <w:pPr>
        <w:jc w:val="center"/>
        <w:rPr>
          <w:rFonts w:hint="default" w:ascii="楷体_GB2312" w:hAnsi="楷体_GB2312" w:eastAsia="楷体_GB2312" w:cs="楷体_GB2312"/>
          <w:lang w:val="en-US" w:eastAsia="zh-CN"/>
        </w:rPr>
      </w:pPr>
      <w:bookmarkStart w:id="50" w:name="_Toc67319081"/>
      <w:r>
        <w:rPr>
          <w:rFonts w:hint="default" w:ascii="楷体_GB2312" w:hAnsi="楷体_GB2312" w:eastAsia="楷体_GB2312" w:cs="楷体_GB2312"/>
          <w:lang w:val="en-US" w:eastAsia="zh-CN"/>
        </w:rPr>
        <w:t>第一节 加强知识产权保护</w:t>
      </w:r>
      <w:bookmarkEnd w:id="50"/>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实施最严格的知识产权保护。</w:t>
      </w:r>
      <w:r>
        <w:rPr>
          <w:rFonts w:hint="default" w:ascii="Times New Roman" w:hAnsi="Times New Roman" w:eastAsia="仿宋_GB2312" w:cs="Times New Roman"/>
          <w:sz w:val="32"/>
          <w:szCs w:val="32"/>
        </w:rPr>
        <w:t>认真贯彻落实国家、省和市关于强化知识产权保护的战略部署，实施最严格的知识产权保护。组织开展关键领域、重点环节、重点群体专项治理，加强对地理标志产品、商标及商标代理、专利及专利代理行业的监管，严厉打击侵犯知识产权违法行为。</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建设知识产权保护重点机构。</w:t>
      </w:r>
      <w:r>
        <w:rPr>
          <w:rFonts w:hint="default" w:ascii="Times New Roman" w:hAnsi="Times New Roman" w:eastAsia="仿宋_GB2312" w:cs="Times New Roman"/>
          <w:sz w:val="32"/>
          <w:szCs w:val="32"/>
        </w:rPr>
        <w:t>组织实施广州市知识产权运营服务体系建设中央专项资金项目，积极推进知识产权、商标品牌战略规划实施。建设好从化区私营企业协会知识产权维权援助和保护工作站，整合协会知识产权资源，为协会企业单位和知识产权权利人提供知识产权维权咨询服务，更好地维护知识产权权利人和企业的合法权益。</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增强知识产权执法效能。</w:t>
      </w:r>
      <w:r>
        <w:rPr>
          <w:rFonts w:hint="default" w:ascii="Times New Roman" w:hAnsi="Times New Roman" w:eastAsia="仿宋_GB2312" w:cs="Times New Roman"/>
          <w:sz w:val="32"/>
          <w:szCs w:val="32"/>
        </w:rPr>
        <w:t>依法加大对重复侵权、恶意侵权等严重侵犯知识产权行为的赔偿力度，提高知识产权行政执法效能。加强知识产权信用管理，对知识产权领域严重失信主体实施联合惩戒。加强知识产权行政执法专业队伍建设，优化我区知识产权执法队伍结构，加强专利执法人员培训。</w:t>
      </w:r>
    </w:p>
    <w:p>
      <w:pPr>
        <w:jc w:val="center"/>
        <w:rPr>
          <w:rFonts w:hint="eastAsia" w:ascii="楷体_GB2312" w:hAnsi="楷体_GB2312" w:eastAsia="楷体_GB2312" w:cs="楷体_GB2312"/>
          <w:sz w:val="32"/>
          <w:szCs w:val="32"/>
          <w:lang w:val="en-US" w:eastAsia="zh-CN"/>
        </w:rPr>
      </w:pPr>
      <w:bookmarkStart w:id="51" w:name="_Toc67319082"/>
      <w:r>
        <w:rPr>
          <w:rFonts w:hint="eastAsia" w:ascii="楷体_GB2312" w:hAnsi="楷体_GB2312" w:eastAsia="楷体_GB2312" w:cs="楷体_GB2312"/>
          <w:sz w:val="32"/>
          <w:szCs w:val="32"/>
          <w:lang w:val="en-US" w:eastAsia="zh-CN"/>
        </w:rPr>
        <w:t>第二节 促进知识产权运用和培育</w:t>
      </w:r>
      <w:bookmarkEnd w:id="51"/>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推动知识产权转化。</w:t>
      </w:r>
      <w:r>
        <w:rPr>
          <w:rFonts w:hint="default" w:ascii="Times New Roman" w:hAnsi="Times New Roman" w:eastAsia="仿宋_GB2312" w:cs="Times New Roman"/>
          <w:sz w:val="32"/>
          <w:szCs w:val="32"/>
        </w:rPr>
        <w:t>依托广州市国家级知识产权运营中心等知识产权运营服务平台，立足从化实际，探索建立企业主导、金融机构参与、知识产权服务机构支撑的专利技术产业化路径，激活企业创新动力。加强知识产权与产业的结合，聚焦生物医药、新材料、智能装备制造等专利密集型产业，让知识产权融入产业链、做强创新链、提升价值链，助力从化产业经济高质量发展。</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加强知识产权示范优势企业培育。</w:t>
      </w:r>
      <w:r>
        <w:rPr>
          <w:rFonts w:hint="default" w:ascii="Times New Roman" w:hAnsi="Times New Roman" w:eastAsia="仿宋_GB2312" w:cs="Times New Roman"/>
          <w:sz w:val="32"/>
          <w:szCs w:val="32"/>
        </w:rPr>
        <w:t>积极争取区财政支持，提升知识产权优势企业的专利创造和运用能力，努力打造出一批专利大户。指导和支持市场主体注册商标、规范商标使用，鼓励注册地理标志商标。结合我区乡村振兴战略，充分利用中央、省专项资金的支持，加强地理标志的培育与运用，深入挖掘地理标志资源，申请注册地理标志商标或保护产品。</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加强知识产权运营机构培育。</w:t>
      </w:r>
      <w:r>
        <w:rPr>
          <w:rFonts w:hint="default" w:ascii="Times New Roman" w:hAnsi="Times New Roman" w:eastAsia="仿宋_GB2312" w:cs="Times New Roman"/>
          <w:sz w:val="32"/>
          <w:szCs w:val="32"/>
        </w:rPr>
        <w:t>支持知名知识产权服务机构来从化设立分支机构。加强行业协会知识产权服务能力，支持行业协会建设知识产权工作部、知识产权联盟等，不断提升行业协会知识产权服务水平。</w:t>
      </w:r>
    </w:p>
    <w:p>
      <w:pPr>
        <w:jc w:val="center"/>
        <w:rPr>
          <w:rFonts w:hint="default" w:ascii="楷体_GB2312" w:hAnsi="楷体_GB2312" w:eastAsia="楷体_GB2312" w:cs="楷体_GB2312"/>
          <w:sz w:val="32"/>
          <w:szCs w:val="32"/>
          <w:lang w:val="en-US" w:eastAsia="zh-CN"/>
        </w:rPr>
      </w:pPr>
      <w:bookmarkStart w:id="52" w:name="_Toc67319083"/>
      <w:r>
        <w:rPr>
          <w:rFonts w:hint="default" w:ascii="楷体_GB2312" w:hAnsi="楷体_GB2312" w:eastAsia="楷体_GB2312" w:cs="楷体_GB2312"/>
          <w:sz w:val="32"/>
          <w:szCs w:val="32"/>
          <w:lang w:val="en-US" w:eastAsia="zh-CN"/>
        </w:rPr>
        <w:t>第三节 优化知识产权发展环境</w:t>
      </w:r>
      <w:bookmarkEnd w:id="5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强化知识产权工作组织领导。</w:t>
      </w:r>
      <w:r>
        <w:rPr>
          <w:rFonts w:hint="default" w:ascii="Times New Roman" w:hAnsi="Times New Roman" w:eastAsia="仿宋_GB2312" w:cs="Times New Roman"/>
          <w:sz w:val="32"/>
          <w:szCs w:val="32"/>
        </w:rPr>
        <w:t>充分发挥区知识产权工作领导小组引领作用，统筹协调全区知识产权创造、运用、管理和保护工作，认真贯彻落实广州新时代知识产权强市战略举措，协调解决我区有关知识产权的重大问题，统筹组织各类有关重大活动。</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强化知识产权人才保障。</w:t>
      </w:r>
      <w:r>
        <w:rPr>
          <w:rFonts w:hint="default" w:ascii="Times New Roman" w:hAnsi="Times New Roman" w:eastAsia="仿宋_GB2312" w:cs="Times New Roman"/>
          <w:sz w:val="32"/>
          <w:szCs w:val="32"/>
        </w:rPr>
        <w:t>加强企业知识产权人才培育工作，面向企业开展知识产权宣传培训，推进企事业单位知识产权管理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贯标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加强知识产权宣传培训。</w:t>
      </w:r>
      <w:r>
        <w:rPr>
          <w:rFonts w:hint="default" w:ascii="Times New Roman" w:hAnsi="Times New Roman" w:eastAsia="仿宋_GB2312" w:cs="Times New Roman"/>
          <w:sz w:val="32"/>
          <w:szCs w:val="32"/>
        </w:rPr>
        <w:t>在世界知识产权日、中国专利周等重要时间节点，采用讲座、培训、会议、网络媒体、宣传活动等多种形式抓住重点、突出主题广泛宣传，深入宣传、解读我国知识产权法律法规方针政策、典型案例以及取得成就。促进知识产权进入企业、学校、科研机构、机关、社区等，营造全社会尊重知识、崇尚创新、诚信守法的知识产权文化氛围。</w:t>
      </w:r>
    </w:p>
    <w:p>
      <w:pPr>
        <w:jc w:val="center"/>
        <w:rPr>
          <w:rFonts w:hint="eastAsia" w:ascii="黑体" w:hAnsi="黑体" w:eastAsia="黑体" w:cs="黑体"/>
          <w:sz w:val="32"/>
          <w:szCs w:val="32"/>
          <w:lang w:val="en-US" w:eastAsia="zh-CN"/>
        </w:rPr>
      </w:pPr>
      <w:bookmarkStart w:id="53" w:name="_Toc67319084"/>
      <w:r>
        <w:rPr>
          <w:rFonts w:hint="eastAsia" w:ascii="黑体" w:hAnsi="黑体" w:eastAsia="黑体" w:cs="黑体"/>
          <w:sz w:val="32"/>
          <w:szCs w:val="32"/>
          <w:lang w:val="en-US" w:eastAsia="zh-CN"/>
        </w:rPr>
        <w:t>第九章 健全市场监管体制机制</w:t>
      </w:r>
      <w:bookmarkEnd w:id="53"/>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理顺市场监管体制，深化市场监管制度改革，优化执法机制，创新市场监管模式，统筹市场监管职能，加强大湾区市场监管合作协同，形成市场监管合力，实现市场监管共建共治，不断提升市场监管的科学性和有效性。</w:t>
      </w:r>
    </w:p>
    <w:p>
      <w:pPr>
        <w:jc w:val="center"/>
        <w:rPr>
          <w:rFonts w:hint="eastAsia" w:ascii="楷体_GB2312" w:hAnsi="楷体_GB2312" w:eastAsia="楷体_GB2312" w:cs="楷体_GB2312"/>
        </w:rPr>
      </w:pPr>
      <w:bookmarkStart w:id="54" w:name="_Toc67319085"/>
      <w:bookmarkStart w:id="55" w:name="_Hlk56956339"/>
      <w:r>
        <w:rPr>
          <w:rFonts w:hint="eastAsia" w:ascii="楷体_GB2312" w:hAnsi="楷体_GB2312" w:eastAsia="楷体_GB2312" w:cs="楷体_GB2312"/>
        </w:rPr>
        <w:t>第一节 推动市场监管共建共治</w:t>
      </w:r>
      <w:bookmarkEnd w:id="54"/>
    </w:p>
    <w:bookmarkEnd w:id="55"/>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强化工作统筹协调。</w:t>
      </w:r>
      <w:r>
        <w:rPr>
          <w:rFonts w:hint="default" w:ascii="Times New Roman" w:hAnsi="Times New Roman" w:eastAsia="仿宋_GB2312" w:cs="Times New Roman"/>
          <w:bCs/>
          <w:sz w:val="32"/>
          <w:szCs w:val="32"/>
        </w:rPr>
        <w:t>加强市场监管工作统筹协调和指导，形成部门协同、上下联动、有机衔接的工作机制，协调各部门密切合作，推进落实市场监管重大任务。加快构建</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信用依托、企业自治、行业自律、政府监管、社会监督</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的多元共建共治事中事后监管体系。</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推动建立健全市场监管工作协同联动、绩效考核制度</w:t>
      </w:r>
      <w:r>
        <w:rPr>
          <w:rFonts w:hint="default" w:ascii="Times New Roman" w:hAnsi="Times New Roman" w:eastAsia="仿宋_GB2312" w:cs="Times New Roman"/>
          <w:bCs/>
          <w:sz w:val="32"/>
          <w:szCs w:val="32"/>
        </w:rPr>
        <w:t>。对不同环节、业态和区域的市场监管资源配置和存在问题提出建议，确保市场监管力量和资源投入，防止出现</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监管真空</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和</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风险洼地</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加强跨部门协调协作。</w:t>
      </w:r>
      <w:r>
        <w:rPr>
          <w:rFonts w:hint="default" w:ascii="Times New Roman" w:hAnsi="Times New Roman" w:eastAsia="仿宋_GB2312" w:cs="Times New Roman"/>
          <w:bCs/>
          <w:sz w:val="32"/>
          <w:szCs w:val="32"/>
        </w:rPr>
        <w:t>积极对接公安、税务、科工商信等部门的业务信息系统，实现执法信息来源多样化、立体化，保障和促进市场监管执法。加强与区公检法、税务、科工商信等以及镇街政府沟通协调和对接配合，在信息共享、线索交接、案件移送等方面开展通力合作。</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 w:cs="Times New Roman"/>
          <w:bCs/>
          <w:sz w:val="30"/>
          <w:szCs w:val="30"/>
        </w:rPr>
      </w:pPr>
      <w:r>
        <w:rPr>
          <w:rFonts w:hint="default" w:ascii="Times New Roman" w:hAnsi="Times New Roman" w:eastAsia="楷体_GB2312" w:cs="Times New Roman"/>
          <w:b/>
          <w:sz w:val="32"/>
          <w:szCs w:val="32"/>
        </w:rPr>
        <w:t>健全市场综合监管体制。</w:t>
      </w:r>
      <w:r>
        <w:rPr>
          <w:rFonts w:hint="default" w:ascii="Times New Roman" w:hAnsi="Times New Roman" w:eastAsia="仿宋_GB2312" w:cs="Times New Roman"/>
          <w:bCs/>
          <w:sz w:val="32"/>
          <w:szCs w:val="32"/>
        </w:rPr>
        <w:t>合理确定市场监管领域执法机构的编制规模，减少执法层级，推动市场监管执法重心下沉，加快建立统一规范、权责明确、公正高效的市场综合监管体系体制。统筹配置行政处罚职能和执法资源，相对集中行政处罚权，整合精简执法队伍，解决多头执法问题。</w:t>
      </w:r>
    </w:p>
    <w:p>
      <w:pPr>
        <w:jc w:val="center"/>
        <w:rPr>
          <w:rFonts w:hint="default" w:ascii="楷体_GB2312" w:hAnsi="楷体_GB2312" w:eastAsia="楷体_GB2312" w:cs="楷体_GB2312"/>
        </w:rPr>
      </w:pPr>
      <w:bookmarkStart w:id="56" w:name="_Toc67319086"/>
      <w:r>
        <w:rPr>
          <w:rFonts w:hint="default" w:ascii="楷体_GB2312" w:hAnsi="楷体_GB2312" w:eastAsia="楷体_GB2312" w:cs="楷体_GB2312"/>
        </w:rPr>
        <w:t>第二节 推进大湾区市场监管合作</w:t>
      </w:r>
      <w:bookmarkEnd w:id="56"/>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主动服务</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双区建设</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双城联动</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w:t>
      </w:r>
      <w:r>
        <w:rPr>
          <w:rFonts w:hint="default" w:ascii="Times New Roman" w:hAnsi="Times New Roman" w:eastAsia="仿宋_GB2312" w:cs="Times New Roman"/>
          <w:bCs/>
          <w:sz w:val="32"/>
          <w:szCs w:val="32"/>
        </w:rPr>
        <w:t>进一步深化营商环境改革，完善公平开放的市场环境，加强知识产权保护，加快质量强区建设，为打造国际一流营商环境的</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广州样本</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贡献从化力量，推动广州实现老城市新活力和</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四个出新出彩</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。全力支持深圳建设中国特色社会主义先行示范区，在广深科技创新走廊知识产权保护、消费维权、食品和食用农产品安全合作、产品质量安全风险监测和预警等方面加强市场监管合作。</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深入对接</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一核一带一区</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区域协调发展格局。</w:t>
      </w:r>
      <w:bookmarkStart w:id="57" w:name="_Hlk60991020"/>
      <w:r>
        <w:rPr>
          <w:rFonts w:hint="default" w:ascii="Times New Roman" w:hAnsi="Times New Roman" w:eastAsia="仿宋_GB2312" w:cs="Times New Roman"/>
          <w:bCs/>
          <w:sz w:val="32"/>
          <w:szCs w:val="32"/>
        </w:rPr>
        <w:t>发挥从化地处全省</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一核</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一区</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交汇的战略区位优势，携手北部生态发展区加强市场监管合作，推进风险联防联控，</w:t>
      </w:r>
      <w:bookmarkEnd w:id="57"/>
      <w:r>
        <w:rPr>
          <w:rFonts w:hint="default" w:ascii="Times New Roman" w:hAnsi="Times New Roman" w:eastAsia="仿宋_GB2312" w:cs="Times New Roman"/>
          <w:bCs/>
          <w:sz w:val="32"/>
          <w:szCs w:val="32"/>
        </w:rPr>
        <w:t>打造北部生态发展区新标杆，在打造珠三角地区与北部生态区协同发展示范区中作出从化贡献。</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加快推动大湾区三地个人和企业征信系统实现互联互通。</w:t>
      </w:r>
      <w:r>
        <w:rPr>
          <w:rFonts w:hint="default" w:ascii="Times New Roman" w:hAnsi="Times New Roman" w:eastAsia="仿宋_GB2312" w:cs="Times New Roman"/>
          <w:bCs/>
          <w:sz w:val="32"/>
          <w:szCs w:val="32"/>
        </w:rPr>
        <w:t>探索建立大湾区企业多维信用画像系统，对存在冒用他人身份及虚假地址办理登记行为的中介代理机构、代理人等失信主体及行为进行信息共享、协同监管和联合惩戒，研究改进严重违法失信企业名单信用修复措施。</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扩大知识产权合作交流。</w:t>
      </w:r>
      <w:r>
        <w:rPr>
          <w:rFonts w:hint="default" w:ascii="Times New Roman" w:hAnsi="Times New Roman" w:eastAsia="仿宋_GB2312" w:cs="Times New Roman"/>
          <w:bCs/>
          <w:sz w:val="32"/>
          <w:szCs w:val="32"/>
        </w:rPr>
        <w:t>建立粤港澳大湾区知识产权合作新机制，探索在互通互认上先行一步，以互通促互认。推动广深科技创新走廊知识产权保护，建立粤港澳三地知识产权信息共享和案件线索通报移送机制，实现三地知识产权优势互补、协同发展，助力粤港澳大湾区打造成为世界级知识产权高地。</w:t>
      </w:r>
    </w:p>
    <w:p>
      <w:pPr>
        <w:jc w:val="center"/>
        <w:rPr>
          <w:rFonts w:hint="eastAsia" w:ascii="黑体" w:hAnsi="黑体" w:eastAsia="黑体" w:cs="黑体"/>
        </w:rPr>
      </w:pPr>
      <w:bookmarkStart w:id="58" w:name="_Toc67319087"/>
      <w:r>
        <w:rPr>
          <w:rFonts w:hint="eastAsia" w:ascii="黑体" w:hAnsi="黑体" w:eastAsia="黑体" w:cs="黑体"/>
        </w:rPr>
        <w:t>第十章 加强市场监管条件建设</w:t>
      </w:r>
      <w:bookmarkEnd w:id="58"/>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强化现代监管的人才保障，强化大数据基础支撑作用，推进技术平台支持作用，完善市场监管条件建设，推进监管条件现代化、智慧化发展。</w:t>
      </w:r>
    </w:p>
    <w:p>
      <w:pPr>
        <w:jc w:val="center"/>
        <w:rPr>
          <w:rFonts w:hint="eastAsia" w:ascii="楷体_GB2312" w:hAnsi="楷体_GB2312" w:eastAsia="楷体_GB2312" w:cs="楷体_GB2312"/>
        </w:rPr>
      </w:pPr>
      <w:bookmarkStart w:id="59" w:name="_Toc67319088"/>
      <w:r>
        <w:rPr>
          <w:rFonts w:hint="eastAsia" w:ascii="楷体_GB2312" w:hAnsi="楷体_GB2312" w:eastAsia="楷体_GB2312" w:cs="楷体_GB2312"/>
        </w:rPr>
        <w:t>第一节 强化现代监管人才队伍建设</w:t>
      </w:r>
      <w:bookmarkEnd w:id="59"/>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加强党政人才队伍培养。</w:t>
      </w:r>
      <w:r>
        <w:rPr>
          <w:rFonts w:hint="default" w:ascii="Times New Roman" w:hAnsi="Times New Roman" w:eastAsia="仿宋_GB2312" w:cs="Times New Roman"/>
          <w:bCs/>
          <w:sz w:val="32"/>
          <w:szCs w:val="32"/>
        </w:rPr>
        <w:t>抓好党政人才队伍思想教育， 促进人才完善知识结构、增长实践才干。 把新时代好干部标准贯穿于干部</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育识选管用储</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各个环节，强化对优秀年轻干部的培养。从严监督执纪问责，建设风清气正的干部队伍。</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建立系统有效的在职教育培训体系。</w:t>
      </w:r>
      <w:r>
        <w:rPr>
          <w:rFonts w:hint="default" w:ascii="Times New Roman" w:hAnsi="Times New Roman" w:eastAsia="仿宋_GB2312" w:cs="Times New Roman"/>
          <w:bCs/>
          <w:sz w:val="32"/>
          <w:szCs w:val="32"/>
        </w:rPr>
        <w:t>突出</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化学融合</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导向，围绕完善监管体系、提升监管效能、转变人员观念、提升人员能力的目标，开展全员轮训、基层业务骨干培训和核心人才专门集训</w:t>
      </w:r>
      <w:bookmarkStart w:id="60" w:name="_Hlk54859308"/>
      <w:r>
        <w:rPr>
          <w:rFonts w:hint="default" w:ascii="Times New Roman" w:hAnsi="Times New Roman" w:eastAsia="仿宋_GB2312" w:cs="Times New Roman"/>
          <w:bCs/>
          <w:sz w:val="32"/>
          <w:szCs w:val="32"/>
        </w:rPr>
        <w:t>。加强对检验检测、执法办案和应急管理人员的培训，注重</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叠加式</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、复合型干部能力培养，推进市场监管执法人员向一专多能的复合型人才发展。</w:t>
      </w:r>
      <w:bookmarkEnd w:id="60"/>
      <w:r>
        <w:rPr>
          <w:rFonts w:hint="default" w:ascii="Times New Roman" w:hAnsi="Times New Roman" w:eastAsia="仿宋_GB2312" w:cs="Times New Roman"/>
          <w:bCs/>
          <w:sz w:val="32"/>
          <w:szCs w:val="32"/>
        </w:rPr>
        <w:t>专人定期编辑典型案例或执法动态信息，及时传递分发给基层执法人员，用于指导执法实践与时俱进。加强执法人员的定期轮岗交流，鼓励年轻干部到基层岗位接受锻炼。</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 w:cs="Times New Roman"/>
          <w:bCs/>
          <w:sz w:val="30"/>
          <w:szCs w:val="30"/>
        </w:rPr>
      </w:pPr>
      <w:r>
        <w:rPr>
          <w:rFonts w:hint="default" w:ascii="Times New Roman" w:hAnsi="Times New Roman" w:eastAsia="楷体_GB2312" w:cs="Times New Roman"/>
          <w:b/>
          <w:sz w:val="32"/>
          <w:szCs w:val="32"/>
        </w:rPr>
        <w:t>健全人才评价激励机制。</w:t>
      </w:r>
      <w:r>
        <w:rPr>
          <w:rFonts w:hint="default" w:ascii="Times New Roman" w:hAnsi="Times New Roman" w:eastAsia="仿宋_GB2312" w:cs="Times New Roman"/>
          <w:bCs/>
          <w:sz w:val="32"/>
          <w:szCs w:val="32"/>
        </w:rPr>
        <w:t>创新完善人力资源政策，在人员编制、人事招聘、岗位等级设定等方面争取政策支持，对做出突出贡献的给予表彰奖励，激发市场监管队伍的活力和创造力。</w:t>
      </w:r>
    </w:p>
    <w:p>
      <w:pPr>
        <w:jc w:val="center"/>
        <w:rPr>
          <w:rFonts w:hint="default" w:ascii="楷体_GB2312" w:hAnsi="楷体_GB2312" w:eastAsia="楷体_GB2312" w:cs="楷体_GB2312"/>
        </w:rPr>
      </w:pPr>
      <w:bookmarkStart w:id="61" w:name="_Toc67319089"/>
      <w:r>
        <w:rPr>
          <w:rFonts w:hint="default" w:ascii="楷体_GB2312" w:hAnsi="楷体_GB2312" w:eastAsia="楷体_GB2312" w:cs="楷体_GB2312"/>
        </w:rPr>
        <w:t>第二节 加强数据库和技术支撑平台建设</w:t>
      </w:r>
      <w:bookmarkEnd w:id="61"/>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建立健全数据管理机制。</w:t>
      </w:r>
      <w:r>
        <w:rPr>
          <w:rFonts w:hint="default" w:ascii="Times New Roman" w:hAnsi="Times New Roman" w:eastAsia="仿宋_GB2312" w:cs="Times New Roman"/>
          <w:bCs/>
          <w:sz w:val="32"/>
          <w:szCs w:val="32"/>
        </w:rPr>
        <w:t>建设从化区市场监管大数据中心，构建自上而下、纵向到底、横向到边的数据管理机制。按照统一的数据标准，联通汇聚各部门和监管所数据，统筹市场监管数据收集、分析、开发及应用。明确数据管理规范，统一数据管理标准，建立数据管理绩效评价机制，完善数据核验机制，提高数据规范性、准确性和可用性。</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深入开发利用数据资源。</w:t>
      </w:r>
      <w:r>
        <w:rPr>
          <w:rFonts w:hint="default" w:ascii="Times New Roman" w:hAnsi="Times New Roman" w:eastAsia="仿宋_GB2312" w:cs="Times New Roman"/>
          <w:bCs/>
          <w:sz w:val="32"/>
          <w:szCs w:val="32"/>
        </w:rPr>
        <w:t>配合建立大数据综合分析系统，加强对原工商、食药、质监等业务数据和外部数据的整合、管理、对比和分析，贴合监管业务实际需求深度挖掘数据潜在价值，以最直观、最直接的方式展现数据价值，提高对市场监管准确性、有效性和实时性，为决策提供大数据综合分析服务。建立监管风险预警系统，通过重点领域风险监测数据和投诉举报数据等分析比对，加强风险研判，构建投诉举报、风险监测和预测预警机制。建立监管数据推送反馈系统和监管工作情况评估系统，强化对各监管环节的过程和效能监督。</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加强监管数据质量管理。</w:t>
      </w:r>
      <w:r>
        <w:rPr>
          <w:rFonts w:hint="default" w:ascii="Times New Roman" w:hAnsi="Times New Roman" w:eastAsia="仿宋_GB2312" w:cs="Times New Roman"/>
          <w:bCs/>
          <w:sz w:val="32"/>
          <w:szCs w:val="32"/>
        </w:rPr>
        <w:t>对区内市场主体从登记成立、监督检查、服务指导到风险管理、注销退出的全生命周期数据进行质量管理。加强对企业信息、抽检信息、日常监督检查、行政处罚数据的识别、度量、监控、预警。建立分类分级数据管理机制，加强统一身份认证、授权、审计的网络信任体系建设，强化监管信息安全和系统运行安全。</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加强技术支撑平台建设。</w:t>
      </w:r>
      <w:r>
        <w:rPr>
          <w:rFonts w:hint="default" w:ascii="Times New Roman" w:hAnsi="Times New Roman" w:eastAsia="仿宋_GB2312" w:cs="Times New Roman"/>
          <w:bCs/>
          <w:sz w:val="32"/>
          <w:szCs w:val="32"/>
        </w:rPr>
        <w:t>推广使用省市市场监管服务信息化平台，推进区内市场监管和企业信用信息平台建设，建立区内涉企信用信息部门间共享交换和互认机制，实现涉企监管、信用信息的归集、共享和运用。</w:t>
      </w:r>
    </w:p>
    <w:p>
      <w:pPr>
        <w:jc w:val="center"/>
        <w:rPr>
          <w:rFonts w:hint="default" w:ascii="楷体_GB2312" w:hAnsi="楷体_GB2312" w:eastAsia="楷体_GB2312" w:cs="楷体_GB2312"/>
        </w:rPr>
      </w:pPr>
      <w:bookmarkStart w:id="62" w:name="_Toc67319090"/>
      <w:r>
        <w:rPr>
          <w:rFonts w:hint="default" w:ascii="楷体_GB2312" w:hAnsi="楷体_GB2312" w:eastAsia="楷体_GB2312" w:cs="楷体_GB2312"/>
        </w:rPr>
        <w:t>第三节 推进智慧监管条件建设</w:t>
      </w:r>
      <w:bookmarkEnd w:id="62"/>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积极利用省市信息化资源实施智慧监管。</w:t>
      </w:r>
      <w:r>
        <w:rPr>
          <w:rFonts w:hint="default" w:ascii="Times New Roman" w:hAnsi="Times New Roman" w:eastAsia="仿宋_GB2312" w:cs="Times New Roman"/>
          <w:bCs/>
          <w:sz w:val="32"/>
          <w:szCs w:val="32"/>
        </w:rPr>
        <w:t>重点开展针对食品餐饮、酒店旅馆等服务企业和网络企业的智慧监管。运用大数据分析技术对消费者评价中涉及许可资质、信息公示、人员管理、环境卫生、原料管理等关键词进行语义识别，锁定相关服务主体并报送市场监管部门，由市场监管部门进行综合研判后采取加强现场检查或提前实施预防等措施。</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运用科技手段赋能市场监管服务。</w:t>
      </w:r>
      <w:r>
        <w:rPr>
          <w:rFonts w:hint="default" w:ascii="Times New Roman" w:hAnsi="Times New Roman" w:eastAsia="仿宋_GB2312" w:cs="Times New Roman"/>
          <w:bCs/>
          <w:sz w:val="32"/>
          <w:szCs w:val="32"/>
        </w:rPr>
        <w:t>依托人工智能、大数据、区块链等技术，争取上级部门支持，进一步向平台开放区内市场主体登记注册、事中事后监管数据，区内各部门按职权进行共享、运用，重点在企业信用、食品安全、特种设备等方面推动监管创新，完善平台功能建设。</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 w:cs="Times New Roman"/>
          <w:bCs/>
          <w:sz w:val="30"/>
          <w:szCs w:val="30"/>
        </w:rPr>
      </w:pPr>
      <w:r>
        <w:rPr>
          <w:rFonts w:hint="default" w:ascii="Times New Roman" w:hAnsi="Times New Roman" w:eastAsia="楷体_GB2312" w:cs="Times New Roman"/>
          <w:b/>
          <w:sz w:val="32"/>
          <w:szCs w:val="32"/>
        </w:rPr>
        <w:t>加强硬件设备建设。</w:t>
      </w:r>
      <w:r>
        <w:rPr>
          <w:rFonts w:hint="default" w:ascii="Times New Roman" w:hAnsi="Times New Roman" w:eastAsia="仿宋_GB2312" w:cs="Times New Roman"/>
          <w:bCs/>
          <w:sz w:val="32"/>
          <w:szCs w:val="32"/>
        </w:rPr>
        <w:t>积极争取上级及财政部门支持，增加服务器、中心监视器、智能视频监控设备、电子屏幕等硬件设备投入，加快智慧监管步伐。加大基层市场监管综合执法的硬件保障力度，加强市场监管人员移动终端和执法记录仪的配备，实现</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随时随地</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rPr>
        <w:t>办公，确保基层执法效能长效提升。</w:t>
      </w:r>
    </w:p>
    <w:p>
      <w:pPr>
        <w:jc w:val="center"/>
        <w:rPr>
          <w:rFonts w:hint="eastAsia" w:ascii="黑体" w:hAnsi="黑体" w:eastAsia="黑体" w:cs="黑体"/>
        </w:rPr>
      </w:pPr>
      <w:bookmarkStart w:id="63" w:name="_Toc67319091"/>
      <w:r>
        <w:rPr>
          <w:rFonts w:hint="eastAsia" w:ascii="黑体" w:hAnsi="黑体" w:eastAsia="黑体" w:cs="黑体"/>
        </w:rPr>
        <w:t>第十一章 保障措施</w:t>
      </w:r>
      <w:bookmarkEnd w:id="63"/>
    </w:p>
    <w:p>
      <w:pPr>
        <w:jc w:val="center"/>
        <w:rPr>
          <w:rFonts w:hint="default" w:ascii="楷体_GB2312" w:hAnsi="楷体_GB2312" w:eastAsia="楷体_GB2312" w:cs="楷体_GB2312"/>
        </w:rPr>
      </w:pPr>
      <w:bookmarkStart w:id="64" w:name="_Toc67319092"/>
      <w:r>
        <w:rPr>
          <w:rFonts w:hint="default" w:ascii="楷体_GB2312" w:hAnsi="楷体_GB2312" w:eastAsia="楷体_GB2312" w:cs="楷体_GB2312"/>
        </w:rPr>
        <w:t>第一节 加强组织领导</w:t>
      </w:r>
      <w:bookmarkEnd w:id="64"/>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完善区级各部门、区与乡镇两级政府间的沟通协调机制，形成权责分明、分工协作、齐抓共管的工作格局。全区各级各相关部门要按照规划确定的目标、任务，研究出台具体方案和实施办法，制定工作计划，进一步分解任务，细化措施，落实责任，扎实做好组织实施工作。各牵头部门要切实负起牵头责任，积极主动统筹部署，逐年逐项跟踪落实；各配合部门要认真研究，跟上路线节奏，紧密配合，形成合力，协助牵头单位共同推动各项目标完成。</w:t>
      </w:r>
    </w:p>
    <w:p>
      <w:pPr>
        <w:jc w:val="center"/>
        <w:rPr>
          <w:rFonts w:hint="eastAsia" w:ascii="楷体_GB2312" w:hAnsi="楷体_GB2312" w:eastAsia="楷体_GB2312" w:cs="楷体_GB2312"/>
          <w:lang w:val="en-US" w:eastAsia="zh-CN"/>
        </w:rPr>
      </w:pPr>
      <w:bookmarkStart w:id="65" w:name="_Toc67319093"/>
      <w:r>
        <w:rPr>
          <w:rFonts w:hint="eastAsia" w:ascii="楷体_GB2312" w:hAnsi="楷体_GB2312" w:eastAsia="楷体_GB2312" w:cs="楷体_GB2312"/>
          <w:lang w:val="en-US" w:eastAsia="zh-CN"/>
        </w:rPr>
        <w:t>第二节 健全机制保障</w:t>
      </w:r>
      <w:bookmarkEnd w:id="65"/>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部门要认真贯彻落实本规划的要求，在有关政策实施、项目安排、人力物力、资金保障等方面给予积极支持。各建设项目的牵头单位要积极争取上级部门支持，将建设项目纳入上级重点项目、示范点等创建活动范围，先行先试，力争率先取得突破。</w:t>
      </w:r>
    </w:p>
    <w:p>
      <w:pPr>
        <w:jc w:val="center"/>
        <w:rPr>
          <w:rFonts w:hint="default" w:ascii="楷体_GB2312" w:hAnsi="楷体_GB2312" w:eastAsia="楷体_GB2312" w:cs="楷体_GB2312"/>
          <w:lang w:val="en-US" w:eastAsia="zh-CN"/>
        </w:rPr>
      </w:pPr>
      <w:bookmarkStart w:id="66" w:name="_Toc67319094"/>
      <w:r>
        <w:rPr>
          <w:rFonts w:hint="default" w:ascii="楷体_GB2312" w:hAnsi="楷体_GB2312" w:eastAsia="楷体_GB2312" w:cs="楷体_GB2312"/>
          <w:lang w:val="en-US" w:eastAsia="zh-CN"/>
        </w:rPr>
        <w:t>第三节 强化考核监督</w:t>
      </w:r>
      <w:bookmarkEnd w:id="66"/>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部门要按照规划的部署和要求，制定各项目标任务的分解落实方案，目标任务要与当前工作、年度工作相结合，确定阶段性的重点工作，解决各阶段最关键、最核心的问题，以点带面、递次推进。要组织对各规划目标任务落实情况开展年度监督检查，完善反馈机制，严格责任制度。</w:t>
      </w:r>
    </w:p>
    <w:p>
      <w:pPr>
        <w:jc w:val="center"/>
        <w:rPr>
          <w:rFonts w:hint="default" w:ascii="楷体_GB2312" w:hAnsi="楷体_GB2312" w:eastAsia="楷体_GB2312" w:cs="楷体_GB2312"/>
          <w:lang w:val="en-US" w:eastAsia="zh-CN"/>
        </w:rPr>
      </w:pPr>
      <w:bookmarkStart w:id="67" w:name="_Toc67319095"/>
      <w:r>
        <w:rPr>
          <w:rFonts w:hint="default" w:ascii="楷体_GB2312" w:hAnsi="楷体_GB2312" w:eastAsia="楷体_GB2312" w:cs="楷体_GB2312"/>
          <w:lang w:val="en-US" w:eastAsia="zh-CN"/>
        </w:rPr>
        <w:t>第四节 加大社会宣传</w:t>
      </w:r>
      <w:bookmarkEnd w:id="67"/>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各相关部门要通过多种渠道、多种方式深入宣传《广州市从化区市场监督管理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规划》实施工作的重要意义，认真总结和推广新理念、新做法，开展多层次的工作交流，积极营造全社会广泛参与、政府部门积极实践的良好氛围。</w:t>
      </w:r>
    </w:p>
    <w:p>
      <w:pPr>
        <w:pStyle w:val="4"/>
        <w:pageBreakBefore w:val="0"/>
        <w:kinsoku/>
        <w:wordWrap/>
        <w:overflowPunct/>
        <w:topLinePunct w:val="0"/>
        <w:bidi w:val="0"/>
        <w:spacing w:line="240" w:lineRule="auto"/>
        <w:ind w:firstLine="640"/>
        <w:textAlignment w:val="auto"/>
        <w:rPr>
          <w:rFonts w:hint="default" w:ascii="Times New Roman" w:hAnsi="Times New Roman" w:eastAsia="仿宋_GB2312" w:cs="Times New Roman"/>
          <w:sz w:val="32"/>
          <w:szCs w:val="32"/>
        </w:rPr>
      </w:pPr>
    </w:p>
    <w:p>
      <w:pPr>
        <w:pStyle w:val="4"/>
        <w:pageBreakBefore w:val="0"/>
        <w:kinsoku/>
        <w:wordWrap/>
        <w:overflowPunct/>
        <w:topLinePunct w:val="0"/>
        <w:bidi w:val="0"/>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附件：1.名词解释</w:t>
      </w:r>
    </w:p>
    <w:p>
      <w:pPr>
        <w:pStyle w:val="4"/>
        <w:pageBreakBefore w:val="0"/>
        <w:kinsoku/>
        <w:wordWrap/>
        <w:overflowPunct/>
        <w:topLinePunct w:val="0"/>
        <w:bidi w:val="0"/>
        <w:spacing w:line="240" w:lineRule="auto"/>
        <w:ind w:left="2224" w:leftChars="304" w:hanging="1264"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2.广州市从化区市场监督监督管理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规划主</w:t>
      </w:r>
    </w:p>
    <w:p>
      <w:pPr>
        <w:pStyle w:val="4"/>
        <w:pageBreakBefore w:val="0"/>
        <w:kinsoku/>
        <w:wordWrap/>
        <w:overflowPunct/>
        <w:topLinePunct w:val="0"/>
        <w:bidi w:val="0"/>
        <w:spacing w:line="240" w:lineRule="auto"/>
        <w:ind w:left="2224" w:leftChars="604" w:hanging="316"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要指标</w:t>
      </w:r>
    </w:p>
    <w:p>
      <w:pPr>
        <w:pageBreakBefore w:val="0"/>
        <w:tabs>
          <w:tab w:val="left" w:pos="420"/>
          <w:tab w:val="left" w:pos="630"/>
        </w:tabs>
        <w:kinsoku/>
        <w:wordWrap/>
        <w:overflowPunct/>
        <w:topLinePunct w:val="0"/>
        <w:bidi w:val="0"/>
        <w:spacing w:line="240" w:lineRule="auto"/>
        <w:ind w:firstLine="632" w:firstLineChars="200"/>
        <w:textAlignment w:val="auto"/>
        <w:rPr>
          <w:rFonts w:hint="default" w:ascii="Times New Roman" w:hAnsi="Times New Roman" w:eastAsia="仿宋_GB2312" w:cs="Times New Roman"/>
          <w:sz w:val="32"/>
          <w:szCs w:val="32"/>
        </w:rPr>
      </w:pPr>
    </w:p>
    <w:p>
      <w:pPr>
        <w:pageBreakBefore w:val="0"/>
        <w:tabs>
          <w:tab w:val="left" w:pos="420"/>
          <w:tab w:val="left" w:pos="630"/>
        </w:tabs>
        <w:kinsoku/>
        <w:wordWrap/>
        <w:overflowPunct/>
        <w:topLinePunct w:val="0"/>
        <w:bidi w:val="0"/>
        <w:spacing w:line="240" w:lineRule="auto"/>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tabs>
          <w:tab w:val="left" w:pos="420"/>
          <w:tab w:val="left" w:pos="630"/>
        </w:tabs>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名词解释</w:t>
      </w:r>
    </w:p>
    <w:p>
      <w:pPr>
        <w:pStyle w:val="4"/>
        <w:pageBreakBefore w:val="0"/>
        <w:kinsoku/>
        <w:wordWrap/>
        <w:overflowPunct/>
        <w:topLinePunct w:val="0"/>
        <w:bidi w:val="0"/>
        <w:spacing w:line="240" w:lineRule="auto"/>
        <w:textAlignment w:val="auto"/>
        <w:rPr>
          <w:rFonts w:hint="default" w:ascii="Times New Roman" w:hAnsi="Times New Roman" w:cs="Times New Roman"/>
        </w:rPr>
      </w:pP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双区建设、双城联动</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双区建设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，指粤港澳大湾区建设和深圳中国特色社会主义先行示范区建设；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双城</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，广州和深圳。紧紧抓住粤港澳大湾区建设、支持深圳建设中国特色社会主义先行示范区的重大历史机遇，加强广州、深圳两市全方位相互支持和合作发展，携手引领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一核一带一区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区域发展新格局，实现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双城联动、比翼双飞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两区两谷双提升：</w:t>
      </w:r>
      <w:r>
        <w:rPr>
          <w:rFonts w:hint="default" w:ascii="Times New Roman" w:hAnsi="Times New Roman" w:eastAsia="仿宋_GB2312" w:cs="Times New Roman"/>
          <w:b w:val="0"/>
          <w:bCs w:val="0"/>
          <w:sz w:val="32"/>
          <w:szCs w:val="32"/>
          <w:lang w:eastAsia="zh-CN"/>
        </w:rPr>
        <w:t>在高水平建设幸福美丽生态之城，争当粤港澳大湾区绿色发展排头兵的总体目标统筹之下，奋力打造文明富裕的全国全省乡村振兴示范区，全面协调的国家城乡融合发展试验区，生态宜居的粤港澳大湾区创新</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绿谷</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，开放共享的粤港澳大湾区生态</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智谷</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，努力推进民生福祉、社会治理效能实现新提升。</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一网通办、一窗通取</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指申请人到从化区申请营业执照、刻制印章、申领发票（含税控设备）、就业和参保登记、住房公积金缴存登记、预约银行开户等，可通过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广州市开办企业一网通平台</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，一次录入上述各个事项申报信息后，各部门通过平台同步联办，最快0.5天可办结上述全部业务。与此同时，从化区政务服务中心设置了</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一窗通取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专窗，申请人在专窗一次性领取纸质营业执照、免费印章、发票和税控设备。</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.商事登记确认制：</w:t>
      </w:r>
      <w:r>
        <w:rPr>
          <w:rFonts w:hint="default" w:ascii="Times New Roman" w:hAnsi="Times New Roman" w:eastAsia="仿宋_GB2312" w:cs="Times New Roman"/>
          <w:sz w:val="32"/>
          <w:szCs w:val="32"/>
        </w:rPr>
        <w:t>指申请人提交材料，书面承诺其申报材料真实、齐全，并对不实承诺承担一切法律责任。公司登记机关确认其申报材料齐全、符合法定形式，即现场给予登记，确认其企业法人资格和经营资格。</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个转企</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个体工商户转型升级为企业。</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双随机、一公开</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在监管过程中随机抽取检查对象，随机选派执法检查人员，抽查情况及查处结果及时向社会公开。</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证照分离</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市场监管部门颁发的营业执照和各相关行业主管部门颁发的经营许可证分开审批，并对所有涉企经营许可事项按照直接取消审批、审批改为备案、实行告知承诺、优化审批服务四种方式分类推进改革。</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证照联办</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指营业执照和后置经营许可证同时受理、同步发证，实行关联审批事项一次告知、同步受理、资料共享、精简流程、统一发证的联审联办新模式，让数据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多跑路</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、企业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少跑腿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，使企业更快拿到营业执照并投入正常运营。</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
          <w:kern w:val="0"/>
          <w:sz w:val="32"/>
          <w:szCs w:val="32"/>
          <w:shd w:val="clear" w:color="auto" w:fill="FFFFFF"/>
          <w:lang w:val="en-US" w:eastAsia="zh-CN"/>
        </w:rPr>
        <w:t>9</w:t>
      </w:r>
      <w:r>
        <w:rPr>
          <w:rFonts w:hint="default" w:ascii="Times New Roman" w:hAnsi="Times New Roman" w:eastAsia="仿宋_GB2312" w:cs="Times New Roman"/>
          <w:b/>
          <w:kern w:val="0"/>
          <w:sz w:val="32"/>
          <w:szCs w:val="32"/>
          <w:shd w:val="clear" w:color="auto" w:fill="FFFFFF"/>
        </w:rPr>
        <w:t>.</w:t>
      </w:r>
      <w:r>
        <w:rPr>
          <w:rFonts w:hint="eastAsia" w:ascii="Times New Roman" w:hAnsi="Times New Roman" w:cs="Times New Roman"/>
          <w:b/>
          <w:kern w:val="0"/>
          <w:sz w:val="32"/>
          <w:szCs w:val="32"/>
          <w:shd w:val="clear" w:color="auto" w:fill="FFFFFF"/>
          <w:lang w:eastAsia="zh-CN"/>
        </w:rPr>
        <w:t>“</w:t>
      </w:r>
      <w:r>
        <w:rPr>
          <w:rFonts w:hint="default" w:ascii="Times New Roman" w:hAnsi="Times New Roman" w:eastAsia="仿宋_GB2312" w:cs="Times New Roman"/>
          <w:b/>
          <w:kern w:val="0"/>
          <w:sz w:val="32"/>
          <w:szCs w:val="32"/>
          <w:shd w:val="clear" w:color="auto" w:fill="FFFFFF"/>
        </w:rPr>
        <w:t>一会两站</w:t>
      </w:r>
      <w:r>
        <w:rPr>
          <w:rFonts w:hint="eastAsia" w:ascii="Times New Roman" w:hAnsi="Times New Roman" w:cs="Times New Roman"/>
          <w:b/>
          <w:kern w:val="0"/>
          <w:sz w:val="32"/>
          <w:szCs w:val="32"/>
          <w:shd w:val="clear" w:color="auto" w:fill="FFFFFF"/>
          <w:lang w:eastAsia="zh-CN"/>
        </w:rPr>
        <w:t>”</w:t>
      </w:r>
      <w:r>
        <w:rPr>
          <w:rFonts w:hint="default" w:ascii="Times New Roman" w:hAnsi="Times New Roman" w:eastAsia="仿宋_GB2312" w:cs="Times New Roman"/>
          <w:b/>
          <w:kern w:val="0"/>
          <w:sz w:val="32"/>
          <w:szCs w:val="32"/>
          <w:shd w:val="clear" w:color="auto" w:fill="FFFFFF"/>
        </w:rPr>
        <w:t>：</w:t>
      </w:r>
      <w:r>
        <w:rPr>
          <w:rFonts w:hint="default" w:ascii="Times New Roman" w:hAnsi="Times New Roman" w:eastAsia="仿宋_GB2312" w:cs="Times New Roman"/>
          <w:bCs/>
          <w:kern w:val="0"/>
          <w:sz w:val="32"/>
          <w:szCs w:val="32"/>
          <w:shd w:val="clear" w:color="auto" w:fill="FFFFFF"/>
        </w:rPr>
        <w:t>消费者协会分会、消费者投诉站、12315联络站。</w:t>
      </w:r>
    </w:p>
    <w:p>
      <w:pPr>
        <w:pageBreakBefore w:val="0"/>
        <w:tabs>
          <w:tab w:val="left" w:pos="420"/>
          <w:tab w:val="left" w:pos="630"/>
        </w:tabs>
        <w:kinsoku/>
        <w:wordWrap/>
        <w:overflowPunct/>
        <w:topLinePunct w:val="0"/>
        <w:bidi w:val="0"/>
        <w:spacing w:line="240" w:lineRule="auto"/>
        <w:ind w:firstLine="632" w:firstLineChars="200"/>
        <w:jc w:val="left"/>
        <w:textAlignment w:val="auto"/>
        <w:rPr>
          <w:rFonts w:hint="default" w:ascii="Times New Roman" w:hAnsi="Times New Roman" w:eastAsia="方正小标宋简体" w:cs="Times New Roman"/>
          <w:bCs/>
          <w:sz w:val="32"/>
          <w:szCs w:val="32"/>
        </w:rPr>
      </w:pPr>
      <w:r>
        <w:rPr>
          <w:rFonts w:hint="default" w:ascii="Times New Roman" w:hAnsi="Times New Roman" w:eastAsia="仿宋_GB2312" w:cs="Times New Roman"/>
          <w:b/>
          <w:kern w:val="0"/>
          <w:sz w:val="32"/>
          <w:szCs w:val="32"/>
          <w:shd w:val="clear" w:color="auto" w:fill="FFFFFF"/>
        </w:rPr>
        <w:t>10.</w:t>
      </w:r>
      <w:r>
        <w:rPr>
          <w:rFonts w:hint="eastAsia" w:ascii="Times New Roman" w:hAnsi="Times New Roman" w:cs="Times New Roman"/>
          <w:b/>
          <w:kern w:val="0"/>
          <w:sz w:val="32"/>
          <w:szCs w:val="32"/>
          <w:shd w:val="clear" w:color="auto" w:fill="FFFFFF"/>
          <w:lang w:eastAsia="zh-CN"/>
        </w:rPr>
        <w:t>“</w:t>
      </w:r>
      <w:r>
        <w:rPr>
          <w:rFonts w:hint="default" w:ascii="Times New Roman" w:hAnsi="Times New Roman" w:eastAsia="仿宋_GB2312" w:cs="Times New Roman"/>
          <w:b/>
          <w:kern w:val="0"/>
          <w:sz w:val="32"/>
          <w:szCs w:val="32"/>
          <w:shd w:val="clear" w:color="auto" w:fill="FFFFFF"/>
        </w:rPr>
        <w:t>1110制度</w:t>
      </w:r>
      <w:r>
        <w:rPr>
          <w:rFonts w:hint="eastAsia" w:ascii="Times New Roman" w:hAnsi="Times New Roman" w:cs="Times New Roman"/>
          <w:b/>
          <w:kern w:val="0"/>
          <w:sz w:val="32"/>
          <w:szCs w:val="32"/>
          <w:shd w:val="clear" w:color="auto" w:fill="FFFFFF"/>
          <w:lang w:eastAsia="zh-CN"/>
        </w:rPr>
        <w:t>”</w:t>
      </w:r>
      <w:r>
        <w:rPr>
          <w:rFonts w:hint="default" w:ascii="Times New Roman" w:hAnsi="Times New Roman" w:eastAsia="仿宋_GB2312" w:cs="Times New Roman"/>
          <w:b/>
          <w:kern w:val="0"/>
          <w:sz w:val="32"/>
          <w:szCs w:val="32"/>
          <w:shd w:val="clear" w:color="auto" w:fill="FFFFFF"/>
        </w:rPr>
        <w:t>：</w:t>
      </w:r>
      <w:r>
        <w:rPr>
          <w:rFonts w:hint="default" w:ascii="Times New Roman" w:hAnsi="Times New Roman" w:eastAsia="仿宋_GB2312" w:cs="Times New Roman"/>
          <w:bCs/>
          <w:kern w:val="0"/>
          <w:sz w:val="32"/>
          <w:szCs w:val="32"/>
          <w:shd w:val="clear" w:color="auto" w:fill="FFFFFF"/>
        </w:rPr>
        <w:t>对活禽市场采取</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一日一清洗，一周一消毒，一月一休市，过夜零存栏</w:t>
      </w:r>
      <w:r>
        <w:rPr>
          <w:rFonts w:hint="eastAsia" w:ascii="Times New Roman" w:hAnsi="Times New Roman" w:cs="Times New Roman"/>
          <w:bCs/>
          <w:kern w:val="0"/>
          <w:sz w:val="32"/>
          <w:szCs w:val="32"/>
          <w:shd w:val="clear" w:color="auto" w:fill="FFFFFF"/>
          <w:lang w:eastAsia="zh-CN"/>
        </w:rPr>
        <w:t>”</w:t>
      </w:r>
      <w:r>
        <w:rPr>
          <w:rFonts w:hint="default" w:ascii="Times New Roman" w:hAnsi="Times New Roman" w:eastAsia="仿宋_GB2312" w:cs="Times New Roman"/>
          <w:bCs/>
          <w:kern w:val="0"/>
          <w:sz w:val="32"/>
          <w:szCs w:val="32"/>
          <w:shd w:val="clear" w:color="auto" w:fill="FFFFFF"/>
        </w:rPr>
        <w:t>的制度。</w:t>
      </w:r>
    </w:p>
    <w:p>
      <w:pPr>
        <w:pStyle w:val="4"/>
        <w:ind w:firstLine="640"/>
        <w:rPr>
          <w:rFonts w:ascii="方正小标宋简体" w:hAnsi="方正小标宋简体" w:eastAsia="方正小标宋简体" w:cs="方正小标宋简体"/>
          <w:bCs/>
          <w:sz w:val="32"/>
          <w:szCs w:val="32"/>
        </w:rPr>
      </w:pPr>
    </w:p>
    <w:p>
      <w:pPr>
        <w:pStyle w:val="4"/>
        <w:ind w:firstLine="640"/>
        <w:rPr>
          <w:rFonts w:ascii="方正小标宋简体" w:hAnsi="方正小标宋简体" w:eastAsia="方正小标宋简体" w:cs="方正小标宋简体"/>
          <w:bCs/>
          <w:sz w:val="32"/>
          <w:szCs w:val="32"/>
        </w:rPr>
        <w:sectPr>
          <w:footerReference r:id="rId3" w:type="default"/>
          <w:pgSz w:w="11906" w:h="16838"/>
          <w:pgMar w:top="1985" w:right="1531" w:bottom="1985" w:left="1531" w:header="0" w:footer="1500" w:gutter="0"/>
          <w:cols w:space="720" w:num="1"/>
          <w:rtlGutter w:val="0"/>
          <w:docGrid w:type="linesAndChars" w:linePitch="584" w:charSpace="-849"/>
        </w:sectPr>
      </w:pPr>
    </w:p>
    <w:p>
      <w:pPr>
        <w:rPr>
          <w:rFonts w:hint="eastAsia" w:ascii="黑体" w:hAnsi="黑体" w:eastAsia="黑体" w:cs="黑体"/>
          <w:bCs/>
          <w:sz w:val="32"/>
          <w:szCs w:val="32"/>
        </w:rPr>
      </w:pPr>
      <w:r>
        <w:rPr>
          <w:rFonts w:hint="eastAsia" w:ascii="黑体" w:hAnsi="黑体" w:eastAsia="黑体" w:cs="黑体"/>
          <w:bCs/>
          <w:sz w:val="32"/>
          <w:szCs w:val="32"/>
        </w:rPr>
        <w:t>附件2</w:t>
      </w:r>
    </w:p>
    <w:p>
      <w:pPr>
        <w:pStyle w:val="4"/>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广州市从化区市场监督管理</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十四五</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规划主要指标</w:t>
      </w:r>
      <w:r>
        <w:rPr>
          <w:rFonts w:hint="eastAsia" w:ascii="方正小标宋简体" w:hAnsi="方正小标宋简体" w:eastAsia="方正小标宋简体" w:cs="方正小标宋简体"/>
          <w:bCs/>
          <w:sz w:val="44"/>
          <w:szCs w:val="44"/>
          <w:lang w:eastAsia="zh-CN"/>
        </w:rPr>
        <w:t>表</w:t>
      </w:r>
    </w:p>
    <w:p>
      <w:pPr>
        <w:pStyle w:val="4"/>
        <w:keepNext w:val="0"/>
        <w:keepLines w:val="0"/>
        <w:pageBreakBefore w:val="0"/>
        <w:widowControl w:val="0"/>
        <w:kinsoku/>
        <w:wordWrap/>
        <w:overflowPunct/>
        <w:topLinePunct w:val="0"/>
        <w:autoSpaceDE/>
        <w:autoSpaceDN/>
        <w:bidi w:val="0"/>
        <w:adjustRightInd/>
        <w:snapToGrid/>
        <w:spacing w:line="240" w:lineRule="exact"/>
        <w:ind w:firstLine="880"/>
        <w:textAlignment w:val="auto"/>
        <w:rPr>
          <w:rFonts w:ascii="方正小标宋简体" w:hAnsi="方正小标宋简体" w:eastAsia="方正小标宋简体" w:cs="方正小标宋简体"/>
          <w:bCs/>
          <w:sz w:val="44"/>
          <w:szCs w:val="44"/>
        </w:rPr>
      </w:pPr>
    </w:p>
    <w:tbl>
      <w:tblPr>
        <w:tblStyle w:val="14"/>
        <w:tblW w:w="14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90"/>
        <w:gridCol w:w="4984"/>
        <w:gridCol w:w="1268"/>
        <w:gridCol w:w="1991"/>
        <w:gridCol w:w="276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类别</w:t>
            </w:r>
          </w:p>
        </w:tc>
        <w:tc>
          <w:tcPr>
            <w:tcW w:w="890"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4984"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指  标</w:t>
            </w:r>
          </w:p>
        </w:tc>
        <w:tc>
          <w:tcPr>
            <w:tcW w:w="1268"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单位</w:t>
            </w:r>
          </w:p>
        </w:tc>
        <w:tc>
          <w:tcPr>
            <w:tcW w:w="1991"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rPr>
              <w:t>2020年</w:t>
            </w:r>
            <w:r>
              <w:rPr>
                <w:rFonts w:hint="default" w:ascii="Times New Roman" w:hAnsi="Times New Roman" w:eastAsia="黑体" w:cs="Times New Roman"/>
                <w:bCs/>
                <w:sz w:val="24"/>
                <w:szCs w:val="24"/>
                <w:lang w:eastAsia="zh-CN"/>
              </w:rPr>
              <w:t>达成值</w:t>
            </w:r>
          </w:p>
        </w:tc>
        <w:tc>
          <w:tcPr>
            <w:tcW w:w="2761"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rPr>
              <w:t>2025年</w:t>
            </w:r>
            <w:r>
              <w:rPr>
                <w:rFonts w:hint="default" w:ascii="Times New Roman" w:hAnsi="Times New Roman" w:eastAsia="黑体" w:cs="Times New Roman"/>
                <w:bCs/>
                <w:sz w:val="24"/>
                <w:szCs w:val="24"/>
                <w:lang w:eastAsia="zh-CN"/>
              </w:rPr>
              <w:t>目标值</w:t>
            </w:r>
          </w:p>
        </w:tc>
        <w:tc>
          <w:tcPr>
            <w:tcW w:w="1339" w:type="dxa"/>
            <w:noWrap w:val="0"/>
            <w:vAlign w:val="top"/>
          </w:tcPr>
          <w:p>
            <w:pPr>
              <w:pStyle w:val="4"/>
              <w:spacing w:line="578"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restart"/>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市场主体</w:t>
            </w: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在册</w:t>
            </w:r>
            <w:r>
              <w:rPr>
                <w:rFonts w:hint="default" w:ascii="Times New Roman" w:hAnsi="Times New Roman" w:eastAsia="仿宋_GB2312" w:cs="Times New Roman"/>
                <w:bCs/>
                <w:sz w:val="24"/>
                <w:szCs w:val="24"/>
              </w:rPr>
              <w:t>市场主体</w:t>
            </w:r>
            <w:r>
              <w:rPr>
                <w:rFonts w:hint="default" w:ascii="Times New Roman" w:hAnsi="Times New Roman" w:eastAsia="仿宋_GB2312" w:cs="Times New Roman"/>
                <w:bCs/>
                <w:sz w:val="24"/>
                <w:szCs w:val="24"/>
                <w:lang w:eastAsia="zh-CN"/>
              </w:rPr>
              <w:t>数量</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万户</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4.48</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continue"/>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开办企业线上办理率</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80</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96</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知识产权</w:t>
            </w: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3</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每万人发明专利拥有量</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件</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8.6</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restart"/>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市场秩序</w:t>
            </w: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4</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食品</w:t>
            </w:r>
            <w:r>
              <w:rPr>
                <w:rFonts w:hint="default" w:ascii="Times New Roman" w:hAnsi="Times New Roman" w:eastAsia="仿宋_GB2312" w:cs="Times New Roman"/>
                <w:bCs/>
                <w:sz w:val="24"/>
                <w:szCs w:val="24"/>
                <w:lang w:eastAsia="zh-CN"/>
              </w:rPr>
              <w:t>检验量</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批次</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650</w:t>
            </w:r>
          </w:p>
        </w:tc>
        <w:tc>
          <w:tcPr>
            <w:tcW w:w="2761" w:type="dxa"/>
            <w:noWrap w:val="0"/>
            <w:vAlign w:val="center"/>
          </w:tcPr>
          <w:p>
            <w:pPr>
              <w:pStyle w:val="4"/>
              <w:spacing w:line="578" w:lineRule="exact"/>
              <w:ind w:left="0" w:leftChars="0"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不少于从化区常住人口数“每千人</w:t>
            </w:r>
            <w:r>
              <w:rPr>
                <w:rFonts w:hint="default" w:ascii="Times New Roman" w:hAnsi="Times New Roman" w:eastAsia="仿宋_GB2312" w:cs="Times New Roman"/>
                <w:bCs/>
                <w:sz w:val="24"/>
                <w:szCs w:val="24"/>
                <w:lang w:val="en-US" w:eastAsia="zh-CN"/>
              </w:rPr>
              <w:t>1批次</w:t>
            </w:r>
            <w:r>
              <w:rPr>
                <w:rFonts w:hint="default" w:ascii="Times New Roman" w:hAnsi="Times New Roman" w:eastAsia="仿宋_GB2312" w:cs="Times New Roman"/>
                <w:bCs/>
                <w:sz w:val="24"/>
                <w:szCs w:val="24"/>
                <w:lang w:eastAsia="zh-CN"/>
              </w:rPr>
              <w:t>”</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约束</w:t>
            </w:r>
            <w:r>
              <w:rPr>
                <w:rFonts w:hint="default" w:ascii="Times New Roman" w:hAnsi="Times New Roman" w:eastAsia="仿宋_GB2312" w:cs="Times New Roman"/>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continue"/>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5</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“明厨亮灶”覆盖率</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93</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lang w:val="en-US"/>
              </w:rPr>
            </w:pPr>
            <w:r>
              <w:rPr>
                <w:rFonts w:hint="default" w:ascii="Times New Roman" w:hAnsi="Times New Roman" w:eastAsia="仿宋_GB2312" w:cs="Times New Roman"/>
                <w:color w:val="auto"/>
                <w:kern w:val="2"/>
                <w:sz w:val="24"/>
                <w:szCs w:val="24"/>
                <w:highlight w:val="none"/>
                <w:lang w:val="en-US" w:eastAsia="zh-CN" w:bidi="ar-SA"/>
              </w:rPr>
              <w:t>≥93</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约束</w:t>
            </w:r>
            <w:r>
              <w:rPr>
                <w:rFonts w:hint="default" w:ascii="Times New Roman" w:hAnsi="Times New Roman" w:eastAsia="仿宋_GB2312" w:cs="Times New Roman"/>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continue"/>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6</w:t>
            </w:r>
          </w:p>
        </w:tc>
        <w:tc>
          <w:tcPr>
            <w:tcW w:w="4984"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农贸市场和大型生鲜超市快速检测室配备率</w:t>
            </w:r>
          </w:p>
        </w:tc>
        <w:tc>
          <w:tcPr>
            <w:tcW w:w="1268"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color w:val="auto"/>
                <w:kern w:val="2"/>
                <w:sz w:val="24"/>
                <w:szCs w:val="24"/>
                <w:highlight w:val="none"/>
                <w:lang w:val="en-US" w:eastAsia="zh-CN" w:bidi="ar-SA"/>
              </w:rPr>
              <w:t>—</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90</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约束</w:t>
            </w:r>
            <w:r>
              <w:rPr>
                <w:rFonts w:hint="default" w:ascii="Times New Roman" w:hAnsi="Times New Roman" w:eastAsia="仿宋_GB2312" w:cs="Times New Roman"/>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vMerge w:val="continue"/>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p>
        </w:tc>
        <w:tc>
          <w:tcPr>
            <w:tcW w:w="890"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7</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color w:val="auto"/>
                <w:kern w:val="0"/>
                <w:sz w:val="24"/>
                <w:szCs w:val="24"/>
                <w:highlight w:val="none"/>
                <w:lang w:val="en-US" w:eastAsia="zh-CN" w:bidi="ar-SA"/>
              </w:rPr>
              <w:t>投诉按时办结率和举报按时核查率</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color w:val="auto"/>
                <w:kern w:val="0"/>
                <w:sz w:val="24"/>
                <w:szCs w:val="24"/>
                <w:highlight w:val="none"/>
                <w:lang w:val="en-US" w:eastAsia="zh-CN" w:bidi="ar-SA"/>
              </w:rPr>
              <w:t>%</w:t>
            </w:r>
          </w:p>
        </w:tc>
        <w:tc>
          <w:tcPr>
            <w:tcW w:w="1991" w:type="dxa"/>
            <w:noWrap w:val="0"/>
            <w:vAlign w:val="center"/>
          </w:tcPr>
          <w:p>
            <w:pPr>
              <w:pStyle w:val="4"/>
              <w:spacing w:line="578"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96</w:t>
            </w:r>
          </w:p>
        </w:tc>
        <w:tc>
          <w:tcPr>
            <w:tcW w:w="2761" w:type="dxa"/>
            <w:noWrap w:val="0"/>
            <w:vAlign w:val="center"/>
          </w:tcPr>
          <w:p>
            <w:pPr>
              <w:pStyle w:val="4"/>
              <w:spacing w:line="578" w:lineRule="exact"/>
              <w:ind w:firstLine="560"/>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98</w:t>
            </w:r>
          </w:p>
        </w:tc>
        <w:tc>
          <w:tcPr>
            <w:tcW w:w="1339" w:type="dxa"/>
            <w:noWrap w:val="0"/>
            <w:vAlign w:val="center"/>
          </w:tcPr>
          <w:p>
            <w:pPr>
              <w:pStyle w:val="4"/>
              <w:spacing w:line="578" w:lineRule="exact"/>
              <w:ind w:firstLine="0" w:firstLineChars="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约束</w:t>
            </w:r>
            <w:r>
              <w:rPr>
                <w:rFonts w:hint="default" w:ascii="Times New Roman" w:hAnsi="Times New Roman" w:eastAsia="仿宋_GB2312" w:cs="Times New Roman"/>
                <w:bCs/>
                <w:sz w:val="24"/>
                <w:szCs w:val="24"/>
              </w:rPr>
              <w:t>性</w:t>
            </w:r>
          </w:p>
        </w:tc>
      </w:tr>
    </w:tbl>
    <w:p>
      <w:pPr>
        <w:pStyle w:val="4"/>
        <w:spacing w:line="578" w:lineRule="exact"/>
      </w:pPr>
    </w:p>
    <w:p>
      <w:pPr>
        <w:rPr>
          <w:rFonts w:hint="eastAsia"/>
        </w:rPr>
      </w:pPr>
    </w:p>
    <w:p>
      <w:pPr>
        <w:rPr>
          <w:rFonts w:hint="eastAsia"/>
        </w:rPr>
        <w:sectPr>
          <w:pgSz w:w="16838" w:h="11906" w:orient="landscape"/>
          <w:pgMar w:top="1531" w:right="1985" w:bottom="1531" w:left="1985" w:header="0" w:footer="1500" w:gutter="0"/>
          <w:cols w:space="720" w:num="1"/>
          <w:rtlGutter w:val="0"/>
          <w:docGrid w:type="linesAndChars" w:linePitch="589" w:charSpace="-849"/>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0"/>
        <w:rPr>
          <w:rFonts w:hint="eastAsia"/>
        </w:rPr>
      </w:pPr>
    </w:p>
    <w:p>
      <w:pPr>
        <w:rPr>
          <w:rFonts w:hint="eastAsia"/>
        </w:rPr>
      </w:pPr>
    </w:p>
    <w:p>
      <w:pPr>
        <w:rPr>
          <w:rFonts w:hint="eastAsia" w:ascii="仿宋_GB2312" w:hAnsi="仿宋_GB2312" w:eastAsia="仿宋_GB2312" w:cs="仿宋_GB2312"/>
          <w:lang w:eastAsia="zh-CN"/>
        </w:rPr>
      </w:pPr>
      <w:r>
        <w:rPr>
          <w:rFonts w:hint="eastAsia" w:ascii="黑体" w:eastAsia="黑体"/>
        </w:rPr>
        <w:t>公开方式：</w:t>
      </w:r>
      <w:r>
        <w:rPr>
          <w:rFonts w:hint="eastAsia" w:ascii="仿宋_GB2312" w:hAnsi="仿宋_GB2312" w:eastAsia="仿宋_GB2312" w:cs="仿宋_GB2312"/>
          <w:lang w:eastAsia="zh-CN"/>
        </w:rPr>
        <w:t>主动公开</w:t>
      </w:r>
    </w:p>
    <w:p>
      <w:pPr>
        <w:ind w:firstLine="316" w:firstLineChars="100"/>
        <w:rPr>
          <w:rFonts w:hint="eastAsia"/>
        </w:rPr>
      </w:pPr>
    </w:p>
    <w:p>
      <w:pPr>
        <w:ind w:left="1144" w:leftChars="100" w:hanging="828" w:hangingChars="300"/>
        <w:rPr>
          <w:rFonts w:hint="eastAsia" w:hAnsi="宋体"/>
          <w:sz w:val="28"/>
          <w:szCs w:val="28"/>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3100" cy="0"/>
                <wp:effectExtent l="0" t="0" r="0" b="0"/>
                <wp:wrapNone/>
                <wp:docPr id="4" name="直线 57"/>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0pt;margin-top:0pt;height:0pt;width:453pt;z-index:251661312;mso-width-relative:page;mso-height-relative:page;" filled="f" stroked="t" coordsize="21600,21600" o:gfxdata="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Wg1L0QAAAAIBAAAPAAAAAAAAAAEAIAAAACIAAABkcnMvZG93&#10;bnJldi54bWxQSwECFAAUAAAACACHTuJAdDGUac4BAACOAwAADgAAAAAAAAABACAAAAAgAQAAZHJz&#10;L2Uyb0RvYy54bWxQSwUGAAAAAAYABgBZAQAAYAUAAAAA&#10;">
                <v:fill on="f" focussize="0,0"/>
                <v:stroke color="#000000" joinstyle="round"/>
                <v:imagedata o:title=""/>
                <o:lock v:ext="edit" aspectratio="f"/>
              </v:line>
            </w:pict>
          </mc:Fallback>
        </mc:AlternateContent>
      </w:r>
      <w:r>
        <w:rPr>
          <w:rFonts w:hint="eastAsia"/>
          <w:sz w:val="28"/>
          <w:szCs w:val="28"/>
        </w:rPr>
        <w:t>抄送：区委各部委办局，区人大常委会办，区政协办，区纪委办，区武装部，区法院，区检察院，各民主党派，各人民团体，驻从化各单位。</w:t>
      </w:r>
    </w:p>
    <w:p>
      <w:pPr>
        <w:ind w:firstLine="276" w:firstLineChars="100"/>
        <w:rPr>
          <w:rFonts w:hint="eastAsia"/>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753100" cy="0"/>
                <wp:effectExtent l="0" t="0" r="0" b="0"/>
                <wp:wrapNone/>
                <wp:docPr id="3" name="直线 58"/>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0pt;margin-top:0.25pt;height:0pt;width:453pt;z-index:251660288;mso-width-relative:page;mso-height-relative:page;" filled="f" stroked="t" coordsize="21600,21600" o:gfxdata="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DMPQAAAAAgEAAA8AAAAAAAAAAQAgAAAAIgAAAGRycy9kb3du&#10;cmV2LnhtbFBLAQIUABQAAAAIAIdO4kAopyHUzgEAAI4DAAAOAAAAAAAAAAEAIAAAAB8BAABkcnMv&#10;ZTJvRG9jLnhtbFBLBQYAAAAABgAGAFkBAABf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390525</wp:posOffset>
                </wp:positionV>
                <wp:extent cx="5753100" cy="0"/>
                <wp:effectExtent l="0" t="0" r="0" b="0"/>
                <wp:wrapNone/>
                <wp:docPr id="2" name="直线 59"/>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0pt;margin-top:30.75pt;height:0pt;width:453pt;z-index:251659264;mso-width-relative:page;mso-height-relative:page;" filled="f" stroked="t" coordsize="21600,21600" o:gfxdata="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9WTTTAAAABgEAAA8AAAAAAAAAAQAgAAAAIgAAAGRycy9k&#10;b3ducmV2LnhtbFBLAQIUABQAAAAIAIdO4kBRTQMHzgEAAI4DAAAOAAAAAAAAAAEAIAAAACIBAABk&#10;cnMvZTJvRG9jLnhtbFBLBQYAAAAABgAGAFkBAABiBQAAAAA=&#10;">
                <v:fill on="f" focussize="0,0"/>
                <v:stroke color="#000000" joinstyle="round"/>
                <v:imagedata o:title=""/>
                <o:lock v:ext="edit" aspectratio="f"/>
              </v:line>
            </w:pict>
          </mc:Fallback>
        </mc:AlternateContent>
      </w:r>
      <w:r>
        <w:rPr>
          <w:sz w:val="28"/>
          <w:szCs w:val="28"/>
        </w:rPr>
        <w:t>从化</w:t>
      </w:r>
      <w:r>
        <w:rPr>
          <w:rFonts w:hint="eastAsia"/>
          <w:sz w:val="28"/>
          <w:szCs w:val="28"/>
        </w:rPr>
        <w:t>区</w:t>
      </w:r>
      <w:r>
        <w:rPr>
          <w:sz w:val="28"/>
          <w:szCs w:val="28"/>
        </w:rPr>
        <w:t>人民政府办公室</w:t>
      </w:r>
      <w:r>
        <w:rPr>
          <w:rFonts w:hint="eastAsia"/>
          <w:sz w:val="28"/>
          <w:szCs w:val="28"/>
        </w:rPr>
        <w:t>秘书科</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23</w:t>
      </w:r>
      <w:r>
        <w:rPr>
          <w:rFonts w:hint="eastAsia"/>
          <w:sz w:val="28"/>
          <w:szCs w:val="28"/>
        </w:rPr>
        <w:t>日印</w:t>
      </w:r>
      <w:r>
        <w:rPr>
          <w:sz w:val="28"/>
          <w:szCs w:val="28"/>
        </w:rPr>
        <w:t>发</w:t>
      </w:r>
    </w:p>
    <w:sectPr>
      <w:headerReference r:id="rId4" w:type="default"/>
      <w:footerReference r:id="rId5" w:type="default"/>
      <w:footerReference r:id="rId6" w:type="even"/>
      <w:pgSz w:w="11906" w:h="16838"/>
      <w:pgMar w:top="1985" w:right="1531" w:bottom="1985" w:left="1531" w:header="0" w:footer="1701" w:gutter="0"/>
      <w:cols w:space="720"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8"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eastAsia" w:ascii="宋体" w:hAnsi="宋体" w:cs="宋体"/>
                              <w:sz w:val="28"/>
                              <w:szCs w:val="28"/>
                              <w:lang w:eastAsia="zh-CN"/>
                            </w:rPr>
                            <w:t xml:space="preserve"> —</w:t>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zMxXRAAAAAwEAAA8A&#10;AAAAAAAAAQAgAAAAIgAAAGRycy9kb3ducmV2LnhtbFBLAQIUABQAAAAIAIdO4kABaI4d5QEAAMID&#10;AAAOAAAAAAAAAAEAIAAAACABAABkcnMvZTJvRG9jLnhtbFBLBQYAAAAABgAGAFkBAAB3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4935" cy="230505"/>
              <wp:effectExtent l="0" t="0" r="0" b="0"/>
              <wp:wrapNone/>
              <wp:docPr id="9"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ffectLst/>
                    </wps:spPr>
                    <wps:txbx>
                      <w:txbxContent>
                        <w:p>
                          <w:pPr>
                            <w:pStyle w:val="8"/>
                            <w:rPr>
                              <w:rFonts w:ascii="宋体" w:hAnsi="宋体" w:cs="宋体"/>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9.05pt;mso-position-horizontal:outside;mso-position-horizontal-relative:margin;mso-wrap-style:none;z-index:251658240;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9u+70QAAAAMBAAAP&#10;AAAAAAAAAAEAIAAAACIAAABkcnMvZG93bnJldi54bWxQSwECFAAUAAAACACHTuJAl13FC+YBAADE&#10;AwAADgAAAAAAAAABACAAAAAgAQAAZHJzL2Uyb0RvYy54bWxQSwUGAAAAAAYABgBZAQAAeAUAAAAA&#10;">
              <v:fill on="f" focussize="0,0"/>
              <v:stroke on="f"/>
              <v:imagedata o:title=""/>
              <o:lock v:ext="edit" aspectratio="f"/>
              <v:textbox inset="0mm,0mm,0mm,0mm" style="mso-fit-shape-to-text:t;">
                <w:txbxContent>
                  <w:p>
                    <w:pPr>
                      <w:pStyle w:val="8"/>
                      <w:rPr>
                        <w:rFonts w:ascii="宋体" w:hAnsi="宋体" w:cs="宋体"/>
                        <w:sz w:val="28"/>
                        <w:szCs w:val="28"/>
                      </w:rPr>
                    </w:pPr>
                  </w:p>
                </w:txbxContent>
              </v:textbox>
            </v:shape>
          </w:pict>
        </mc:Fallback>
      </mc:AlternateContent>
    </w:r>
  </w:p>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fldChar w:fldCharType="begin"/>
    </w:r>
    <w:r>
      <w:rPr>
        <w:rStyle w:val="18"/>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4"/>
    <w:rsid w:val="00026E4B"/>
    <w:rsid w:val="000840BE"/>
    <w:rsid w:val="00093ACF"/>
    <w:rsid w:val="000A2507"/>
    <w:rsid w:val="00154DF3"/>
    <w:rsid w:val="0017635B"/>
    <w:rsid w:val="001819FA"/>
    <w:rsid w:val="001B028A"/>
    <w:rsid w:val="001B6F2D"/>
    <w:rsid w:val="001D700E"/>
    <w:rsid w:val="001E2BE0"/>
    <w:rsid w:val="002139EF"/>
    <w:rsid w:val="002144E1"/>
    <w:rsid w:val="0022631C"/>
    <w:rsid w:val="002730CA"/>
    <w:rsid w:val="002B18AE"/>
    <w:rsid w:val="002B7429"/>
    <w:rsid w:val="00306FD2"/>
    <w:rsid w:val="00313706"/>
    <w:rsid w:val="00344E8B"/>
    <w:rsid w:val="003509A1"/>
    <w:rsid w:val="003640BF"/>
    <w:rsid w:val="00385BCF"/>
    <w:rsid w:val="0039444E"/>
    <w:rsid w:val="003B5765"/>
    <w:rsid w:val="003E0C54"/>
    <w:rsid w:val="003E6D77"/>
    <w:rsid w:val="00433EB3"/>
    <w:rsid w:val="00460BFE"/>
    <w:rsid w:val="00466086"/>
    <w:rsid w:val="005131CD"/>
    <w:rsid w:val="00525827"/>
    <w:rsid w:val="00551E20"/>
    <w:rsid w:val="005635E0"/>
    <w:rsid w:val="005768B9"/>
    <w:rsid w:val="00584B25"/>
    <w:rsid w:val="0059071E"/>
    <w:rsid w:val="005C035F"/>
    <w:rsid w:val="005D51FF"/>
    <w:rsid w:val="005E0569"/>
    <w:rsid w:val="005E7CE4"/>
    <w:rsid w:val="00662AD9"/>
    <w:rsid w:val="00676170"/>
    <w:rsid w:val="00686DFB"/>
    <w:rsid w:val="00687C93"/>
    <w:rsid w:val="006A298F"/>
    <w:rsid w:val="006A4C14"/>
    <w:rsid w:val="006C4397"/>
    <w:rsid w:val="00701663"/>
    <w:rsid w:val="00704DBA"/>
    <w:rsid w:val="007210CB"/>
    <w:rsid w:val="007236D9"/>
    <w:rsid w:val="00766031"/>
    <w:rsid w:val="00795F56"/>
    <w:rsid w:val="007A4F8D"/>
    <w:rsid w:val="007B223F"/>
    <w:rsid w:val="00804A2E"/>
    <w:rsid w:val="0082486D"/>
    <w:rsid w:val="008422C5"/>
    <w:rsid w:val="00863F81"/>
    <w:rsid w:val="008754C1"/>
    <w:rsid w:val="00877D91"/>
    <w:rsid w:val="008847BE"/>
    <w:rsid w:val="0089107A"/>
    <w:rsid w:val="008D0A0F"/>
    <w:rsid w:val="008F03DC"/>
    <w:rsid w:val="00942288"/>
    <w:rsid w:val="00964E1B"/>
    <w:rsid w:val="009A6497"/>
    <w:rsid w:val="009D471C"/>
    <w:rsid w:val="009F5380"/>
    <w:rsid w:val="00A15A00"/>
    <w:rsid w:val="00A36725"/>
    <w:rsid w:val="00A86028"/>
    <w:rsid w:val="00A9246C"/>
    <w:rsid w:val="00A9567E"/>
    <w:rsid w:val="00AB1387"/>
    <w:rsid w:val="00AB6B36"/>
    <w:rsid w:val="00AD7D83"/>
    <w:rsid w:val="00B1680B"/>
    <w:rsid w:val="00B50714"/>
    <w:rsid w:val="00B83CF8"/>
    <w:rsid w:val="00BB3151"/>
    <w:rsid w:val="00BE1F6D"/>
    <w:rsid w:val="00C00297"/>
    <w:rsid w:val="00C21218"/>
    <w:rsid w:val="00C4064E"/>
    <w:rsid w:val="00C9353B"/>
    <w:rsid w:val="00CA1231"/>
    <w:rsid w:val="00CF5C57"/>
    <w:rsid w:val="00D02A48"/>
    <w:rsid w:val="00D0682E"/>
    <w:rsid w:val="00D076F3"/>
    <w:rsid w:val="00D11465"/>
    <w:rsid w:val="00D17ED0"/>
    <w:rsid w:val="00D2063E"/>
    <w:rsid w:val="00D23C63"/>
    <w:rsid w:val="00D44DA5"/>
    <w:rsid w:val="00D455FE"/>
    <w:rsid w:val="00D64F0F"/>
    <w:rsid w:val="00D77D6A"/>
    <w:rsid w:val="00D82B67"/>
    <w:rsid w:val="00D83207"/>
    <w:rsid w:val="00D97A67"/>
    <w:rsid w:val="00DF3327"/>
    <w:rsid w:val="00DF3BB1"/>
    <w:rsid w:val="00DF58D3"/>
    <w:rsid w:val="00E10A4A"/>
    <w:rsid w:val="00E12C52"/>
    <w:rsid w:val="00E20400"/>
    <w:rsid w:val="00E27185"/>
    <w:rsid w:val="00E52591"/>
    <w:rsid w:val="00E846A1"/>
    <w:rsid w:val="00EB51AA"/>
    <w:rsid w:val="00EB6200"/>
    <w:rsid w:val="00ED2784"/>
    <w:rsid w:val="00EF5832"/>
    <w:rsid w:val="00EF71EC"/>
    <w:rsid w:val="00F00252"/>
    <w:rsid w:val="00F02F1C"/>
    <w:rsid w:val="00F12834"/>
    <w:rsid w:val="00F17337"/>
    <w:rsid w:val="00F21C65"/>
    <w:rsid w:val="00F2327F"/>
    <w:rsid w:val="00F37247"/>
    <w:rsid w:val="00F46B5B"/>
    <w:rsid w:val="00F73BA7"/>
    <w:rsid w:val="00FC476A"/>
    <w:rsid w:val="00FF4E96"/>
    <w:rsid w:val="05B5437B"/>
    <w:rsid w:val="07013C37"/>
    <w:rsid w:val="096834AB"/>
    <w:rsid w:val="0A1D76BB"/>
    <w:rsid w:val="0A946CA4"/>
    <w:rsid w:val="0B70164B"/>
    <w:rsid w:val="0D02105D"/>
    <w:rsid w:val="0D6064DB"/>
    <w:rsid w:val="0E260B34"/>
    <w:rsid w:val="11FB040C"/>
    <w:rsid w:val="12234B24"/>
    <w:rsid w:val="12600C5A"/>
    <w:rsid w:val="12BA1898"/>
    <w:rsid w:val="159E2A7F"/>
    <w:rsid w:val="17A95DEE"/>
    <w:rsid w:val="18DD6F77"/>
    <w:rsid w:val="19A52680"/>
    <w:rsid w:val="1A420F26"/>
    <w:rsid w:val="1B773689"/>
    <w:rsid w:val="1CAA2B13"/>
    <w:rsid w:val="1CB2151C"/>
    <w:rsid w:val="1DD32230"/>
    <w:rsid w:val="1DFF8A50"/>
    <w:rsid w:val="1F9E7CA5"/>
    <w:rsid w:val="227B13C4"/>
    <w:rsid w:val="230530F2"/>
    <w:rsid w:val="23C47F64"/>
    <w:rsid w:val="28AA4C29"/>
    <w:rsid w:val="2A595AA9"/>
    <w:rsid w:val="2E1F1E77"/>
    <w:rsid w:val="32E41476"/>
    <w:rsid w:val="33C36EA1"/>
    <w:rsid w:val="34113DD0"/>
    <w:rsid w:val="34B06550"/>
    <w:rsid w:val="358048B4"/>
    <w:rsid w:val="35A14A55"/>
    <w:rsid w:val="35BF242D"/>
    <w:rsid w:val="36F3F1A3"/>
    <w:rsid w:val="36FF52DE"/>
    <w:rsid w:val="398C0E3C"/>
    <w:rsid w:val="3D8063BF"/>
    <w:rsid w:val="3E392DC7"/>
    <w:rsid w:val="3E673235"/>
    <w:rsid w:val="3EAA1961"/>
    <w:rsid w:val="3EDA1BE0"/>
    <w:rsid w:val="400908B2"/>
    <w:rsid w:val="407258C6"/>
    <w:rsid w:val="415A221A"/>
    <w:rsid w:val="43DF48FE"/>
    <w:rsid w:val="447D0A0D"/>
    <w:rsid w:val="4579083B"/>
    <w:rsid w:val="47224BC6"/>
    <w:rsid w:val="475C206D"/>
    <w:rsid w:val="48926D8B"/>
    <w:rsid w:val="4A0773F3"/>
    <w:rsid w:val="4A4D5931"/>
    <w:rsid w:val="4AE40F85"/>
    <w:rsid w:val="4BBE66FA"/>
    <w:rsid w:val="4C473DDC"/>
    <w:rsid w:val="4E0A60DB"/>
    <w:rsid w:val="55392EB4"/>
    <w:rsid w:val="563335BC"/>
    <w:rsid w:val="565B6157"/>
    <w:rsid w:val="56C47511"/>
    <w:rsid w:val="58BE2535"/>
    <w:rsid w:val="5A0260C7"/>
    <w:rsid w:val="5A395E89"/>
    <w:rsid w:val="5BEF41B4"/>
    <w:rsid w:val="5C8D79CA"/>
    <w:rsid w:val="5E46142A"/>
    <w:rsid w:val="5EB25D16"/>
    <w:rsid w:val="5F7BEC1B"/>
    <w:rsid w:val="5FA860AE"/>
    <w:rsid w:val="5FFE2843"/>
    <w:rsid w:val="604A063F"/>
    <w:rsid w:val="60991219"/>
    <w:rsid w:val="654705D8"/>
    <w:rsid w:val="666C1F82"/>
    <w:rsid w:val="66FF2D79"/>
    <w:rsid w:val="6B4247B0"/>
    <w:rsid w:val="6BE98403"/>
    <w:rsid w:val="6E4E6B41"/>
    <w:rsid w:val="6FF31E6E"/>
    <w:rsid w:val="70C22C99"/>
    <w:rsid w:val="71CC7282"/>
    <w:rsid w:val="72315642"/>
    <w:rsid w:val="72A414E4"/>
    <w:rsid w:val="73A65FB5"/>
    <w:rsid w:val="78C94069"/>
    <w:rsid w:val="79304CA6"/>
    <w:rsid w:val="7961473B"/>
    <w:rsid w:val="79B85E79"/>
    <w:rsid w:val="7A233458"/>
    <w:rsid w:val="7B5B243E"/>
    <w:rsid w:val="7CE75400"/>
    <w:rsid w:val="7D19423A"/>
    <w:rsid w:val="7F6CD680"/>
    <w:rsid w:val="7FAE4400"/>
    <w:rsid w:val="7FD27D28"/>
    <w:rsid w:val="7FFB33E8"/>
    <w:rsid w:val="8DEF3DB6"/>
    <w:rsid w:val="9F13BB6F"/>
    <w:rsid w:val="DE738A01"/>
    <w:rsid w:val="DFDF11B5"/>
    <w:rsid w:val="E5FE24B6"/>
    <w:rsid w:val="E7B27CB0"/>
    <w:rsid w:val="F7DF62B3"/>
    <w:rsid w:val="FBBBF5B8"/>
    <w:rsid w:val="FD635E23"/>
    <w:rsid w:val="FD75B97F"/>
    <w:rsid w:val="FFF76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adjustRightInd w:val="0"/>
      <w:ind w:firstLine="640" w:firstLineChars="200"/>
      <w:outlineLvl w:val="1"/>
    </w:pPr>
    <w:rPr>
      <w:rFonts w:ascii="Arial" w:hAnsi="Arial" w:eastAsia="黑体" w:cs="Times New Roman"/>
      <w:szCs w:val="32"/>
    </w:rPr>
  </w:style>
  <w:style w:type="character" w:default="1" w:styleId="15">
    <w:name w:val="Default Paragraph Font"/>
    <w:link w:val="16"/>
    <w:semiHidden/>
    <w:uiPriority w:val="0"/>
    <w:rPr>
      <w:rFonts w:ascii="Verdana" w:hAnsi="Verdana"/>
      <w:kern w:val="0"/>
      <w:sz w:val="24"/>
      <w:szCs w:val="20"/>
      <w:lang w:eastAsia="en-US"/>
    </w:rPr>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toc 4"/>
    <w:basedOn w:val="1"/>
    <w:next w:val="1"/>
    <w:qFormat/>
    <w:uiPriority w:val="0"/>
    <w:pPr>
      <w:ind w:left="1260" w:leftChars="600"/>
    </w:pPr>
    <w:rPr>
      <w:rFonts w:ascii="Times New Roman" w:hAnsi="Times New Roman" w:eastAsia="宋体" w:cs="Times New Roman"/>
      <w:sz w:val="21"/>
      <w:szCs w:val="20"/>
    </w:rPr>
  </w:style>
  <w:style w:type="paragraph" w:styleId="6">
    <w:name w:val="Block Text"/>
    <w:basedOn w:val="1"/>
    <w:uiPriority w:val="0"/>
    <w:pPr>
      <w:ind w:left="1260" w:right="328" w:hanging="971"/>
    </w:pPr>
  </w:style>
  <w:style w:type="paragraph" w:styleId="7">
    <w:name w:val="Body Text Indent 2"/>
    <w:basedOn w:val="1"/>
    <w:qFormat/>
    <w:uiPriority w:val="0"/>
    <w:pPr>
      <w:topLinePunct/>
      <w:ind w:firstLine="560" w:firstLineChars="200"/>
    </w:pPr>
    <w:rPr>
      <w:rFonts w:ascii="宋体" w:hAnsi="宋体" w:eastAsia="宋体" w:cs="Times New Roman"/>
      <w:sz w:val="28"/>
      <w:szCs w:val="20"/>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Times New Roman" w:hAnsi="Times New Roman" w:eastAsia="宋体" w:cs="Times New Roman"/>
      <w:sz w:val="21"/>
      <w:szCs w:val="20"/>
    </w:rPr>
  </w:style>
  <w:style w:type="paragraph" w:styleId="11">
    <w:name w:val="toc 2"/>
    <w:basedOn w:val="1"/>
    <w:next w:val="1"/>
    <w:qFormat/>
    <w:uiPriority w:val="39"/>
    <w:pPr>
      <w:ind w:left="420" w:leftChars="200"/>
    </w:pPr>
    <w:rPr>
      <w:rFonts w:ascii="Times New Roman" w:hAnsi="Times New Roman" w:eastAsia="宋体" w:cs="Times New Roman"/>
      <w:sz w:val="21"/>
      <w:szCs w:val="20"/>
    </w:rPr>
  </w:style>
  <w:style w:type="paragraph" w:styleId="12">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 Char Char Char Char Char Char1 Char"/>
    <w:basedOn w:val="1"/>
    <w:link w:val="15"/>
    <w:uiPriority w:val="0"/>
    <w:pPr>
      <w:widowControl/>
      <w:spacing w:after="160" w:line="240" w:lineRule="exact"/>
      <w:jc w:val="left"/>
    </w:pPr>
    <w:rPr>
      <w:rFonts w:ascii="Verdana" w:hAnsi="Verdana"/>
      <w:kern w:val="0"/>
      <w:sz w:val="24"/>
      <w:szCs w:val="20"/>
      <w:lang w:eastAsia="en-US"/>
    </w:rPr>
  </w:style>
  <w:style w:type="character" w:styleId="17">
    <w:name w:val="Strong"/>
    <w:basedOn w:val="15"/>
    <w:qFormat/>
    <w:uiPriority w:val="0"/>
    <w:rPr>
      <w:rFonts w:ascii="Times New Roman" w:hAnsi="Times New Roman" w:eastAsia="宋体" w:cs="Times New Roman"/>
      <w:b/>
    </w:rPr>
  </w:style>
  <w:style w:type="character" w:styleId="18">
    <w:name w:val="page number"/>
    <w:basedOn w:val="15"/>
    <w:uiPriority w:val="0"/>
  </w:style>
  <w:style w:type="character" w:styleId="19">
    <w:name w:val="Hyperlink"/>
    <w:basedOn w:val="15"/>
    <w:qFormat/>
    <w:uiPriority w:val="99"/>
    <w:rPr>
      <w:rFonts w:ascii="Times New Roman" w:hAnsi="Times New Roman" w:eastAsia="宋体" w:cs="Times New Roman"/>
      <w:color w:val="484747"/>
      <w:u w:val="none"/>
    </w:rPr>
  </w:style>
  <w:style w:type="paragraph" w:customStyle="1" w:styleId="20">
    <w:name w:val="Normal Indent1"/>
    <w:basedOn w:val="1"/>
    <w:qFormat/>
    <w:uiPriority w:val="7"/>
    <w:pPr>
      <w:ind w:firstLine="420"/>
    </w:pPr>
  </w:style>
  <w:style w:type="paragraph" w:customStyle="1" w:styleId="21">
    <w:name w:val=" Char Char Char Char"/>
    <w:basedOn w:val="1"/>
    <w:uiPriority w:val="0"/>
    <w:pPr>
      <w:tabs>
        <w:tab w:val="left" w:pos="425"/>
      </w:tabs>
      <w:ind w:left="425" w:hanging="425"/>
    </w:pPr>
    <w:rPr>
      <w:kern w:val="24"/>
      <w:sz w:val="24"/>
    </w:rPr>
  </w:style>
  <w:style w:type="paragraph" w:customStyle="1" w:styleId="22">
    <w:name w:val="Char Char Char Char Char Char1 Char Char Char Char"/>
    <w:basedOn w:val="1"/>
    <w:uiPriority w:val="0"/>
  </w:style>
  <w:style w:type="character" w:customStyle="1" w:styleId="23">
    <w:name w:val="font31"/>
    <w:basedOn w:val="15"/>
    <w:qFormat/>
    <w:uiPriority w:val="0"/>
    <w:rPr>
      <w:rFonts w:hint="eastAsia" w:ascii="宋体" w:hAnsi="宋体" w:eastAsia="宋体" w:cs="宋体"/>
      <w:color w:val="000000"/>
      <w:sz w:val="20"/>
      <w:szCs w:val="20"/>
      <w:u w:val="none"/>
    </w:rPr>
  </w:style>
  <w:style w:type="character" w:customStyle="1" w:styleId="24">
    <w:name w:val="NormalCharacter"/>
    <w:semiHidden/>
    <w:qFormat/>
    <w:uiPriority w:val="0"/>
    <w:rPr>
      <w:rFonts w:ascii="Times New Roman" w:hAnsi="Times New Roman" w:eastAsia="宋体" w:cs="Times New Roman"/>
    </w:rPr>
  </w:style>
  <w:style w:type="character" w:customStyle="1" w:styleId="25">
    <w:name w:val="style6"/>
    <w:basedOn w:val="15"/>
    <w:qFormat/>
    <w:uiPriority w:val="0"/>
  </w:style>
  <w:style w:type="character" w:customStyle="1" w:styleId="26">
    <w:name w:val="font51"/>
    <w:basedOn w:val="15"/>
    <w:qFormat/>
    <w:uiPriority w:val="0"/>
    <w:rPr>
      <w:rFonts w:hint="default" w:ascii="Times New Roman" w:hAnsi="Times New Roman" w:cs="Times New Roman"/>
      <w:color w:val="000000"/>
      <w:sz w:val="20"/>
      <w:szCs w:val="20"/>
      <w:u w:val="none"/>
    </w:rPr>
  </w:style>
  <w:style w:type="character" w:customStyle="1" w:styleId="27">
    <w:name w:val="font61"/>
    <w:basedOn w:val="15"/>
    <w:qFormat/>
    <w:uiPriority w:val="0"/>
    <w:rPr>
      <w:rFonts w:hint="eastAsia" w:ascii="楷体_GB2312" w:eastAsia="楷体_GB2312" w:cs="楷体_GB2312"/>
      <w:color w:val="000000"/>
      <w:sz w:val="20"/>
      <w:szCs w:val="20"/>
      <w:u w:val="none"/>
    </w:rPr>
  </w:style>
  <w:style w:type="character" w:customStyle="1" w:styleId="28">
    <w:name w:val="font81"/>
    <w:basedOn w:val="15"/>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23</Words>
  <Characters>133</Characters>
  <Lines>1</Lines>
  <Paragraphs>1</Paragraphs>
  <TotalTime>55.3333333333333</TotalTime>
  <ScaleCrop>false</ScaleCrop>
  <LinksUpToDate>false</LinksUpToDate>
  <CharactersWithSpaces>155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2006-01-08T22:31:00Z</dcterms:created>
  <dc:creator>lenovo user</dc:creator>
  <cp:lastModifiedBy>　  Ceci</cp:lastModifiedBy>
  <cp:lastPrinted>2021-06-04T07:25:26Z</cp:lastPrinted>
  <dcterms:modified xsi:type="dcterms:W3CDTF">2024-03-14T06:59:48Z</dcterms:modified>
  <dc:title>从府办复〔2013〕号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