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rFonts w:eastAsia="黑体"/>
          <w:b/>
          <w:sz w:val="44"/>
          <w:szCs w:val="44"/>
        </w:rPr>
      </w:pPr>
      <w:r>
        <w:rPr>
          <w:rFonts w:hint="eastAsia" w:ascii="黑体" w:hAnsi="黑体" w:eastAsia="黑体" w:cs="黑体"/>
          <w:b/>
          <w:sz w:val="44"/>
          <w:szCs w:val="44"/>
          <w:lang w:eastAsia="zh-CN"/>
        </w:rPr>
        <w:t>2023年</w:t>
      </w:r>
      <w:r>
        <w:rPr>
          <w:rFonts w:hint="eastAsia" w:eastAsia="黑体"/>
          <w:b/>
          <w:sz w:val="44"/>
          <w:szCs w:val="44"/>
        </w:rPr>
        <w:t>广州市从化</w:t>
      </w:r>
      <w:r>
        <w:rPr>
          <w:rFonts w:eastAsia="黑体"/>
          <w:b/>
          <w:sz w:val="44"/>
          <w:szCs w:val="44"/>
        </w:rPr>
        <w:t>区企业用工定点监测</w:t>
      </w:r>
    </w:p>
    <w:p>
      <w:pPr>
        <w:jc w:val="center"/>
        <w:rPr>
          <w:rFonts w:eastAsia="黑体"/>
          <w:b/>
          <w:sz w:val="44"/>
          <w:szCs w:val="44"/>
        </w:rPr>
      </w:pPr>
      <w:r>
        <w:rPr>
          <w:rFonts w:eastAsia="黑体"/>
          <w:b/>
          <w:sz w:val="44"/>
          <w:szCs w:val="44"/>
        </w:rPr>
        <w:t>调查数据分析报告</w:t>
      </w:r>
      <w:bookmarkStart w:id="32" w:name="_GoBack"/>
      <w:bookmarkEnd w:id="32"/>
    </w:p>
    <w:p/>
    <w:p>
      <w:pPr>
        <w:jc w:val="center"/>
      </w:pPr>
    </w:p>
    <w:p/>
    <w:p/>
    <w:p/>
    <w:p/>
    <w:p>
      <w:pPr>
        <w:jc w:val="center"/>
      </w:pPr>
    </w:p>
    <w:p>
      <w:pPr>
        <w:jc w:val="center"/>
      </w:pPr>
    </w:p>
    <w:p>
      <w:pPr>
        <w:jc w:val="center"/>
      </w:pPr>
    </w:p>
    <w:p/>
    <w:p/>
    <w:p/>
    <w:p/>
    <w:p/>
    <w:p>
      <w:pPr>
        <w:jc w:val="center"/>
      </w:pPr>
    </w:p>
    <w:p>
      <w:pPr>
        <w:tabs>
          <w:tab w:val="left" w:pos="2717"/>
        </w:tabs>
      </w:pPr>
      <w:r>
        <w:tab/>
      </w:r>
    </w:p>
    <w:p>
      <w:pPr>
        <w:tabs>
          <w:tab w:val="left" w:pos="2717"/>
        </w:tabs>
      </w:pPr>
    </w:p>
    <w:p>
      <w:pPr>
        <w:tabs>
          <w:tab w:val="left" w:pos="2717"/>
        </w:tabs>
      </w:pPr>
    </w:p>
    <w:p>
      <w:pPr>
        <w:tabs>
          <w:tab w:val="left" w:pos="2717"/>
        </w:tabs>
      </w:pPr>
    </w:p>
    <w:p>
      <w:pPr>
        <w:tabs>
          <w:tab w:val="left" w:pos="2717"/>
        </w:tabs>
      </w:pPr>
    </w:p>
    <w:p>
      <w:pPr>
        <w:tabs>
          <w:tab w:val="left" w:pos="2717"/>
        </w:tabs>
        <w:jc w:val="center"/>
        <w:rPr>
          <w:rFonts w:eastAsia="黑体"/>
          <w:sz w:val="32"/>
          <w:szCs w:val="32"/>
        </w:rPr>
      </w:pPr>
      <w:r>
        <w:rPr>
          <w:rFonts w:hint="eastAsia" w:eastAsia="黑体"/>
          <w:sz w:val="32"/>
          <w:szCs w:val="32"/>
        </w:rPr>
        <w:t>广州市从化</w:t>
      </w:r>
      <w:r>
        <w:rPr>
          <w:rFonts w:eastAsia="黑体"/>
          <w:sz w:val="32"/>
          <w:szCs w:val="32"/>
        </w:rPr>
        <w:t>区劳动就业服务管理中心</w:t>
      </w:r>
    </w:p>
    <w:p>
      <w:pPr>
        <w:tabs>
          <w:tab w:val="left" w:pos="2717"/>
        </w:tabs>
        <w:jc w:val="center"/>
        <w:rPr>
          <w:rFonts w:hint="eastAsia" w:ascii="黑体" w:hAnsi="黑体" w:eastAsia="黑体" w:cs="黑体"/>
          <w:sz w:val="32"/>
        </w:rPr>
      </w:pPr>
      <w:r>
        <w:rPr>
          <w:rFonts w:hint="eastAsia" w:ascii="黑体" w:hAnsi="黑体" w:eastAsia="黑体" w:cs="黑体"/>
          <w:sz w:val="32"/>
          <w:lang w:eastAsia="zh-CN"/>
        </w:rPr>
        <w:t>2024年</w:t>
      </w:r>
      <w:r>
        <w:rPr>
          <w:rFonts w:hint="eastAsia" w:ascii="黑体" w:hAnsi="黑体" w:eastAsia="黑体" w:cs="黑体"/>
          <w:sz w:val="32"/>
        </w:rPr>
        <w:t>1月</w:t>
      </w:r>
    </w:p>
    <w:p>
      <w:pPr>
        <w:tabs>
          <w:tab w:val="left" w:pos="2717"/>
        </w:tabs>
        <w:spacing w:line="400" w:lineRule="exact"/>
        <w:jc w:val="center"/>
        <w:sectPr>
          <w:headerReference r:id="rId4" w:type="default"/>
          <w:footerReference r:id="rId5" w:type="default"/>
          <w:pgSz w:w="11906" w:h="16838"/>
          <w:pgMar w:top="1440" w:right="1418" w:bottom="1440" w:left="141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tabs>
          <w:tab w:val="left" w:pos="2717"/>
        </w:tabs>
        <w:spacing w:line="400" w:lineRule="exact"/>
        <w:jc w:val="center"/>
        <w:rPr>
          <w:rFonts w:eastAsia="黑体"/>
          <w:b/>
          <w:sz w:val="32"/>
          <w:szCs w:val="32"/>
        </w:rPr>
      </w:pPr>
      <w:r>
        <w:rPr>
          <w:rFonts w:eastAsia="黑体"/>
          <w:b/>
          <w:sz w:val="32"/>
          <w:szCs w:val="32"/>
        </w:rPr>
        <w:t>目录</w:t>
      </w:r>
    </w:p>
    <w:p>
      <w:pPr>
        <w:tabs>
          <w:tab w:val="left" w:pos="2717"/>
        </w:tabs>
        <w:spacing w:line="400" w:lineRule="exact"/>
        <w:jc w:val="center"/>
        <w:rPr>
          <w:rFonts w:eastAsia="黑体"/>
          <w:b/>
          <w:sz w:val="32"/>
          <w:szCs w:val="32"/>
        </w:rPr>
      </w:pPr>
    </w:p>
    <w:p>
      <w:pPr>
        <w:pStyle w:val="8"/>
        <w:tabs>
          <w:tab w:val="right" w:leader="dot" w:pos="9070"/>
          <w:tab w:val="clear" w:pos="9060"/>
        </w:tabs>
      </w:pPr>
      <w:r>
        <w:rPr>
          <w:rFonts w:eastAsia="黑体"/>
          <w:b/>
        </w:rPr>
        <w:fldChar w:fldCharType="begin"/>
      </w:r>
      <w:r>
        <w:rPr>
          <w:rFonts w:eastAsia="黑体"/>
          <w:b/>
        </w:rPr>
        <w:instrText xml:space="preserve"> TOC \o "1-3" \h \z \u </w:instrText>
      </w:r>
      <w:r>
        <w:rPr>
          <w:rFonts w:eastAsia="黑体"/>
          <w:b/>
        </w:rPr>
        <w:fldChar w:fldCharType="separate"/>
      </w:r>
      <w:r>
        <w:rPr>
          <w:rFonts w:eastAsia="黑体"/>
        </w:rPr>
        <w:fldChar w:fldCharType="begin"/>
      </w:r>
      <w:r>
        <w:rPr>
          <w:rFonts w:eastAsia="黑体"/>
        </w:rPr>
        <w:instrText xml:space="preserve"> HYPERLINK \l _Toc32006 </w:instrText>
      </w:r>
      <w:r>
        <w:rPr>
          <w:rFonts w:eastAsia="黑体"/>
        </w:rPr>
        <w:fldChar w:fldCharType="separate"/>
      </w:r>
      <w:r>
        <w:rPr>
          <w:rFonts w:hint="eastAsia"/>
          <w:lang w:val="en-US" w:eastAsia="zh-CN"/>
        </w:rPr>
        <w:t>一</w:t>
      </w:r>
      <w:r>
        <w:t>、样本企业</w:t>
      </w:r>
      <w:r>
        <w:rPr>
          <w:rFonts w:hint="eastAsia"/>
        </w:rPr>
        <w:t>招用工</w:t>
      </w:r>
      <w:r>
        <w:t>情况</w:t>
      </w:r>
      <w:r>
        <w:tab/>
      </w:r>
      <w:r>
        <w:fldChar w:fldCharType="begin"/>
      </w:r>
      <w:r>
        <w:instrText xml:space="preserve"> PAGEREF _Toc32006 \h </w:instrText>
      </w:r>
      <w:r>
        <w:fldChar w:fldCharType="separate"/>
      </w:r>
      <w:r>
        <w:t>2</w:t>
      </w:r>
      <w:r>
        <w:fldChar w:fldCharType="end"/>
      </w:r>
      <w:r>
        <w:rPr>
          <w:rFonts w:eastAsia="黑体"/>
        </w:rPr>
        <w:fldChar w:fldCharType="end"/>
      </w:r>
    </w:p>
    <w:p>
      <w:pPr>
        <w:pStyle w:val="10"/>
        <w:tabs>
          <w:tab w:val="right" w:leader="dot" w:pos="9070"/>
          <w:tab w:val="clear" w:pos="9060"/>
        </w:tabs>
      </w:pPr>
      <w:r>
        <w:fldChar w:fldCharType="begin"/>
      </w:r>
      <w:r>
        <w:instrText xml:space="preserve"> HYPERLINK \l _Toc17392 </w:instrText>
      </w:r>
      <w:r>
        <w:fldChar w:fldCharType="separate"/>
      </w:r>
      <w:r>
        <w:rPr>
          <w:rFonts w:hint="eastAsia" w:ascii="楷体_GB2312" w:hAnsi="楷体_GB2312" w:eastAsia="楷体_GB2312" w:cs="楷体_GB2312"/>
          <w:bCs w:val="0"/>
        </w:rPr>
        <w:t>（一）人员规模情况</w:t>
      </w:r>
      <w:r>
        <w:tab/>
      </w:r>
      <w:r>
        <w:fldChar w:fldCharType="begin"/>
      </w:r>
      <w:r>
        <w:instrText xml:space="preserve"> PAGEREF _Toc17392 \h </w:instrText>
      </w:r>
      <w:r>
        <w:fldChar w:fldCharType="separate"/>
      </w:r>
      <w:r>
        <w:t>2</w:t>
      </w:r>
      <w:r>
        <w:fldChar w:fldCharType="end"/>
      </w:r>
      <w:r>
        <w:fldChar w:fldCharType="end"/>
      </w:r>
    </w:p>
    <w:p>
      <w:pPr>
        <w:pStyle w:val="10"/>
        <w:tabs>
          <w:tab w:val="right" w:leader="dot" w:pos="9070"/>
          <w:tab w:val="clear" w:pos="9060"/>
        </w:tabs>
      </w:pPr>
      <w:r>
        <w:fldChar w:fldCharType="begin"/>
      </w:r>
      <w:r>
        <w:instrText xml:space="preserve"> HYPERLINK \l _Toc22053 </w:instrText>
      </w:r>
      <w:r>
        <w:fldChar w:fldCharType="separate"/>
      </w:r>
      <w:r>
        <w:rPr>
          <w:rFonts w:hint="eastAsia" w:ascii="楷体_GB2312" w:hAnsi="楷体_GB2312" w:eastAsia="楷体_GB2312" w:cs="楷体_GB2312"/>
          <w:bCs w:val="0"/>
        </w:rPr>
        <w:t>（二）在岗人数及派遣员工情况</w:t>
      </w:r>
      <w:r>
        <w:tab/>
      </w:r>
      <w:r>
        <w:fldChar w:fldCharType="begin"/>
      </w:r>
      <w:r>
        <w:instrText xml:space="preserve"> PAGEREF _Toc22053 \h </w:instrText>
      </w:r>
      <w:r>
        <w:fldChar w:fldCharType="separate"/>
      </w:r>
      <w:r>
        <w:t>3</w:t>
      </w:r>
      <w:r>
        <w:fldChar w:fldCharType="end"/>
      </w:r>
      <w:r>
        <w:fldChar w:fldCharType="end"/>
      </w:r>
    </w:p>
    <w:p>
      <w:pPr>
        <w:pStyle w:val="10"/>
        <w:tabs>
          <w:tab w:val="right" w:leader="dot" w:pos="9070"/>
          <w:tab w:val="clear" w:pos="9060"/>
        </w:tabs>
      </w:pPr>
      <w:r>
        <w:fldChar w:fldCharType="begin"/>
      </w:r>
      <w:r>
        <w:instrText xml:space="preserve"> HYPERLINK \l _Toc17689 </w:instrText>
      </w:r>
      <w:r>
        <w:fldChar w:fldCharType="separate"/>
      </w:r>
      <w:r>
        <w:rPr>
          <w:rFonts w:hint="eastAsia" w:ascii="楷体_GB2312" w:hAnsi="楷体_GB2312" w:eastAsia="楷体_GB2312" w:cs="楷体_GB2312"/>
          <w:bCs w:val="0"/>
        </w:rPr>
        <w:t>（三）人员流失情况</w:t>
      </w:r>
      <w:r>
        <w:tab/>
      </w:r>
      <w:r>
        <w:fldChar w:fldCharType="begin"/>
      </w:r>
      <w:r>
        <w:instrText xml:space="preserve"> PAGEREF _Toc17689 \h </w:instrText>
      </w:r>
      <w:r>
        <w:fldChar w:fldCharType="separate"/>
      </w:r>
      <w:r>
        <w:t>8</w:t>
      </w:r>
      <w:r>
        <w:fldChar w:fldCharType="end"/>
      </w:r>
      <w:r>
        <w:fldChar w:fldCharType="end"/>
      </w:r>
    </w:p>
    <w:p>
      <w:pPr>
        <w:pStyle w:val="10"/>
        <w:tabs>
          <w:tab w:val="right" w:leader="dot" w:pos="9070"/>
          <w:tab w:val="clear" w:pos="9060"/>
        </w:tabs>
      </w:pPr>
      <w:r>
        <w:fldChar w:fldCharType="begin"/>
      </w:r>
      <w:r>
        <w:instrText xml:space="preserve"> HYPERLINK \l _Toc14385 </w:instrText>
      </w:r>
      <w:r>
        <w:fldChar w:fldCharType="separate"/>
      </w:r>
      <w:r>
        <w:rPr>
          <w:rFonts w:hint="eastAsia" w:ascii="楷体_GB2312" w:hAnsi="楷体_GB2312" w:eastAsia="楷体_GB2312" w:cs="楷体_GB2312"/>
          <w:bCs w:val="0"/>
        </w:rPr>
        <w:t>（四）人员招聘情况</w:t>
      </w:r>
      <w:r>
        <w:tab/>
      </w:r>
      <w:r>
        <w:fldChar w:fldCharType="begin"/>
      </w:r>
      <w:r>
        <w:instrText xml:space="preserve"> PAGEREF _Toc14385 \h </w:instrText>
      </w:r>
      <w:r>
        <w:fldChar w:fldCharType="separate"/>
      </w:r>
      <w:r>
        <w:t>10</w:t>
      </w:r>
      <w:r>
        <w:fldChar w:fldCharType="end"/>
      </w:r>
      <w:r>
        <w:fldChar w:fldCharType="end"/>
      </w:r>
    </w:p>
    <w:p>
      <w:pPr>
        <w:pStyle w:val="10"/>
        <w:tabs>
          <w:tab w:val="right" w:leader="dot" w:pos="9070"/>
          <w:tab w:val="clear" w:pos="9060"/>
        </w:tabs>
      </w:pPr>
      <w:r>
        <w:fldChar w:fldCharType="begin"/>
      </w:r>
      <w:r>
        <w:instrText xml:space="preserve"> HYPERLINK \l _Toc19712 </w:instrText>
      </w:r>
      <w:r>
        <w:fldChar w:fldCharType="separate"/>
      </w:r>
      <w:r>
        <w:rPr>
          <w:rFonts w:hint="eastAsia" w:ascii="楷体_GB2312" w:hAnsi="楷体_GB2312" w:eastAsia="楷体_GB2312" w:cs="楷体_GB2312"/>
          <w:bCs w:val="0"/>
        </w:rPr>
        <w:t>（五）月平均工资情况</w:t>
      </w:r>
      <w:r>
        <w:tab/>
      </w:r>
      <w:r>
        <w:fldChar w:fldCharType="begin"/>
      </w:r>
      <w:r>
        <w:instrText xml:space="preserve"> PAGEREF _Toc19712 \h </w:instrText>
      </w:r>
      <w:r>
        <w:fldChar w:fldCharType="separate"/>
      </w:r>
      <w:r>
        <w:t>13</w:t>
      </w:r>
      <w:r>
        <w:fldChar w:fldCharType="end"/>
      </w:r>
      <w:r>
        <w:fldChar w:fldCharType="end"/>
      </w:r>
    </w:p>
    <w:p>
      <w:pPr>
        <w:pStyle w:val="10"/>
        <w:tabs>
          <w:tab w:val="right" w:leader="dot" w:pos="9070"/>
          <w:tab w:val="clear" w:pos="9060"/>
        </w:tabs>
      </w:pPr>
      <w:r>
        <w:fldChar w:fldCharType="begin"/>
      </w:r>
      <w:r>
        <w:instrText xml:space="preserve"> HYPERLINK \l _Toc31355 </w:instrText>
      </w:r>
      <w:r>
        <w:fldChar w:fldCharType="separate"/>
      </w:r>
      <w:r>
        <w:rPr>
          <w:rFonts w:hint="eastAsia" w:ascii="楷体_GB2312" w:hAnsi="楷体_GB2312" w:eastAsia="楷体_GB2312" w:cs="楷体_GB2312"/>
          <w:bCs w:val="0"/>
        </w:rPr>
        <w:t>（六）管理人员的工资最高，普工最低</w:t>
      </w:r>
      <w:r>
        <w:tab/>
      </w:r>
      <w:r>
        <w:fldChar w:fldCharType="begin"/>
      </w:r>
      <w:r>
        <w:instrText xml:space="preserve"> PAGEREF _Toc31355 \h </w:instrText>
      </w:r>
      <w:r>
        <w:fldChar w:fldCharType="separate"/>
      </w:r>
      <w:r>
        <w:t>14</w:t>
      </w:r>
      <w:r>
        <w:fldChar w:fldCharType="end"/>
      </w:r>
      <w:r>
        <w:fldChar w:fldCharType="end"/>
      </w:r>
    </w:p>
    <w:p>
      <w:pPr>
        <w:pStyle w:val="10"/>
        <w:tabs>
          <w:tab w:val="right" w:leader="dot" w:pos="9070"/>
          <w:tab w:val="clear" w:pos="9060"/>
        </w:tabs>
      </w:pPr>
      <w:r>
        <w:fldChar w:fldCharType="begin"/>
      </w:r>
      <w:r>
        <w:instrText xml:space="preserve"> HYPERLINK \l _Toc19393 </w:instrText>
      </w:r>
      <w:r>
        <w:fldChar w:fldCharType="separate"/>
      </w:r>
      <w:r>
        <w:rPr>
          <w:rFonts w:hint="eastAsia" w:ascii="楷体_GB2312" w:hAnsi="楷体_GB2312" w:eastAsia="楷体_GB2312" w:cs="楷体_GB2312"/>
          <w:bCs w:val="0"/>
        </w:rPr>
        <w:t>（七）各行业不同季度间工资水平变化有所不同</w:t>
      </w:r>
      <w:r>
        <w:tab/>
      </w:r>
      <w:r>
        <w:fldChar w:fldCharType="begin"/>
      </w:r>
      <w:r>
        <w:instrText xml:space="preserve"> PAGEREF _Toc19393 \h </w:instrText>
      </w:r>
      <w:r>
        <w:fldChar w:fldCharType="separate"/>
      </w:r>
      <w:r>
        <w:t>15</w:t>
      </w:r>
      <w:r>
        <w:fldChar w:fldCharType="end"/>
      </w:r>
      <w:r>
        <w:fldChar w:fldCharType="end"/>
      </w:r>
    </w:p>
    <w:p>
      <w:pPr>
        <w:pStyle w:val="8"/>
        <w:tabs>
          <w:tab w:val="right" w:leader="dot" w:pos="9070"/>
          <w:tab w:val="clear" w:pos="9060"/>
        </w:tabs>
      </w:pPr>
      <w:r>
        <w:fldChar w:fldCharType="begin"/>
      </w:r>
      <w:r>
        <w:instrText xml:space="preserve"> HYPERLINK \l _Toc12925 </w:instrText>
      </w:r>
      <w:r>
        <w:fldChar w:fldCharType="separate"/>
      </w:r>
      <w:r>
        <w:rPr>
          <w:rFonts w:hint="eastAsia"/>
          <w:lang w:val="en-US" w:eastAsia="zh-CN"/>
        </w:rPr>
        <w:t>二</w:t>
      </w:r>
      <w:r>
        <w:t>、应届高校毕业生情况</w:t>
      </w:r>
      <w:r>
        <w:tab/>
      </w:r>
      <w:r>
        <w:fldChar w:fldCharType="begin"/>
      </w:r>
      <w:r>
        <w:instrText xml:space="preserve"> PAGEREF _Toc12925 \h </w:instrText>
      </w:r>
      <w:r>
        <w:fldChar w:fldCharType="separate"/>
      </w:r>
      <w:r>
        <w:t>16</w:t>
      </w:r>
      <w:r>
        <w:fldChar w:fldCharType="end"/>
      </w:r>
      <w:r>
        <w:fldChar w:fldCharType="end"/>
      </w:r>
    </w:p>
    <w:p>
      <w:pPr>
        <w:pStyle w:val="10"/>
        <w:tabs>
          <w:tab w:val="right" w:leader="dot" w:pos="9070"/>
          <w:tab w:val="clear" w:pos="9060"/>
        </w:tabs>
      </w:pPr>
      <w:r>
        <w:fldChar w:fldCharType="begin"/>
      </w:r>
      <w:r>
        <w:instrText xml:space="preserve"> HYPERLINK \l _Toc30609 </w:instrText>
      </w:r>
      <w:r>
        <w:fldChar w:fldCharType="separate"/>
      </w:r>
      <w:r>
        <w:rPr>
          <w:rFonts w:hint="eastAsia" w:ascii="楷体_GB2312" w:hAnsi="楷体_GB2312" w:eastAsia="楷体_GB2312" w:cs="楷体_GB2312"/>
          <w:bCs w:val="0"/>
        </w:rPr>
        <w:t>（一）应届高校毕业生总体情况</w:t>
      </w:r>
      <w:r>
        <w:tab/>
      </w:r>
      <w:r>
        <w:fldChar w:fldCharType="begin"/>
      </w:r>
      <w:r>
        <w:instrText xml:space="preserve"> PAGEREF _Toc30609 \h </w:instrText>
      </w:r>
      <w:r>
        <w:fldChar w:fldCharType="separate"/>
      </w:r>
      <w:r>
        <w:t>16</w:t>
      </w:r>
      <w:r>
        <w:fldChar w:fldCharType="end"/>
      </w:r>
      <w:r>
        <w:fldChar w:fldCharType="end"/>
      </w:r>
    </w:p>
    <w:p>
      <w:pPr>
        <w:pStyle w:val="10"/>
        <w:tabs>
          <w:tab w:val="right" w:leader="dot" w:pos="9070"/>
          <w:tab w:val="clear" w:pos="9060"/>
        </w:tabs>
      </w:pPr>
      <w:r>
        <w:fldChar w:fldCharType="begin"/>
      </w:r>
      <w:r>
        <w:instrText xml:space="preserve"> HYPERLINK \l _Toc25005 </w:instrText>
      </w:r>
      <w:r>
        <w:fldChar w:fldCharType="separate"/>
      </w:r>
      <w:r>
        <w:rPr>
          <w:rFonts w:hint="eastAsia" w:ascii="楷体_GB2312" w:hAnsi="楷体_GB2312" w:eastAsia="楷体_GB2312" w:cs="楷体_GB2312"/>
          <w:bCs w:val="0"/>
        </w:rPr>
        <w:t>（二）吸纳应届高校毕业生人数情况</w:t>
      </w:r>
      <w:r>
        <w:tab/>
      </w:r>
      <w:r>
        <w:fldChar w:fldCharType="begin"/>
      </w:r>
      <w:r>
        <w:instrText xml:space="preserve"> PAGEREF _Toc25005 \h </w:instrText>
      </w:r>
      <w:r>
        <w:fldChar w:fldCharType="separate"/>
      </w:r>
      <w:r>
        <w:t>17</w:t>
      </w:r>
      <w:r>
        <w:fldChar w:fldCharType="end"/>
      </w:r>
      <w:r>
        <w:fldChar w:fldCharType="end"/>
      </w:r>
    </w:p>
    <w:p>
      <w:pPr>
        <w:pStyle w:val="10"/>
        <w:tabs>
          <w:tab w:val="right" w:leader="dot" w:pos="9070"/>
          <w:tab w:val="clear" w:pos="9060"/>
        </w:tabs>
      </w:pPr>
      <w:r>
        <w:fldChar w:fldCharType="begin"/>
      </w:r>
      <w:r>
        <w:instrText xml:space="preserve"> HYPERLINK \l _Toc18365 </w:instrText>
      </w:r>
      <w:r>
        <w:fldChar w:fldCharType="separate"/>
      </w:r>
      <w:r>
        <w:rPr>
          <w:rFonts w:hint="eastAsia" w:ascii="楷体_GB2312" w:hAnsi="楷体_GB2312" w:eastAsia="楷体_GB2312" w:cs="楷体_GB2312"/>
          <w:bCs w:val="0"/>
        </w:rPr>
        <w:t>（三）本季度流失应届高校毕业生人数</w:t>
      </w:r>
      <w:r>
        <w:tab/>
      </w:r>
      <w:r>
        <w:fldChar w:fldCharType="begin"/>
      </w:r>
      <w:r>
        <w:instrText xml:space="preserve"> PAGEREF _Toc18365 \h </w:instrText>
      </w:r>
      <w:r>
        <w:fldChar w:fldCharType="separate"/>
      </w:r>
      <w:r>
        <w:t>19</w:t>
      </w:r>
      <w:r>
        <w:fldChar w:fldCharType="end"/>
      </w:r>
      <w:r>
        <w:fldChar w:fldCharType="end"/>
      </w:r>
    </w:p>
    <w:p>
      <w:pPr>
        <w:pStyle w:val="10"/>
        <w:tabs>
          <w:tab w:val="right" w:leader="dot" w:pos="9070"/>
          <w:tab w:val="clear" w:pos="9060"/>
        </w:tabs>
      </w:pPr>
      <w:r>
        <w:fldChar w:fldCharType="begin"/>
      </w:r>
      <w:r>
        <w:instrText xml:space="preserve"> HYPERLINK \l _Toc30482 </w:instrText>
      </w:r>
      <w:r>
        <w:fldChar w:fldCharType="separate"/>
      </w:r>
      <w:r>
        <w:rPr>
          <w:rFonts w:hint="eastAsia" w:ascii="楷体_GB2312" w:hAnsi="楷体_GB2312" w:eastAsia="楷体_GB2312" w:cs="楷体_GB2312"/>
          <w:bCs w:val="0"/>
        </w:rPr>
        <w:t>（四）下季度预计招聘应届高校毕业生人数</w:t>
      </w:r>
      <w:r>
        <w:tab/>
      </w:r>
      <w:r>
        <w:fldChar w:fldCharType="begin"/>
      </w:r>
      <w:r>
        <w:instrText xml:space="preserve"> PAGEREF _Toc30482 \h </w:instrText>
      </w:r>
      <w:r>
        <w:fldChar w:fldCharType="separate"/>
      </w:r>
      <w:r>
        <w:t>19</w:t>
      </w:r>
      <w:r>
        <w:fldChar w:fldCharType="end"/>
      </w:r>
      <w:r>
        <w:fldChar w:fldCharType="end"/>
      </w:r>
    </w:p>
    <w:p>
      <w:pPr>
        <w:pStyle w:val="10"/>
        <w:tabs>
          <w:tab w:val="right" w:leader="dot" w:pos="9070"/>
          <w:tab w:val="clear" w:pos="9060"/>
        </w:tabs>
      </w:pPr>
      <w:r>
        <w:fldChar w:fldCharType="begin"/>
      </w:r>
      <w:r>
        <w:instrText xml:space="preserve"> HYPERLINK \l _Toc6262 </w:instrText>
      </w:r>
      <w:r>
        <w:fldChar w:fldCharType="separate"/>
      </w:r>
      <w:r>
        <w:rPr>
          <w:rFonts w:hint="eastAsia" w:ascii="楷体_GB2312" w:hAnsi="楷体_GB2312" w:eastAsia="楷体_GB2312" w:cs="楷体_GB2312"/>
          <w:bCs w:val="0"/>
        </w:rPr>
        <w:t>（五）目前招聘应届高校毕业生人均工资水平</w:t>
      </w:r>
      <w:r>
        <w:tab/>
      </w:r>
      <w:r>
        <w:fldChar w:fldCharType="begin"/>
      </w:r>
      <w:r>
        <w:instrText xml:space="preserve"> PAGEREF _Toc6262 \h </w:instrText>
      </w:r>
      <w:r>
        <w:fldChar w:fldCharType="separate"/>
      </w:r>
      <w:r>
        <w:t>20</w:t>
      </w:r>
      <w:r>
        <w:fldChar w:fldCharType="end"/>
      </w:r>
      <w:r>
        <w:fldChar w:fldCharType="end"/>
      </w:r>
    </w:p>
    <w:p>
      <w:pPr>
        <w:pStyle w:val="8"/>
        <w:tabs>
          <w:tab w:val="right" w:leader="dot" w:pos="9070"/>
          <w:tab w:val="clear" w:pos="9060"/>
        </w:tabs>
      </w:pPr>
      <w:r>
        <w:fldChar w:fldCharType="begin"/>
      </w:r>
      <w:r>
        <w:instrText xml:space="preserve"> HYPERLINK \l _Toc27216 </w:instrText>
      </w:r>
      <w:r>
        <w:fldChar w:fldCharType="separate"/>
      </w:r>
      <w:r>
        <w:rPr>
          <w:rFonts w:hint="eastAsia"/>
          <w:lang w:val="en-US" w:eastAsia="zh-CN"/>
        </w:rPr>
        <w:t>三</w:t>
      </w:r>
      <w:r>
        <w:t>、样本企业的生产经营情况</w:t>
      </w:r>
      <w:r>
        <w:tab/>
      </w:r>
      <w:r>
        <w:fldChar w:fldCharType="begin"/>
      </w:r>
      <w:r>
        <w:instrText xml:space="preserve"> PAGEREF _Toc27216 \h </w:instrText>
      </w:r>
      <w:r>
        <w:fldChar w:fldCharType="separate"/>
      </w:r>
      <w:r>
        <w:t>21</w:t>
      </w:r>
      <w:r>
        <w:fldChar w:fldCharType="end"/>
      </w:r>
      <w:r>
        <w:fldChar w:fldCharType="end"/>
      </w:r>
    </w:p>
    <w:p>
      <w:pPr>
        <w:pStyle w:val="10"/>
        <w:tabs>
          <w:tab w:val="right" w:leader="dot" w:pos="9070"/>
          <w:tab w:val="clear" w:pos="9060"/>
        </w:tabs>
      </w:pPr>
      <w:r>
        <w:fldChar w:fldCharType="begin"/>
      </w:r>
      <w:r>
        <w:instrText xml:space="preserve"> HYPERLINK \l _Toc17953 </w:instrText>
      </w:r>
      <w:r>
        <w:fldChar w:fldCharType="separate"/>
      </w:r>
      <w:r>
        <w:rPr>
          <w:rFonts w:hint="eastAsia" w:ascii="楷体_GB2312" w:hAnsi="楷体_GB2312" w:eastAsia="楷体_GB2312" w:cs="楷体_GB2312"/>
          <w:bCs w:val="0"/>
        </w:rPr>
        <w:t>（一）本季度生产经营情况</w:t>
      </w:r>
      <w:r>
        <w:tab/>
      </w:r>
      <w:r>
        <w:fldChar w:fldCharType="begin"/>
      </w:r>
      <w:r>
        <w:instrText xml:space="preserve"> PAGEREF _Toc17953 \h </w:instrText>
      </w:r>
      <w:r>
        <w:fldChar w:fldCharType="separate"/>
      </w:r>
      <w:r>
        <w:t>21</w:t>
      </w:r>
      <w:r>
        <w:fldChar w:fldCharType="end"/>
      </w:r>
      <w:r>
        <w:fldChar w:fldCharType="end"/>
      </w:r>
    </w:p>
    <w:p>
      <w:pPr>
        <w:pStyle w:val="10"/>
        <w:tabs>
          <w:tab w:val="right" w:leader="dot" w:pos="9070"/>
          <w:tab w:val="clear" w:pos="9060"/>
        </w:tabs>
      </w:pPr>
      <w:r>
        <w:fldChar w:fldCharType="begin"/>
      </w:r>
      <w:r>
        <w:instrText xml:space="preserve"> HYPERLINK \l _Toc9284 </w:instrText>
      </w:r>
      <w:r>
        <w:fldChar w:fldCharType="separate"/>
      </w:r>
      <w:r>
        <w:rPr>
          <w:rFonts w:hint="eastAsia" w:ascii="楷体_GB2312" w:hAnsi="楷体_GB2312" w:eastAsia="楷体_GB2312" w:cs="楷体_GB2312"/>
          <w:bCs w:val="0"/>
        </w:rPr>
        <w:t>（二）与上季度相比生产经营情况</w:t>
      </w:r>
      <w:r>
        <w:tab/>
      </w:r>
      <w:r>
        <w:fldChar w:fldCharType="begin"/>
      </w:r>
      <w:r>
        <w:instrText xml:space="preserve"> PAGEREF _Toc9284 \h </w:instrText>
      </w:r>
      <w:r>
        <w:fldChar w:fldCharType="separate"/>
      </w:r>
      <w:r>
        <w:t>22</w:t>
      </w:r>
      <w:r>
        <w:fldChar w:fldCharType="end"/>
      </w:r>
      <w:r>
        <w:fldChar w:fldCharType="end"/>
      </w:r>
    </w:p>
    <w:p>
      <w:pPr>
        <w:pStyle w:val="10"/>
        <w:tabs>
          <w:tab w:val="right" w:leader="dot" w:pos="9070"/>
          <w:tab w:val="clear" w:pos="9060"/>
        </w:tabs>
      </w:pPr>
      <w:r>
        <w:fldChar w:fldCharType="begin"/>
      </w:r>
      <w:r>
        <w:instrText xml:space="preserve"> HYPERLINK \l _Toc17413 </w:instrText>
      </w:r>
      <w:r>
        <w:fldChar w:fldCharType="separate"/>
      </w:r>
      <w:r>
        <w:rPr>
          <w:rFonts w:hint="eastAsia" w:ascii="楷体_GB2312" w:hAnsi="楷体_GB2312" w:eastAsia="楷体_GB2312" w:cs="楷体_GB2312"/>
          <w:bCs w:val="0"/>
        </w:rPr>
        <w:t>（三）预计下季度生产经营情况</w:t>
      </w:r>
      <w:r>
        <w:tab/>
      </w:r>
      <w:r>
        <w:fldChar w:fldCharType="begin"/>
      </w:r>
      <w:r>
        <w:instrText xml:space="preserve"> PAGEREF _Toc17413 \h </w:instrText>
      </w:r>
      <w:r>
        <w:fldChar w:fldCharType="separate"/>
      </w:r>
      <w:r>
        <w:t>22</w:t>
      </w:r>
      <w:r>
        <w:fldChar w:fldCharType="end"/>
      </w:r>
      <w:r>
        <w:fldChar w:fldCharType="end"/>
      </w:r>
    </w:p>
    <w:p>
      <w:pPr>
        <w:pStyle w:val="8"/>
        <w:tabs>
          <w:tab w:val="right" w:leader="dot" w:pos="9070"/>
          <w:tab w:val="clear" w:pos="9060"/>
        </w:tabs>
      </w:pPr>
      <w:r>
        <w:fldChar w:fldCharType="begin"/>
      </w:r>
      <w:r>
        <w:instrText xml:space="preserve"> HYPERLINK \l _Toc18803 </w:instrText>
      </w:r>
      <w:r>
        <w:fldChar w:fldCharType="separate"/>
      </w:r>
      <w:r>
        <w:rPr>
          <w:rFonts w:hint="eastAsia"/>
          <w:lang w:val="en-US" w:eastAsia="zh-CN"/>
        </w:rPr>
        <w:t>四</w:t>
      </w:r>
      <w:r>
        <w:rPr>
          <w:rFonts w:hint="eastAsia"/>
        </w:rPr>
        <w:t>、</w:t>
      </w:r>
      <w:r>
        <w:rPr>
          <w:rFonts w:hint="eastAsia"/>
          <w:lang w:val="en-US" w:eastAsia="zh-CN"/>
        </w:rPr>
        <w:t>调查数据</w:t>
      </w:r>
      <w:r>
        <w:rPr>
          <w:rFonts w:hint="eastAsia"/>
        </w:rPr>
        <w:t>综合性总结</w:t>
      </w:r>
      <w:r>
        <w:tab/>
      </w:r>
      <w:r>
        <w:fldChar w:fldCharType="begin"/>
      </w:r>
      <w:r>
        <w:instrText xml:space="preserve"> PAGEREF _Toc18803 \h </w:instrText>
      </w:r>
      <w:r>
        <w:fldChar w:fldCharType="separate"/>
      </w:r>
      <w:r>
        <w:t>23</w:t>
      </w:r>
      <w:r>
        <w:fldChar w:fldCharType="end"/>
      </w:r>
      <w:r>
        <w:fldChar w:fldCharType="end"/>
      </w:r>
    </w:p>
    <w:p>
      <w:pPr>
        <w:pStyle w:val="10"/>
        <w:tabs>
          <w:tab w:val="right" w:leader="dot" w:pos="9070"/>
          <w:tab w:val="clear" w:pos="9060"/>
        </w:tabs>
      </w:pPr>
      <w:r>
        <w:fldChar w:fldCharType="begin"/>
      </w:r>
      <w:r>
        <w:instrText xml:space="preserve"> HYPERLINK \l _Toc4492 </w:instrText>
      </w:r>
      <w:r>
        <w:fldChar w:fldCharType="separate"/>
      </w:r>
      <w:r>
        <w:rPr>
          <w:rFonts w:hint="default" w:ascii="楷体_GB2312" w:hAnsi="楷体_GB2312" w:eastAsia="楷体_GB2312" w:cs="楷体_GB2312"/>
          <w:bCs w:val="0"/>
        </w:rPr>
        <w:t>（</w:t>
      </w:r>
      <w:r>
        <w:rPr>
          <w:rFonts w:hint="default" w:ascii="楷体_GB2312" w:hAnsi="楷体_GB2312" w:eastAsia="楷体_GB2312" w:cs="楷体_GB2312"/>
          <w:bCs w:val="0"/>
          <w:lang w:val="en-US" w:eastAsia="zh-CN"/>
        </w:rPr>
        <w:t>一</w:t>
      </w:r>
      <w:r>
        <w:rPr>
          <w:rFonts w:hint="default" w:ascii="楷体_GB2312" w:hAnsi="楷体_GB2312" w:eastAsia="楷体_GB2312" w:cs="楷体_GB2312"/>
          <w:bCs w:val="0"/>
        </w:rPr>
        <w:t>）服务业</w:t>
      </w:r>
      <w:r>
        <w:rPr>
          <w:rFonts w:hint="eastAsia" w:ascii="楷体_GB2312" w:hAnsi="楷体_GB2312" w:eastAsia="楷体_GB2312" w:cs="楷体_GB2312"/>
          <w:bCs w:val="0"/>
          <w:lang w:val="en-US" w:eastAsia="zh-CN"/>
        </w:rPr>
        <w:t>人员</w:t>
      </w:r>
      <w:r>
        <w:rPr>
          <w:rFonts w:hint="default" w:ascii="楷体_GB2312" w:hAnsi="楷体_GB2312" w:eastAsia="楷体_GB2312" w:cs="楷体_GB2312"/>
          <w:bCs w:val="0"/>
        </w:rPr>
        <w:t>流失</w:t>
      </w:r>
      <w:r>
        <w:rPr>
          <w:rFonts w:hint="eastAsia" w:ascii="楷体_GB2312" w:hAnsi="楷体_GB2312" w:eastAsia="楷体_GB2312" w:cs="楷体_GB2312"/>
          <w:bCs w:val="0"/>
          <w:lang w:val="en-US" w:eastAsia="zh-CN"/>
        </w:rPr>
        <w:t>率高，还需实施更加积极的就业政策</w:t>
      </w:r>
      <w:r>
        <w:tab/>
      </w:r>
      <w:r>
        <w:fldChar w:fldCharType="begin"/>
      </w:r>
      <w:r>
        <w:instrText xml:space="preserve"> PAGEREF _Toc4492 \h </w:instrText>
      </w:r>
      <w:r>
        <w:fldChar w:fldCharType="separate"/>
      </w:r>
      <w:r>
        <w:t>23</w:t>
      </w:r>
      <w:r>
        <w:fldChar w:fldCharType="end"/>
      </w:r>
      <w:r>
        <w:fldChar w:fldCharType="end"/>
      </w:r>
    </w:p>
    <w:p>
      <w:pPr>
        <w:pStyle w:val="10"/>
        <w:tabs>
          <w:tab w:val="right" w:leader="dot" w:pos="9070"/>
          <w:tab w:val="clear" w:pos="9060"/>
        </w:tabs>
      </w:pPr>
      <w:r>
        <w:fldChar w:fldCharType="begin"/>
      </w:r>
      <w:r>
        <w:instrText xml:space="preserve"> HYPERLINK \l _Toc23750 </w:instrText>
      </w:r>
      <w:r>
        <w:fldChar w:fldCharType="separate"/>
      </w:r>
      <w:r>
        <w:rPr>
          <w:rFonts w:hint="eastAsia" w:ascii="楷体_GB2312" w:hAnsi="楷体_GB2312" w:eastAsia="楷体_GB2312" w:cs="楷体_GB2312"/>
          <w:bCs w:val="0"/>
        </w:rPr>
        <w:t>（</w:t>
      </w:r>
      <w:r>
        <w:rPr>
          <w:rFonts w:hint="eastAsia" w:ascii="楷体_GB2312" w:hAnsi="楷体_GB2312" w:eastAsia="楷体_GB2312" w:cs="楷体_GB2312"/>
          <w:bCs w:val="0"/>
          <w:lang w:val="en-US" w:eastAsia="zh-CN"/>
        </w:rPr>
        <w:t>二</w:t>
      </w:r>
      <w:r>
        <w:rPr>
          <w:rFonts w:hint="eastAsia" w:ascii="楷体_GB2312" w:hAnsi="楷体_GB2312" w:eastAsia="楷体_GB2312" w:cs="楷体_GB2312"/>
          <w:bCs w:val="0"/>
        </w:rPr>
        <w:t>）普工流失人数及占比均为最高，招聘存在较大困难</w:t>
      </w:r>
      <w:r>
        <w:tab/>
      </w:r>
      <w:r>
        <w:fldChar w:fldCharType="begin"/>
      </w:r>
      <w:r>
        <w:instrText xml:space="preserve"> PAGEREF _Toc23750 \h </w:instrText>
      </w:r>
      <w:r>
        <w:fldChar w:fldCharType="separate"/>
      </w:r>
      <w:r>
        <w:t>23</w:t>
      </w:r>
      <w:r>
        <w:fldChar w:fldCharType="end"/>
      </w:r>
      <w:r>
        <w:fldChar w:fldCharType="end"/>
      </w:r>
    </w:p>
    <w:p>
      <w:pPr>
        <w:pStyle w:val="10"/>
        <w:tabs>
          <w:tab w:val="right" w:leader="dot" w:pos="9070"/>
          <w:tab w:val="clear" w:pos="9060"/>
        </w:tabs>
      </w:pPr>
      <w:r>
        <w:fldChar w:fldCharType="begin"/>
      </w:r>
      <w:r>
        <w:instrText xml:space="preserve"> HYPERLINK \l _Toc19063 </w:instrText>
      </w:r>
      <w:r>
        <w:fldChar w:fldCharType="separate"/>
      </w:r>
      <w:r>
        <w:rPr>
          <w:rFonts w:hint="eastAsia" w:ascii="楷体_GB2312" w:hAnsi="楷体_GB2312" w:eastAsia="楷体_GB2312" w:cs="楷体_GB2312"/>
          <w:bCs w:val="0"/>
        </w:rPr>
        <w:t>（</w:t>
      </w:r>
      <w:r>
        <w:rPr>
          <w:rFonts w:hint="eastAsia" w:ascii="楷体_GB2312" w:hAnsi="楷体_GB2312" w:eastAsia="楷体_GB2312" w:cs="楷体_GB2312"/>
          <w:bCs w:val="0"/>
          <w:lang w:val="en-US" w:eastAsia="zh-CN"/>
        </w:rPr>
        <w:t>三</w:t>
      </w:r>
      <w:r>
        <w:rPr>
          <w:rFonts w:hint="eastAsia" w:ascii="楷体_GB2312" w:hAnsi="楷体_GB2312" w:eastAsia="楷体_GB2312" w:cs="楷体_GB2312"/>
          <w:bCs w:val="0"/>
        </w:rPr>
        <w:t>）样本企业工资收入水平的行业差距和工种差距明显</w:t>
      </w:r>
      <w:r>
        <w:tab/>
      </w:r>
      <w:r>
        <w:fldChar w:fldCharType="begin"/>
      </w:r>
      <w:r>
        <w:instrText xml:space="preserve"> PAGEREF _Toc19063 \h </w:instrText>
      </w:r>
      <w:r>
        <w:fldChar w:fldCharType="separate"/>
      </w:r>
      <w:r>
        <w:t>24</w:t>
      </w:r>
      <w:r>
        <w:fldChar w:fldCharType="end"/>
      </w:r>
      <w:r>
        <w:fldChar w:fldCharType="end"/>
      </w:r>
    </w:p>
    <w:p>
      <w:pPr>
        <w:pStyle w:val="10"/>
        <w:tabs>
          <w:tab w:val="right" w:leader="dot" w:pos="9070"/>
          <w:tab w:val="clear" w:pos="9060"/>
        </w:tabs>
      </w:pPr>
      <w:r>
        <w:fldChar w:fldCharType="begin"/>
      </w:r>
      <w:r>
        <w:instrText xml:space="preserve"> HYPERLINK \l _Toc9591 </w:instrText>
      </w:r>
      <w:r>
        <w:fldChar w:fldCharType="separate"/>
      </w:r>
      <w:r>
        <w:rPr>
          <w:rFonts w:hint="eastAsia" w:ascii="楷体_GB2312" w:hAnsi="楷体_GB2312" w:eastAsia="楷体_GB2312" w:cs="楷体_GB2312"/>
          <w:bCs w:val="0"/>
        </w:rPr>
        <w:t>（</w:t>
      </w:r>
      <w:r>
        <w:rPr>
          <w:rFonts w:hint="eastAsia" w:ascii="楷体_GB2312" w:hAnsi="楷体_GB2312" w:eastAsia="楷体_GB2312" w:cs="楷体_GB2312"/>
          <w:bCs w:val="0"/>
          <w:lang w:val="en-US" w:eastAsia="zh-CN"/>
        </w:rPr>
        <w:t>四</w:t>
      </w:r>
      <w:r>
        <w:rPr>
          <w:rFonts w:hint="eastAsia" w:ascii="楷体_GB2312" w:hAnsi="楷体_GB2312" w:eastAsia="楷体_GB2312" w:cs="楷体_GB2312"/>
          <w:bCs w:val="0"/>
        </w:rPr>
        <w:t>）样本企业招聘需求</w:t>
      </w:r>
      <w:r>
        <w:rPr>
          <w:rFonts w:hint="eastAsia" w:ascii="楷体_GB2312" w:hAnsi="楷体_GB2312" w:eastAsia="楷体_GB2312" w:cs="楷体_GB2312"/>
          <w:bCs w:val="0"/>
          <w:lang w:val="en-US" w:eastAsia="zh-CN"/>
        </w:rPr>
        <w:t>有所减少</w:t>
      </w:r>
      <w:r>
        <w:tab/>
      </w:r>
      <w:r>
        <w:fldChar w:fldCharType="begin"/>
      </w:r>
      <w:r>
        <w:instrText xml:space="preserve"> PAGEREF _Toc9591 \h </w:instrText>
      </w:r>
      <w:r>
        <w:fldChar w:fldCharType="separate"/>
      </w:r>
      <w:r>
        <w:t>25</w:t>
      </w:r>
      <w:r>
        <w:fldChar w:fldCharType="end"/>
      </w:r>
      <w:r>
        <w:fldChar w:fldCharType="end"/>
      </w:r>
    </w:p>
    <w:p>
      <w:pPr>
        <w:pStyle w:val="10"/>
        <w:tabs>
          <w:tab w:val="right" w:leader="dot" w:pos="9070"/>
          <w:tab w:val="clear" w:pos="9060"/>
        </w:tabs>
      </w:pPr>
      <w:r>
        <w:fldChar w:fldCharType="begin"/>
      </w:r>
      <w:r>
        <w:instrText xml:space="preserve"> HYPERLINK \l _Toc12717 </w:instrText>
      </w:r>
      <w:r>
        <w:fldChar w:fldCharType="separate"/>
      </w:r>
      <w:r>
        <w:rPr>
          <w:rFonts w:hint="eastAsia" w:ascii="楷体_GB2312" w:hAnsi="楷体_GB2312" w:eastAsia="楷体_GB2312" w:cs="楷体_GB2312"/>
          <w:bCs w:val="0"/>
        </w:rPr>
        <w:t>（</w:t>
      </w:r>
      <w:r>
        <w:rPr>
          <w:rFonts w:hint="eastAsia" w:ascii="楷体_GB2312" w:hAnsi="楷体_GB2312" w:eastAsia="楷体_GB2312" w:cs="楷体_GB2312"/>
          <w:bCs w:val="0"/>
          <w:lang w:val="en-US" w:eastAsia="zh-CN"/>
        </w:rPr>
        <w:t>五</w:t>
      </w:r>
      <w:r>
        <w:rPr>
          <w:rFonts w:hint="eastAsia" w:ascii="楷体_GB2312" w:hAnsi="楷体_GB2312" w:eastAsia="楷体_GB2312" w:cs="楷体_GB2312"/>
          <w:bCs w:val="0"/>
        </w:rPr>
        <w:t>）</w:t>
      </w:r>
      <w:r>
        <w:rPr>
          <w:rFonts w:hint="eastAsia" w:ascii="楷体_GB2312" w:hAnsi="楷体_GB2312" w:eastAsia="楷体_GB2312" w:cs="楷体_GB2312"/>
          <w:bCs w:val="0"/>
          <w:lang w:val="en-US" w:eastAsia="zh-CN"/>
        </w:rPr>
        <w:t>预期未来生产经营乐观和困难并存</w:t>
      </w:r>
      <w:r>
        <w:tab/>
      </w:r>
      <w:r>
        <w:fldChar w:fldCharType="begin"/>
      </w:r>
      <w:r>
        <w:instrText xml:space="preserve"> PAGEREF _Toc12717 \h </w:instrText>
      </w:r>
      <w:r>
        <w:fldChar w:fldCharType="separate"/>
      </w:r>
      <w:r>
        <w:t>25</w:t>
      </w:r>
      <w:r>
        <w:fldChar w:fldCharType="end"/>
      </w:r>
      <w:r>
        <w:fldChar w:fldCharType="end"/>
      </w:r>
    </w:p>
    <w:p>
      <w:pPr>
        <w:pStyle w:val="8"/>
        <w:tabs>
          <w:tab w:val="right" w:leader="dot" w:pos="9070"/>
          <w:tab w:val="clear" w:pos="9060"/>
        </w:tabs>
      </w:pPr>
      <w:r>
        <w:fldChar w:fldCharType="begin"/>
      </w:r>
      <w:r>
        <w:instrText xml:space="preserve"> HYPERLINK \l _Toc22810 </w:instrText>
      </w:r>
      <w:r>
        <w:fldChar w:fldCharType="separate"/>
      </w:r>
      <w:r>
        <w:rPr>
          <w:rFonts w:hint="default"/>
          <w:bCs/>
          <w:lang w:val="en-US" w:eastAsia="zh-CN"/>
        </w:rPr>
        <w:t>附录、140家</w:t>
      </w:r>
      <w:r>
        <w:rPr>
          <w:bCs w:val="0"/>
        </w:rPr>
        <w:t>样本企业基本情况</w:t>
      </w:r>
      <w:r>
        <w:tab/>
      </w:r>
      <w:r>
        <w:fldChar w:fldCharType="begin"/>
      </w:r>
      <w:r>
        <w:instrText xml:space="preserve"> PAGEREF _Toc22810 \h </w:instrText>
      </w:r>
      <w:r>
        <w:fldChar w:fldCharType="separate"/>
      </w:r>
      <w:r>
        <w:t>26</w:t>
      </w:r>
      <w:r>
        <w:fldChar w:fldCharType="end"/>
      </w:r>
      <w:r>
        <w:fldChar w:fldCharType="end"/>
      </w:r>
    </w:p>
    <w:p>
      <w:pPr>
        <w:pStyle w:val="10"/>
        <w:tabs>
          <w:tab w:val="right" w:leader="dot" w:pos="9070"/>
          <w:tab w:val="clear" w:pos="9060"/>
        </w:tabs>
      </w:pPr>
      <w:r>
        <w:fldChar w:fldCharType="begin"/>
      </w:r>
      <w:r>
        <w:instrText xml:space="preserve"> HYPERLINK \l _Toc21394 </w:instrText>
      </w:r>
      <w:r>
        <w:fldChar w:fldCharType="separate"/>
      </w:r>
      <w:r>
        <w:rPr>
          <w:rFonts w:hint="eastAsia" w:ascii="楷体_GB2312" w:hAnsi="楷体_GB2312" w:eastAsia="楷体_GB2312" w:cs="楷体_GB2312"/>
          <w:bCs w:val="0"/>
        </w:rPr>
        <w:t>（一）产业分布</w:t>
      </w:r>
      <w:r>
        <w:tab/>
      </w:r>
      <w:r>
        <w:fldChar w:fldCharType="begin"/>
      </w:r>
      <w:r>
        <w:instrText xml:space="preserve"> PAGEREF _Toc21394 \h </w:instrText>
      </w:r>
      <w:r>
        <w:fldChar w:fldCharType="separate"/>
      </w:r>
      <w:r>
        <w:t>26</w:t>
      </w:r>
      <w:r>
        <w:fldChar w:fldCharType="end"/>
      </w:r>
      <w:r>
        <w:fldChar w:fldCharType="end"/>
      </w:r>
    </w:p>
    <w:p>
      <w:pPr>
        <w:pStyle w:val="10"/>
        <w:tabs>
          <w:tab w:val="right" w:leader="dot" w:pos="9070"/>
          <w:tab w:val="clear" w:pos="9060"/>
        </w:tabs>
      </w:pPr>
      <w:r>
        <w:fldChar w:fldCharType="begin"/>
      </w:r>
      <w:r>
        <w:instrText xml:space="preserve"> HYPERLINK \l _Toc21281 </w:instrText>
      </w:r>
      <w:r>
        <w:fldChar w:fldCharType="separate"/>
      </w:r>
      <w:r>
        <w:rPr>
          <w:rFonts w:hint="eastAsia" w:ascii="楷体_GB2312" w:hAnsi="楷体_GB2312" w:eastAsia="楷体_GB2312" w:cs="楷体_GB2312"/>
          <w:bCs w:val="0"/>
        </w:rPr>
        <w:t>（二）单位类型分布</w:t>
      </w:r>
      <w:r>
        <w:tab/>
      </w:r>
      <w:r>
        <w:fldChar w:fldCharType="begin"/>
      </w:r>
      <w:r>
        <w:instrText xml:space="preserve"> PAGEREF _Toc21281 \h </w:instrText>
      </w:r>
      <w:r>
        <w:fldChar w:fldCharType="separate"/>
      </w:r>
      <w:r>
        <w:t>26</w:t>
      </w:r>
      <w:r>
        <w:fldChar w:fldCharType="end"/>
      </w:r>
      <w:r>
        <w:fldChar w:fldCharType="end"/>
      </w:r>
    </w:p>
    <w:p>
      <w:pPr>
        <w:pStyle w:val="10"/>
        <w:tabs>
          <w:tab w:val="right" w:leader="dot" w:pos="9070"/>
          <w:tab w:val="clear" w:pos="9060"/>
        </w:tabs>
      </w:pPr>
      <w:r>
        <w:fldChar w:fldCharType="begin"/>
      </w:r>
      <w:r>
        <w:instrText xml:space="preserve"> HYPERLINK \l _Toc1030 </w:instrText>
      </w:r>
      <w:r>
        <w:fldChar w:fldCharType="separate"/>
      </w:r>
      <w:r>
        <w:rPr>
          <w:rFonts w:hint="eastAsia" w:ascii="楷体_GB2312" w:hAnsi="楷体_GB2312" w:eastAsia="楷体_GB2312" w:cs="楷体_GB2312"/>
          <w:bCs w:val="0"/>
        </w:rPr>
        <w:t>（三）行业分布</w:t>
      </w:r>
      <w:r>
        <w:tab/>
      </w:r>
      <w:r>
        <w:fldChar w:fldCharType="begin"/>
      </w:r>
      <w:r>
        <w:instrText xml:space="preserve"> PAGEREF _Toc1030 \h </w:instrText>
      </w:r>
      <w:r>
        <w:fldChar w:fldCharType="separate"/>
      </w:r>
      <w:r>
        <w:t>27</w:t>
      </w:r>
      <w:r>
        <w:fldChar w:fldCharType="end"/>
      </w:r>
      <w:r>
        <w:fldChar w:fldCharType="end"/>
      </w:r>
    </w:p>
    <w:p>
      <w:pPr>
        <w:tabs>
          <w:tab w:val="left" w:pos="2717"/>
        </w:tabs>
        <w:spacing w:line="400" w:lineRule="exact"/>
        <w:jc w:val="center"/>
        <w:rPr>
          <w:rFonts w:hint="eastAsia" w:ascii="黑体" w:hAnsi="黑体" w:eastAsia="黑体" w:cs="黑体"/>
          <w:b/>
          <w:bCs/>
          <w:sz w:val="36"/>
          <w:szCs w:val="36"/>
        </w:rPr>
      </w:pPr>
      <w:r>
        <w:fldChar w:fldCharType="end"/>
      </w:r>
    </w:p>
    <w:p>
      <w:pPr>
        <w:jc w:val="center"/>
        <w:rPr>
          <w:rFonts w:hint="eastAsia" w:ascii="黑体" w:hAnsi="黑体" w:eastAsia="黑体" w:cs="黑体"/>
          <w:b/>
          <w:bCs/>
          <w:sz w:val="36"/>
          <w:szCs w:val="36"/>
          <w:lang w:eastAsia="zh-CN"/>
        </w:rPr>
        <w:sectPr>
          <w:footerReference r:id="rId6" w:type="default"/>
          <w:footnotePr>
            <w:numFmt w:val="decimalEnclosedCircleChinese"/>
          </w:footnotePr>
          <w:pgSz w:w="11906" w:h="16838"/>
          <w:pgMar w:top="1440" w:right="1418" w:bottom="1440" w:left="141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jc w:val="center"/>
        <w:rPr>
          <w:rFonts w:ascii="黑体" w:hAnsi="黑体" w:eastAsia="黑体" w:cs="黑体"/>
          <w:b/>
          <w:bCs/>
          <w:sz w:val="36"/>
          <w:szCs w:val="36"/>
        </w:rPr>
      </w:pPr>
      <w:r>
        <w:rPr>
          <w:rFonts w:hint="eastAsia" w:ascii="黑体" w:hAnsi="黑体" w:eastAsia="黑体" w:cs="黑体"/>
          <w:b/>
          <w:bCs/>
          <w:sz w:val="36"/>
          <w:szCs w:val="36"/>
          <w:lang w:eastAsia="zh-CN"/>
        </w:rPr>
        <w:t>2023年</w:t>
      </w:r>
      <w:r>
        <w:rPr>
          <w:rFonts w:hint="eastAsia" w:ascii="黑体" w:hAnsi="黑体" w:eastAsia="黑体" w:cs="黑体"/>
          <w:b/>
          <w:bCs/>
          <w:sz w:val="36"/>
          <w:szCs w:val="36"/>
        </w:rPr>
        <w:t>广州市从化区企业用工定点监测</w:t>
      </w:r>
    </w:p>
    <w:p>
      <w:pPr>
        <w:jc w:val="center"/>
        <w:rPr>
          <w:rFonts w:hint="eastAsia" w:ascii="黑体" w:hAnsi="黑体" w:eastAsia="黑体" w:cs="黑体"/>
          <w:b/>
          <w:bCs/>
          <w:sz w:val="36"/>
          <w:szCs w:val="36"/>
        </w:rPr>
      </w:pPr>
      <w:r>
        <w:rPr>
          <w:rFonts w:hint="eastAsia" w:ascii="黑体" w:hAnsi="黑体" w:eastAsia="黑体" w:cs="黑体"/>
          <w:b/>
          <w:bCs/>
          <w:sz w:val="36"/>
          <w:szCs w:val="36"/>
        </w:rPr>
        <w:t>调查数据分析报告</w:t>
      </w:r>
    </w:p>
    <w:p>
      <w:pPr>
        <w:jc w:val="center"/>
        <w:rPr>
          <w:rFonts w:hint="eastAsia" w:ascii="黑体" w:hAnsi="黑体" w:eastAsia="黑体" w:cs="黑体"/>
          <w:b/>
          <w:bCs/>
          <w:sz w:val="36"/>
          <w:szCs w:val="36"/>
        </w:rPr>
      </w:pPr>
    </w:p>
    <w:p>
      <w:pPr>
        <w:ind w:firstLine="640" w:firstLineChars="200"/>
        <w:rPr>
          <w:rFonts w:hint="default" w:eastAsia="仿宋_GB2312"/>
          <w:color w:val="000000"/>
          <w:sz w:val="32"/>
          <w:szCs w:val="32"/>
          <w:highlight w:val="yellow"/>
          <w:lang w:val="en-US" w:eastAsia="zh-CN"/>
        </w:rPr>
      </w:pPr>
      <w:r>
        <w:rPr>
          <w:rFonts w:hint="default" w:eastAsia="仿宋_GB2312"/>
          <w:color w:val="000000"/>
          <w:sz w:val="32"/>
          <w:szCs w:val="32"/>
          <w:lang w:val="en-US" w:eastAsia="zh-CN"/>
        </w:rPr>
        <w:t>为了及时掌握从化区用工现状和变化特点，</w:t>
      </w:r>
      <w:r>
        <w:rPr>
          <w:rFonts w:hint="default" w:eastAsia="仿宋_GB2312"/>
          <w:color w:val="000000"/>
          <w:sz w:val="32"/>
          <w:szCs w:val="32"/>
        </w:rPr>
        <w:t>202</w:t>
      </w:r>
      <w:r>
        <w:rPr>
          <w:rFonts w:hint="default" w:eastAsia="仿宋_GB2312"/>
          <w:color w:val="000000"/>
          <w:sz w:val="32"/>
          <w:szCs w:val="32"/>
          <w:lang w:val="en-US" w:eastAsia="zh-CN"/>
        </w:rPr>
        <w:t>3</w:t>
      </w:r>
      <w:r>
        <w:rPr>
          <w:rFonts w:hint="default" w:eastAsia="仿宋_GB2312"/>
          <w:color w:val="000000"/>
          <w:sz w:val="32"/>
          <w:szCs w:val="32"/>
        </w:rPr>
        <w:t>年，广州市从化区劳动就业服务管理中心在辖区内开展用工定点监测调查</w:t>
      </w:r>
      <w:r>
        <w:rPr>
          <w:rFonts w:hint="eastAsia" w:eastAsia="仿宋_GB2312"/>
          <w:color w:val="000000"/>
          <w:sz w:val="32"/>
          <w:szCs w:val="32"/>
          <w:lang w:eastAsia="zh-CN"/>
        </w:rPr>
        <w:t>，</w:t>
      </w:r>
      <w:r>
        <w:rPr>
          <w:rFonts w:hint="eastAsia" w:eastAsia="仿宋_GB2312"/>
          <w:color w:val="000000"/>
          <w:sz w:val="32"/>
          <w:szCs w:val="32"/>
          <w:lang w:val="en-US" w:eastAsia="zh-CN"/>
        </w:rPr>
        <w:t>通过对140家调查</w:t>
      </w:r>
      <w:r>
        <w:rPr>
          <w:rFonts w:hint="default" w:eastAsia="仿宋_GB2312"/>
          <w:color w:val="000000"/>
          <w:sz w:val="32"/>
          <w:szCs w:val="32"/>
        </w:rPr>
        <w:t>样本数据</w:t>
      </w:r>
      <w:r>
        <w:rPr>
          <w:rFonts w:hint="eastAsia" w:eastAsia="仿宋_GB2312"/>
          <w:color w:val="000000"/>
          <w:sz w:val="32"/>
          <w:szCs w:val="32"/>
          <w:lang w:val="en-US" w:eastAsia="zh-CN"/>
        </w:rPr>
        <w:t>进行统计分析</w:t>
      </w:r>
      <w:r>
        <w:rPr>
          <w:rFonts w:hint="eastAsia" w:eastAsia="仿宋_GB2312"/>
          <w:color w:val="000000"/>
          <w:sz w:val="32"/>
          <w:szCs w:val="32"/>
          <w:lang w:eastAsia="zh-CN"/>
        </w:rPr>
        <w:t>，</w:t>
      </w:r>
      <w:r>
        <w:rPr>
          <w:rFonts w:hint="default" w:eastAsia="仿宋_GB2312"/>
          <w:color w:val="000000"/>
          <w:sz w:val="32"/>
          <w:szCs w:val="32"/>
        </w:rPr>
        <w:t>形成本</w:t>
      </w:r>
      <w:r>
        <w:rPr>
          <w:rFonts w:hint="eastAsia" w:eastAsia="仿宋_GB2312"/>
          <w:color w:val="000000"/>
          <w:sz w:val="32"/>
          <w:szCs w:val="32"/>
          <w:lang w:val="en-US" w:eastAsia="zh-CN"/>
        </w:rPr>
        <w:t>调查数据</w:t>
      </w:r>
      <w:r>
        <w:rPr>
          <w:rFonts w:hint="default" w:eastAsia="仿宋_GB2312"/>
          <w:color w:val="000000"/>
          <w:sz w:val="32"/>
          <w:szCs w:val="32"/>
        </w:rPr>
        <w:t>分析报告。</w:t>
      </w:r>
      <w:r>
        <w:rPr>
          <w:rFonts w:hint="eastAsia" w:eastAsia="仿宋_GB2312"/>
          <w:b/>
          <w:bCs/>
          <w:color w:val="000000"/>
          <w:sz w:val="32"/>
          <w:szCs w:val="32"/>
          <w:highlight w:val="none"/>
          <w:lang w:val="en-US" w:eastAsia="zh-CN"/>
        </w:rPr>
        <w:t>从调查数据得出：2023年，从化区在岗人数总体有所减少，制造业企业在岗人数最多；全年用工平均流失率为7.6%，下半年人员流失率高于平均水平；企业招聘需求总体有所减少，但对应届生招聘持续改善；2023年企业月平均工资为5635元，工资波动较为稳定；企业对未来生产经营情况持审慎态度，近七成企业预计下季度生产经营状况保持持平。</w:t>
      </w:r>
    </w:p>
    <w:p>
      <w:pPr>
        <w:pStyle w:val="2"/>
        <w:spacing w:before="0"/>
        <w:ind w:firstLine="643" w:firstLineChars="200"/>
      </w:pPr>
      <w:bookmarkStart w:id="0" w:name="_Toc32006"/>
      <w:r>
        <w:rPr>
          <w:rFonts w:hint="eastAsia"/>
          <w:lang w:val="en-US" w:eastAsia="zh-CN"/>
        </w:rPr>
        <w:t>一</w:t>
      </w:r>
      <w:r>
        <w:t>、样本企业</w:t>
      </w:r>
      <w:r>
        <w:rPr>
          <w:rFonts w:hint="eastAsia"/>
        </w:rPr>
        <w:t>招用工</w:t>
      </w:r>
      <w:r>
        <w:t>情况</w:t>
      </w:r>
      <w:bookmarkEnd w:id="0"/>
    </w:p>
    <w:p>
      <w:pPr>
        <w:pStyle w:val="37"/>
        <w:numPr>
          <w:ilvl w:val="0"/>
          <w:numId w:val="0"/>
        </w:numPr>
        <w:spacing w:before="0" w:beforeLines="0"/>
        <w:ind w:firstLine="640" w:firstLineChars="200"/>
        <w:rPr>
          <w:rFonts w:hint="eastAsia" w:ascii="楷体_GB2312" w:hAnsi="楷体_GB2312" w:eastAsia="楷体_GB2312" w:cs="楷体_GB2312"/>
          <w:b w:val="0"/>
          <w:bCs w:val="0"/>
        </w:rPr>
      </w:pPr>
      <w:bookmarkStart w:id="1" w:name="_Toc17392"/>
      <w:r>
        <w:rPr>
          <w:rFonts w:hint="eastAsia" w:ascii="楷体_GB2312" w:hAnsi="楷体_GB2312" w:eastAsia="楷体_GB2312" w:cs="楷体_GB2312"/>
          <w:b w:val="0"/>
          <w:bCs w:val="0"/>
        </w:rPr>
        <w:t>（一）人员规模情况</w:t>
      </w:r>
      <w:bookmarkEnd w:id="1"/>
    </w:p>
    <w:p>
      <w:pPr>
        <w:spacing w:line="360" w:lineRule="auto"/>
        <w:ind w:firstLine="643" w:firstLineChars="200"/>
        <w:rPr>
          <w:rFonts w:eastAsia="仿宋"/>
          <w:b/>
          <w:sz w:val="32"/>
          <w:szCs w:val="32"/>
        </w:rPr>
      </w:pPr>
      <w:r>
        <w:rPr>
          <w:rFonts w:eastAsia="仿宋"/>
          <w:b/>
          <w:sz w:val="32"/>
          <w:szCs w:val="32"/>
        </w:rPr>
        <w:t>1.在岗职工人数以10</w:t>
      </w:r>
      <w:r>
        <w:rPr>
          <w:rFonts w:hint="eastAsia" w:eastAsia="仿宋"/>
          <w:b/>
          <w:sz w:val="32"/>
          <w:szCs w:val="32"/>
        </w:rPr>
        <w:t>0</w:t>
      </w:r>
      <w:r>
        <w:rPr>
          <w:rFonts w:eastAsia="仿宋"/>
          <w:b/>
          <w:sz w:val="32"/>
          <w:szCs w:val="32"/>
        </w:rPr>
        <w:t>-4</w:t>
      </w:r>
      <w:r>
        <w:rPr>
          <w:rFonts w:hint="eastAsia" w:eastAsia="仿宋"/>
          <w:b/>
          <w:sz w:val="32"/>
          <w:szCs w:val="32"/>
        </w:rPr>
        <w:t>9</w:t>
      </w:r>
      <w:r>
        <w:rPr>
          <w:rFonts w:eastAsia="仿宋"/>
          <w:b/>
          <w:sz w:val="32"/>
          <w:szCs w:val="32"/>
        </w:rPr>
        <w:t>9人占比最高</w:t>
      </w:r>
    </w:p>
    <w:p>
      <w:pPr>
        <w:spacing w:line="240" w:lineRule="auto"/>
        <w:ind w:firstLine="640" w:firstLineChars="200"/>
        <w:rPr>
          <w:rFonts w:eastAsia="仿宋_GB2312"/>
          <w:color w:val="000000"/>
          <w:sz w:val="32"/>
          <w:szCs w:val="32"/>
        </w:rPr>
      </w:pPr>
      <w:r>
        <w:rPr>
          <w:rFonts w:eastAsia="仿宋_GB2312"/>
          <w:color w:val="000000"/>
          <w:sz w:val="32"/>
          <w:szCs w:val="32"/>
        </w:rPr>
        <w:t>从人员规模来看，</w:t>
      </w:r>
      <w:r>
        <w:rPr>
          <w:rFonts w:hint="default" w:eastAsia="仿宋_GB2312"/>
          <w:color w:val="000000"/>
          <w:sz w:val="32"/>
          <w:szCs w:val="32"/>
          <w:lang w:eastAsia="zh-CN"/>
        </w:rPr>
        <w:t>2023年</w:t>
      </w:r>
      <w:r>
        <w:rPr>
          <w:rFonts w:hint="default" w:eastAsia="仿宋_GB2312"/>
          <w:color w:val="000000"/>
          <w:sz w:val="32"/>
          <w:szCs w:val="32"/>
        </w:rPr>
        <w:t>样本企业中</w:t>
      </w:r>
      <w:r>
        <w:rPr>
          <w:rFonts w:eastAsia="仿宋_GB2312"/>
          <w:color w:val="000000"/>
          <w:sz w:val="32"/>
          <w:szCs w:val="32"/>
        </w:rPr>
        <w:t>，100-499人</w:t>
      </w:r>
      <w:r>
        <w:rPr>
          <w:rFonts w:hint="default" w:eastAsia="仿宋_GB2312"/>
          <w:color w:val="000000"/>
          <w:sz w:val="32"/>
          <w:szCs w:val="32"/>
        </w:rPr>
        <w:t>占比最高</w:t>
      </w:r>
      <w:r>
        <w:rPr>
          <w:rFonts w:eastAsia="仿宋_GB2312"/>
          <w:color w:val="000000"/>
          <w:sz w:val="32"/>
          <w:szCs w:val="32"/>
        </w:rPr>
        <w:t>，</w:t>
      </w:r>
      <w:r>
        <w:rPr>
          <w:rFonts w:hint="default" w:eastAsia="仿宋_GB2312"/>
          <w:color w:val="000000"/>
          <w:sz w:val="32"/>
          <w:szCs w:val="32"/>
          <w:lang w:val="en-US" w:eastAsia="zh-CN"/>
        </w:rPr>
        <w:t>约占30</w:t>
      </w:r>
      <w:r>
        <w:rPr>
          <w:rFonts w:hint="default" w:eastAsia="仿宋_GB2312"/>
          <w:color w:val="000000"/>
          <w:sz w:val="32"/>
          <w:szCs w:val="32"/>
        </w:rPr>
        <w:t>%；</w:t>
      </w:r>
      <w:r>
        <w:rPr>
          <w:rFonts w:eastAsia="仿宋_GB2312"/>
          <w:color w:val="000000"/>
          <w:sz w:val="32"/>
          <w:szCs w:val="32"/>
        </w:rPr>
        <w:t>其次是10-49人和50-99人的企业，</w:t>
      </w:r>
      <w:r>
        <w:rPr>
          <w:rFonts w:hint="default" w:eastAsia="仿宋_GB2312"/>
          <w:color w:val="000000"/>
          <w:sz w:val="32"/>
          <w:szCs w:val="32"/>
          <w:lang w:val="en-US" w:eastAsia="zh-CN"/>
        </w:rPr>
        <w:t>约占29</w:t>
      </w:r>
      <w:r>
        <w:rPr>
          <w:rFonts w:hint="default" w:eastAsia="仿宋_GB2312"/>
          <w:color w:val="000000"/>
          <w:sz w:val="32"/>
          <w:szCs w:val="32"/>
        </w:rPr>
        <w:t>%</w:t>
      </w:r>
      <w:r>
        <w:rPr>
          <w:rFonts w:eastAsia="仿宋_GB2312"/>
          <w:color w:val="000000"/>
          <w:sz w:val="32"/>
          <w:szCs w:val="32"/>
        </w:rPr>
        <w:t>。500-999人、1000人</w:t>
      </w:r>
      <w:r>
        <w:rPr>
          <w:rFonts w:hint="default" w:eastAsia="仿宋_GB2312"/>
          <w:color w:val="000000"/>
          <w:sz w:val="32"/>
          <w:szCs w:val="32"/>
        </w:rPr>
        <w:t>及</w:t>
      </w:r>
      <w:r>
        <w:rPr>
          <w:rFonts w:eastAsia="仿宋_GB2312"/>
          <w:color w:val="000000"/>
          <w:sz w:val="32"/>
          <w:szCs w:val="32"/>
        </w:rPr>
        <w:t>以上和10人以下的企业占比较</w:t>
      </w:r>
      <w:r>
        <w:rPr>
          <w:rFonts w:hint="default" w:eastAsia="仿宋_GB2312"/>
          <w:color w:val="000000"/>
          <w:sz w:val="32"/>
          <w:szCs w:val="32"/>
        </w:rPr>
        <w:t>低</w:t>
      </w:r>
      <w:r>
        <w:rPr>
          <w:rFonts w:eastAsia="仿宋_GB2312"/>
          <w:color w:val="000000"/>
          <w:sz w:val="32"/>
          <w:szCs w:val="32"/>
        </w:rPr>
        <w:t>（见表</w:t>
      </w:r>
      <w:r>
        <w:rPr>
          <w:rFonts w:hint="eastAsia" w:eastAsia="仿宋_GB2312"/>
          <w:color w:val="000000"/>
          <w:sz w:val="32"/>
          <w:szCs w:val="32"/>
          <w:lang w:eastAsia="zh-CN"/>
        </w:rPr>
        <w:t>1</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1</w:t>
      </w:r>
      <w:r>
        <w:rPr>
          <w:rFonts w:hint="eastAsia" w:eastAsia="宋体"/>
        </w:rPr>
        <w:t>：</w:t>
      </w:r>
      <w:r>
        <w:rPr>
          <w:rFonts w:hint="eastAsia" w:eastAsia="宋体"/>
          <w:lang w:eastAsia="zh-CN"/>
        </w:rPr>
        <w:t>2023年</w:t>
      </w:r>
      <w:r>
        <w:rPr>
          <w:rFonts w:eastAsia="宋体"/>
        </w:rPr>
        <w:t>样本企业人员规模分布</w:t>
      </w:r>
    </w:p>
    <w:p>
      <w:pPr>
        <w:ind w:right="964"/>
        <w:jc w:val="center"/>
        <w:rPr>
          <w:b/>
          <w:sz w:val="24"/>
        </w:rPr>
      </w:pPr>
      <w:r>
        <w:rPr>
          <w:rFonts w:hint="eastAsia"/>
          <w:b/>
          <w:sz w:val="24"/>
        </w:rPr>
        <w:t xml:space="preserve"> </w:t>
      </w:r>
      <w:r>
        <w:rPr>
          <w:b/>
          <w:sz w:val="24"/>
        </w:rPr>
        <w:t xml:space="preserve">                                                 单位：%</w:t>
      </w:r>
    </w:p>
    <w:tbl>
      <w:tblPr>
        <w:tblStyle w:val="13"/>
        <w:tblW w:w="6240" w:type="dxa"/>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740"/>
        <w:gridCol w:w="980"/>
        <w:gridCol w:w="980"/>
        <w:gridCol w:w="980"/>
        <w:gridCol w:w="980"/>
      </w:tblGrid>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2320" w:type="dxa"/>
            <w:gridSpan w:val="2"/>
            <w:tcBorders>
              <w:top w:val="single" w:color="auto" w:sz="4" w:space="0"/>
              <w:left w:val="nil"/>
              <w:tl2br w:val="nil"/>
            </w:tcBorders>
            <w:shd w:val="clear" w:color="auto" w:fill="93CEDD"/>
            <w:noWrap w:val="0"/>
            <w:vAlign w:val="center"/>
          </w:tcPr>
          <w:p>
            <w:pPr>
              <w:widowControl/>
              <w:jc w:val="center"/>
              <w:rPr>
                <w:b/>
                <w:bCs/>
                <w:color w:val="000000"/>
                <w:kern w:val="0"/>
                <w:szCs w:val="21"/>
              </w:rPr>
            </w:pPr>
            <w:r>
              <w:rPr>
                <w:b/>
                <w:bCs/>
                <w:color w:val="000000"/>
                <w:kern w:val="0"/>
                <w:szCs w:val="21"/>
              </w:rPr>
              <w:t>人员规模</w:t>
            </w:r>
          </w:p>
        </w:tc>
        <w:tc>
          <w:tcPr>
            <w:tcW w:w="980" w:type="dxa"/>
            <w:tcBorders>
              <w:top w:val="single" w:color="auto" w:sz="4" w:space="0"/>
            </w:tcBorders>
            <w:shd w:val="clear" w:color="auto" w:fill="93CEDD"/>
            <w:noWrap w:val="0"/>
            <w:vAlign w:val="center"/>
          </w:tcPr>
          <w:p>
            <w:pPr>
              <w:widowControl/>
              <w:jc w:val="center"/>
              <w:rPr>
                <w:b/>
                <w:bCs/>
                <w:color w:val="000000"/>
                <w:kern w:val="0"/>
                <w:szCs w:val="21"/>
              </w:rPr>
            </w:pPr>
            <w:r>
              <w:rPr>
                <w:b/>
                <w:bCs/>
                <w:color w:val="000000"/>
                <w:kern w:val="0"/>
                <w:szCs w:val="21"/>
              </w:rPr>
              <w:t>1季度</w:t>
            </w:r>
          </w:p>
        </w:tc>
        <w:tc>
          <w:tcPr>
            <w:tcW w:w="980" w:type="dxa"/>
            <w:tcBorders>
              <w:top w:val="single" w:color="auto" w:sz="4" w:space="0"/>
            </w:tcBorders>
            <w:shd w:val="clear" w:color="auto" w:fill="93CEDD"/>
            <w:noWrap w:val="0"/>
            <w:vAlign w:val="center"/>
          </w:tcPr>
          <w:p>
            <w:pPr>
              <w:widowControl/>
              <w:jc w:val="center"/>
              <w:rPr>
                <w:b/>
                <w:bCs/>
                <w:color w:val="000000"/>
                <w:kern w:val="0"/>
                <w:szCs w:val="21"/>
              </w:rPr>
            </w:pPr>
            <w:r>
              <w:rPr>
                <w:b/>
                <w:bCs/>
                <w:color w:val="000000"/>
                <w:kern w:val="0"/>
                <w:szCs w:val="21"/>
              </w:rPr>
              <w:t>2季度</w:t>
            </w:r>
          </w:p>
        </w:tc>
        <w:tc>
          <w:tcPr>
            <w:tcW w:w="980" w:type="dxa"/>
            <w:tcBorders>
              <w:top w:val="single" w:color="auto" w:sz="4" w:space="0"/>
            </w:tcBorders>
            <w:shd w:val="clear" w:color="auto" w:fill="93CEDD"/>
            <w:noWrap w:val="0"/>
            <w:vAlign w:val="center"/>
          </w:tcPr>
          <w:p>
            <w:pPr>
              <w:widowControl/>
              <w:jc w:val="center"/>
              <w:rPr>
                <w:b/>
                <w:bCs/>
                <w:color w:val="000000"/>
                <w:kern w:val="0"/>
                <w:szCs w:val="21"/>
              </w:rPr>
            </w:pPr>
            <w:r>
              <w:rPr>
                <w:b/>
                <w:bCs/>
                <w:color w:val="000000"/>
                <w:kern w:val="0"/>
                <w:szCs w:val="21"/>
              </w:rPr>
              <w:t>3季度</w:t>
            </w:r>
          </w:p>
        </w:tc>
        <w:tc>
          <w:tcPr>
            <w:tcW w:w="980" w:type="dxa"/>
            <w:tcBorders>
              <w:top w:val="single" w:color="auto" w:sz="4" w:space="0"/>
              <w:right w:val="nil"/>
            </w:tcBorders>
            <w:shd w:val="clear" w:color="auto" w:fill="93CEDD"/>
            <w:noWrap w:val="0"/>
            <w:vAlign w:val="center"/>
          </w:tcPr>
          <w:p>
            <w:pPr>
              <w:widowControl/>
              <w:jc w:val="center"/>
              <w:rPr>
                <w:b/>
                <w:bCs/>
                <w:color w:val="000000"/>
                <w:kern w:val="0"/>
                <w:szCs w:val="21"/>
              </w:rPr>
            </w:pPr>
            <w:r>
              <w:rPr>
                <w:b/>
                <w:bCs/>
                <w:color w:val="000000"/>
                <w:kern w:val="0"/>
                <w:szCs w:val="21"/>
              </w:rPr>
              <w:t>4季度</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20" w:type="dxa"/>
            <w:gridSpan w:val="2"/>
            <w:tcBorders>
              <w:left w:val="nil"/>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10人以下</w:t>
            </w:r>
          </w:p>
        </w:tc>
        <w:tc>
          <w:tcPr>
            <w:tcW w:w="980" w:type="dxa"/>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0.7 </w:t>
            </w:r>
          </w:p>
        </w:tc>
        <w:tc>
          <w:tcPr>
            <w:tcW w:w="980" w:type="dxa"/>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0.7 </w:t>
            </w:r>
          </w:p>
        </w:tc>
        <w:tc>
          <w:tcPr>
            <w:tcW w:w="980" w:type="dxa"/>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2.1 </w:t>
            </w:r>
          </w:p>
        </w:tc>
        <w:tc>
          <w:tcPr>
            <w:tcW w:w="980" w:type="dxa"/>
            <w:tcBorders>
              <w:right w:val="nil"/>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3.6 </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20" w:type="dxa"/>
            <w:gridSpan w:val="2"/>
            <w:tcBorders>
              <w:left w:val="nil"/>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10—49人</w:t>
            </w:r>
          </w:p>
        </w:tc>
        <w:tc>
          <w:tcPr>
            <w:tcW w:w="980" w:type="dxa"/>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28.6 </w:t>
            </w:r>
          </w:p>
        </w:tc>
        <w:tc>
          <w:tcPr>
            <w:tcW w:w="980" w:type="dxa"/>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29.3 </w:t>
            </w:r>
          </w:p>
        </w:tc>
        <w:tc>
          <w:tcPr>
            <w:tcW w:w="980" w:type="dxa"/>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29.3 </w:t>
            </w:r>
          </w:p>
        </w:tc>
        <w:tc>
          <w:tcPr>
            <w:tcW w:w="980" w:type="dxa"/>
            <w:tcBorders>
              <w:right w:val="nil"/>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28.6 </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0" w:type="dxa"/>
            <w:gridSpan w:val="2"/>
            <w:tcBorders>
              <w:left w:val="nil"/>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50—99人</w:t>
            </w:r>
          </w:p>
        </w:tc>
        <w:tc>
          <w:tcPr>
            <w:tcW w:w="980" w:type="dxa"/>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27.9 </w:t>
            </w:r>
          </w:p>
        </w:tc>
        <w:tc>
          <w:tcPr>
            <w:tcW w:w="980" w:type="dxa"/>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c>
          <w:tcPr>
            <w:tcW w:w="980" w:type="dxa"/>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29.3 </w:t>
            </w:r>
          </w:p>
        </w:tc>
        <w:tc>
          <w:tcPr>
            <w:tcW w:w="980" w:type="dxa"/>
            <w:tcBorders>
              <w:right w:val="nil"/>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28.5 </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20" w:type="dxa"/>
            <w:gridSpan w:val="2"/>
            <w:tcBorders>
              <w:left w:val="nil"/>
              <w:bottom w:val="single" w:color="auto" w:sz="4" w:space="0"/>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100—499人</w:t>
            </w:r>
          </w:p>
        </w:tc>
        <w:tc>
          <w:tcPr>
            <w:tcW w:w="980" w:type="dxa"/>
            <w:tcBorders>
              <w:bottom w:val="single" w:color="auto" w:sz="4" w:space="0"/>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32.1 </w:t>
            </w:r>
          </w:p>
        </w:tc>
        <w:tc>
          <w:tcPr>
            <w:tcW w:w="980" w:type="dxa"/>
            <w:tcBorders>
              <w:bottom w:val="single" w:color="auto" w:sz="4" w:space="0"/>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c>
          <w:tcPr>
            <w:tcW w:w="980" w:type="dxa"/>
            <w:tcBorders>
              <w:bottom w:val="single" w:color="auto" w:sz="4" w:space="0"/>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29.3 </w:t>
            </w:r>
          </w:p>
        </w:tc>
        <w:tc>
          <w:tcPr>
            <w:tcW w:w="980" w:type="dxa"/>
            <w:tcBorders>
              <w:bottom w:val="single" w:color="auto" w:sz="4" w:space="0"/>
              <w:right w:val="nil"/>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29.3 </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20" w:type="dxa"/>
            <w:gridSpan w:val="2"/>
            <w:tcBorders>
              <w:top w:val="single" w:color="auto" w:sz="4" w:space="0"/>
              <w:left w:val="nil"/>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500—999人</w:t>
            </w:r>
          </w:p>
        </w:tc>
        <w:tc>
          <w:tcPr>
            <w:tcW w:w="980" w:type="dxa"/>
            <w:tcBorders>
              <w:top w:val="single" w:color="auto" w:sz="4" w:space="0"/>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6.4 </w:t>
            </w:r>
          </w:p>
        </w:tc>
        <w:tc>
          <w:tcPr>
            <w:tcW w:w="980" w:type="dxa"/>
            <w:tcBorders>
              <w:top w:val="single" w:color="auto" w:sz="4" w:space="0"/>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6.4 </w:t>
            </w:r>
          </w:p>
        </w:tc>
        <w:tc>
          <w:tcPr>
            <w:tcW w:w="980" w:type="dxa"/>
            <w:tcBorders>
              <w:top w:val="single" w:color="auto" w:sz="4" w:space="0"/>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5.7 </w:t>
            </w:r>
          </w:p>
        </w:tc>
        <w:tc>
          <w:tcPr>
            <w:tcW w:w="980" w:type="dxa"/>
            <w:tcBorders>
              <w:top w:val="single" w:color="auto" w:sz="4" w:space="0"/>
              <w:right w:val="nil"/>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5.7 </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20" w:type="dxa"/>
            <w:gridSpan w:val="2"/>
            <w:tcBorders>
              <w:left w:val="nil"/>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1000人及以上</w:t>
            </w:r>
          </w:p>
        </w:tc>
        <w:tc>
          <w:tcPr>
            <w:tcW w:w="980" w:type="dxa"/>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4.3 </w:t>
            </w:r>
          </w:p>
        </w:tc>
        <w:tc>
          <w:tcPr>
            <w:tcW w:w="980" w:type="dxa"/>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3.6 </w:t>
            </w:r>
          </w:p>
        </w:tc>
        <w:tc>
          <w:tcPr>
            <w:tcW w:w="980" w:type="dxa"/>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4.3 </w:t>
            </w:r>
          </w:p>
        </w:tc>
        <w:tc>
          <w:tcPr>
            <w:tcW w:w="980" w:type="dxa"/>
            <w:tcBorders>
              <w:right w:val="nil"/>
            </w:tcBorders>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4.3 </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0" w:type="dxa"/>
            <w:vMerge w:val="restart"/>
            <w:tcBorders>
              <w:left w:val="nil"/>
            </w:tcBorders>
            <w:noWrap w:val="0"/>
            <w:vAlign w:val="center"/>
          </w:tcPr>
          <w:p>
            <w:pPr>
              <w:widowControl/>
              <w:jc w:val="center"/>
              <w:rPr>
                <w:b/>
                <w:bCs/>
                <w:color w:val="000000"/>
                <w:kern w:val="0"/>
                <w:szCs w:val="21"/>
              </w:rPr>
            </w:pPr>
            <w:r>
              <w:rPr>
                <w:b/>
                <w:bCs/>
                <w:color w:val="000000"/>
                <w:kern w:val="0"/>
                <w:szCs w:val="21"/>
              </w:rPr>
              <w:t>合计</w:t>
            </w:r>
          </w:p>
        </w:tc>
        <w:tc>
          <w:tcPr>
            <w:tcW w:w="1740" w:type="dxa"/>
            <w:noWrap w:val="0"/>
            <w:vAlign w:val="center"/>
          </w:tcPr>
          <w:p>
            <w:pPr>
              <w:widowControl/>
              <w:jc w:val="center"/>
              <w:rPr>
                <w:b/>
                <w:bCs/>
                <w:color w:val="000000"/>
                <w:kern w:val="0"/>
                <w:szCs w:val="21"/>
              </w:rPr>
            </w:pPr>
            <w:r>
              <w:rPr>
                <w:b/>
                <w:bCs/>
                <w:color w:val="000000"/>
                <w:kern w:val="0"/>
                <w:szCs w:val="21"/>
              </w:rPr>
              <w:t>百分比</w:t>
            </w:r>
          </w:p>
        </w:tc>
        <w:tc>
          <w:tcPr>
            <w:tcW w:w="980" w:type="dxa"/>
            <w:noWrap w:val="0"/>
            <w:vAlign w:val="center"/>
          </w:tcPr>
          <w:p>
            <w:pPr>
              <w:widowControl/>
              <w:jc w:val="center"/>
              <w:rPr>
                <w:b/>
                <w:bCs/>
                <w:color w:val="000000"/>
                <w:kern w:val="0"/>
                <w:szCs w:val="21"/>
              </w:rPr>
            </w:pPr>
            <w:r>
              <w:rPr>
                <w:b/>
                <w:bCs/>
                <w:color w:val="000000"/>
                <w:kern w:val="0"/>
                <w:szCs w:val="21"/>
              </w:rPr>
              <w:t>100.0</w:t>
            </w:r>
          </w:p>
        </w:tc>
        <w:tc>
          <w:tcPr>
            <w:tcW w:w="980" w:type="dxa"/>
            <w:noWrap w:val="0"/>
            <w:vAlign w:val="center"/>
          </w:tcPr>
          <w:p>
            <w:pPr>
              <w:widowControl/>
              <w:jc w:val="center"/>
              <w:rPr>
                <w:b/>
                <w:bCs/>
                <w:color w:val="000000"/>
                <w:kern w:val="0"/>
                <w:szCs w:val="21"/>
              </w:rPr>
            </w:pPr>
            <w:r>
              <w:rPr>
                <w:b/>
                <w:bCs/>
                <w:color w:val="000000"/>
                <w:kern w:val="0"/>
                <w:szCs w:val="21"/>
              </w:rPr>
              <w:t>100.0</w:t>
            </w:r>
          </w:p>
        </w:tc>
        <w:tc>
          <w:tcPr>
            <w:tcW w:w="980" w:type="dxa"/>
            <w:noWrap w:val="0"/>
            <w:vAlign w:val="center"/>
          </w:tcPr>
          <w:p>
            <w:pPr>
              <w:widowControl/>
              <w:jc w:val="center"/>
              <w:rPr>
                <w:b/>
                <w:bCs/>
                <w:color w:val="000000"/>
                <w:kern w:val="0"/>
                <w:szCs w:val="21"/>
              </w:rPr>
            </w:pPr>
            <w:r>
              <w:rPr>
                <w:b/>
                <w:bCs/>
                <w:color w:val="000000"/>
                <w:kern w:val="0"/>
                <w:szCs w:val="21"/>
              </w:rPr>
              <w:t>100.0</w:t>
            </w:r>
          </w:p>
        </w:tc>
        <w:tc>
          <w:tcPr>
            <w:tcW w:w="980" w:type="dxa"/>
            <w:tcBorders>
              <w:right w:val="nil"/>
            </w:tcBorders>
            <w:noWrap w:val="0"/>
            <w:vAlign w:val="center"/>
          </w:tcPr>
          <w:p>
            <w:pPr>
              <w:widowControl/>
              <w:jc w:val="center"/>
              <w:rPr>
                <w:b/>
                <w:bCs/>
                <w:color w:val="000000"/>
                <w:kern w:val="0"/>
                <w:szCs w:val="21"/>
              </w:rPr>
            </w:pPr>
            <w:r>
              <w:rPr>
                <w:b/>
                <w:bCs/>
                <w:color w:val="000000"/>
                <w:kern w:val="0"/>
                <w:szCs w:val="21"/>
              </w:rPr>
              <w:t>100.0</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0" w:type="dxa"/>
            <w:vMerge w:val="continue"/>
            <w:tcBorders>
              <w:left w:val="nil"/>
              <w:bottom w:val="single" w:color="000000" w:sz="8" w:space="0"/>
            </w:tcBorders>
            <w:noWrap w:val="0"/>
            <w:vAlign w:val="center"/>
          </w:tcPr>
          <w:p>
            <w:pPr>
              <w:widowControl/>
              <w:jc w:val="center"/>
              <w:rPr>
                <w:b/>
                <w:bCs/>
                <w:color w:val="000000"/>
                <w:kern w:val="0"/>
                <w:szCs w:val="21"/>
              </w:rPr>
            </w:pPr>
          </w:p>
        </w:tc>
        <w:tc>
          <w:tcPr>
            <w:tcW w:w="1740" w:type="dxa"/>
            <w:tcBorders>
              <w:bottom w:val="single" w:color="auto" w:sz="8" w:space="0"/>
            </w:tcBorders>
            <w:noWrap w:val="0"/>
            <w:vAlign w:val="center"/>
          </w:tcPr>
          <w:p>
            <w:pPr>
              <w:widowControl/>
              <w:jc w:val="center"/>
              <w:rPr>
                <w:b/>
                <w:bCs/>
                <w:color w:val="000000"/>
                <w:kern w:val="0"/>
                <w:szCs w:val="21"/>
              </w:rPr>
            </w:pPr>
            <w:r>
              <w:rPr>
                <w:b/>
                <w:bCs/>
                <w:color w:val="000000"/>
                <w:kern w:val="0"/>
                <w:szCs w:val="21"/>
              </w:rPr>
              <w:t>企业个数（个）</w:t>
            </w:r>
          </w:p>
        </w:tc>
        <w:tc>
          <w:tcPr>
            <w:tcW w:w="980" w:type="dxa"/>
            <w:tcBorders>
              <w:bottom w:val="single" w:color="auto" w:sz="8" w:space="0"/>
            </w:tcBorders>
            <w:noWrap w:val="0"/>
            <w:vAlign w:val="center"/>
          </w:tcPr>
          <w:p>
            <w:pPr>
              <w:widowControl/>
              <w:jc w:val="center"/>
              <w:rPr>
                <w:b/>
                <w:bCs/>
                <w:color w:val="000000"/>
                <w:kern w:val="0"/>
                <w:szCs w:val="21"/>
              </w:rPr>
            </w:pPr>
            <w:r>
              <w:rPr>
                <w:b/>
                <w:bCs/>
                <w:color w:val="000000"/>
                <w:kern w:val="0"/>
                <w:szCs w:val="21"/>
              </w:rPr>
              <w:t>140</w:t>
            </w:r>
          </w:p>
        </w:tc>
        <w:tc>
          <w:tcPr>
            <w:tcW w:w="980" w:type="dxa"/>
            <w:tcBorders>
              <w:bottom w:val="single" w:color="auto" w:sz="8" w:space="0"/>
            </w:tcBorders>
            <w:noWrap w:val="0"/>
            <w:vAlign w:val="center"/>
          </w:tcPr>
          <w:p>
            <w:pPr>
              <w:widowControl/>
              <w:jc w:val="center"/>
              <w:rPr>
                <w:b/>
                <w:bCs/>
                <w:color w:val="000000"/>
                <w:kern w:val="0"/>
                <w:szCs w:val="21"/>
              </w:rPr>
            </w:pPr>
            <w:r>
              <w:rPr>
                <w:b/>
                <w:bCs/>
                <w:color w:val="000000"/>
                <w:kern w:val="0"/>
                <w:szCs w:val="21"/>
              </w:rPr>
              <w:t>140</w:t>
            </w:r>
          </w:p>
        </w:tc>
        <w:tc>
          <w:tcPr>
            <w:tcW w:w="980" w:type="dxa"/>
            <w:tcBorders>
              <w:bottom w:val="single" w:color="auto" w:sz="8" w:space="0"/>
            </w:tcBorders>
            <w:noWrap w:val="0"/>
            <w:vAlign w:val="center"/>
          </w:tcPr>
          <w:p>
            <w:pPr>
              <w:widowControl/>
              <w:jc w:val="center"/>
              <w:rPr>
                <w:b/>
                <w:bCs/>
                <w:color w:val="000000"/>
                <w:kern w:val="0"/>
                <w:szCs w:val="21"/>
              </w:rPr>
            </w:pPr>
            <w:r>
              <w:rPr>
                <w:b/>
                <w:bCs/>
                <w:color w:val="000000"/>
                <w:kern w:val="0"/>
                <w:szCs w:val="21"/>
              </w:rPr>
              <w:t>140</w:t>
            </w:r>
          </w:p>
        </w:tc>
        <w:tc>
          <w:tcPr>
            <w:tcW w:w="980" w:type="dxa"/>
            <w:tcBorders>
              <w:bottom w:val="single" w:color="auto" w:sz="8" w:space="0"/>
              <w:right w:val="nil"/>
            </w:tcBorders>
            <w:noWrap w:val="0"/>
            <w:vAlign w:val="center"/>
          </w:tcPr>
          <w:p>
            <w:pPr>
              <w:widowControl/>
              <w:jc w:val="center"/>
              <w:rPr>
                <w:b/>
                <w:bCs/>
                <w:color w:val="000000"/>
                <w:kern w:val="0"/>
                <w:szCs w:val="21"/>
              </w:rPr>
            </w:pPr>
            <w:r>
              <w:rPr>
                <w:b/>
                <w:bCs/>
                <w:color w:val="000000"/>
                <w:kern w:val="0"/>
                <w:szCs w:val="21"/>
              </w:rPr>
              <w:t>140</w:t>
            </w:r>
          </w:p>
        </w:tc>
      </w:tr>
    </w:tbl>
    <w:p>
      <w:pPr>
        <w:pStyle w:val="37"/>
        <w:numPr>
          <w:ilvl w:val="0"/>
          <w:numId w:val="0"/>
        </w:numPr>
        <w:spacing w:before="0" w:beforeLines="0"/>
        <w:ind w:firstLine="640" w:firstLineChars="200"/>
        <w:outlineLvl w:val="9"/>
        <w:rPr>
          <w:rFonts w:hint="eastAsia" w:ascii="楷体_GB2312" w:hAnsi="楷体_GB2312" w:eastAsia="楷体_GB2312" w:cs="楷体_GB2312"/>
          <w:b w:val="0"/>
          <w:bCs w:val="0"/>
        </w:rPr>
      </w:pPr>
    </w:p>
    <w:p>
      <w:pPr>
        <w:pStyle w:val="37"/>
        <w:numPr>
          <w:ilvl w:val="0"/>
          <w:numId w:val="0"/>
        </w:numPr>
        <w:spacing w:before="0" w:beforeLines="0"/>
        <w:ind w:firstLine="640" w:firstLineChars="200"/>
        <w:rPr>
          <w:rFonts w:hint="eastAsia" w:ascii="楷体_GB2312" w:hAnsi="楷体_GB2312" w:eastAsia="楷体_GB2312" w:cs="楷体_GB2312"/>
          <w:b w:val="0"/>
          <w:bCs w:val="0"/>
        </w:rPr>
      </w:pPr>
      <w:bookmarkStart w:id="2" w:name="_Toc22053"/>
      <w:r>
        <w:rPr>
          <w:rFonts w:hint="eastAsia" w:ascii="楷体_GB2312" w:hAnsi="楷体_GB2312" w:eastAsia="楷体_GB2312" w:cs="楷体_GB2312"/>
          <w:b w:val="0"/>
          <w:bCs w:val="0"/>
        </w:rPr>
        <w:t>（二）在岗人数及派遣员工情况</w:t>
      </w:r>
      <w:bookmarkEnd w:id="2"/>
    </w:p>
    <w:p>
      <w:pPr>
        <w:spacing w:before="0" w:beforeLines="0"/>
        <w:ind w:firstLine="643" w:firstLineChars="200"/>
        <w:rPr>
          <w:rFonts w:hint="eastAsia" w:eastAsia="仿宋"/>
          <w:b/>
          <w:bCs/>
          <w:color w:val="000000"/>
          <w:sz w:val="32"/>
          <w:szCs w:val="32"/>
        </w:rPr>
      </w:pPr>
      <w:r>
        <w:rPr>
          <w:rFonts w:eastAsia="仿宋"/>
          <w:b/>
          <w:bCs/>
          <w:color w:val="000000"/>
          <w:sz w:val="32"/>
          <w:szCs w:val="32"/>
        </w:rPr>
        <w:t>1.</w:t>
      </w:r>
      <w:r>
        <w:rPr>
          <w:rFonts w:hint="eastAsia" w:eastAsia="仿宋"/>
          <w:b/>
          <w:bCs/>
          <w:color w:val="000000"/>
          <w:sz w:val="32"/>
          <w:szCs w:val="32"/>
        </w:rPr>
        <w:t>在岗人数</w:t>
      </w:r>
      <w:r>
        <w:rPr>
          <w:rFonts w:hint="eastAsia" w:eastAsia="仿宋"/>
          <w:b/>
          <w:bCs/>
          <w:color w:val="000000"/>
          <w:sz w:val="32"/>
          <w:szCs w:val="32"/>
          <w:lang w:val="en-US" w:eastAsia="zh-CN"/>
        </w:rPr>
        <w:t>总体有所减少</w:t>
      </w:r>
      <w:r>
        <w:rPr>
          <w:rFonts w:hint="eastAsia" w:eastAsia="仿宋"/>
          <w:b/>
          <w:bCs/>
          <w:color w:val="000000"/>
          <w:sz w:val="32"/>
          <w:szCs w:val="32"/>
        </w:rPr>
        <w:t>，</w:t>
      </w:r>
      <w:r>
        <w:rPr>
          <w:rFonts w:eastAsia="仿宋"/>
          <w:b/>
          <w:bCs/>
          <w:color w:val="000000"/>
          <w:sz w:val="32"/>
          <w:szCs w:val="32"/>
        </w:rPr>
        <w:t>制造业企业在岗人数最多</w:t>
      </w:r>
    </w:p>
    <w:p>
      <w:pPr>
        <w:spacing w:before="0" w:beforeLines="-2147483648"/>
        <w:ind w:firstLine="640" w:firstLineChars="200"/>
        <w:rPr>
          <w:rFonts w:hint="default" w:eastAsia="仿宋_GB2312"/>
          <w:color w:val="000000"/>
          <w:sz w:val="32"/>
          <w:szCs w:val="32"/>
        </w:rPr>
      </w:pPr>
      <w:r>
        <w:rPr>
          <w:rFonts w:hint="default" w:eastAsia="仿宋_GB2312"/>
          <w:color w:val="000000"/>
          <w:sz w:val="32"/>
          <w:szCs w:val="32"/>
          <w:lang w:eastAsia="zh-CN"/>
        </w:rPr>
        <w:t>2023年</w:t>
      </w:r>
      <w:r>
        <w:rPr>
          <w:rFonts w:hint="default" w:eastAsia="仿宋_GB2312"/>
          <w:color w:val="000000"/>
          <w:sz w:val="32"/>
          <w:szCs w:val="32"/>
        </w:rPr>
        <w:t>样本企业中，在岗人数</w:t>
      </w:r>
      <w:r>
        <w:rPr>
          <w:rFonts w:hint="eastAsia" w:eastAsia="仿宋_GB2312"/>
          <w:color w:val="000000"/>
          <w:sz w:val="32"/>
          <w:szCs w:val="32"/>
          <w:lang w:val="en-US" w:eastAsia="zh-CN"/>
        </w:rPr>
        <w:t>总体有所减少</w:t>
      </w:r>
      <w:r>
        <w:rPr>
          <w:rFonts w:hint="default" w:eastAsia="仿宋_GB2312"/>
          <w:color w:val="000000"/>
          <w:sz w:val="32"/>
          <w:szCs w:val="32"/>
        </w:rPr>
        <w:t>，</w:t>
      </w:r>
      <w:r>
        <w:rPr>
          <w:rFonts w:eastAsia="仿宋_GB2312"/>
          <w:color w:val="000000"/>
          <w:sz w:val="32"/>
          <w:szCs w:val="32"/>
        </w:rPr>
        <w:t>其中</w:t>
      </w:r>
      <w:r>
        <w:rPr>
          <w:rFonts w:hint="default" w:eastAsia="仿宋_GB2312"/>
          <w:color w:val="000000"/>
          <w:sz w:val="32"/>
          <w:szCs w:val="32"/>
          <w:lang w:val="en-US" w:eastAsia="zh-CN"/>
        </w:rPr>
        <w:t>1</w:t>
      </w:r>
      <w:r>
        <w:rPr>
          <w:rFonts w:hint="default" w:eastAsia="仿宋_GB2312"/>
          <w:color w:val="000000"/>
          <w:sz w:val="32"/>
          <w:szCs w:val="32"/>
        </w:rPr>
        <w:t>季度</w:t>
      </w:r>
      <w:r>
        <w:rPr>
          <w:rFonts w:eastAsia="仿宋_GB2312"/>
          <w:color w:val="000000"/>
          <w:sz w:val="32"/>
          <w:szCs w:val="32"/>
        </w:rPr>
        <w:t>在岗人数</w:t>
      </w:r>
      <w:r>
        <w:rPr>
          <w:rFonts w:hint="default" w:eastAsia="仿宋_GB2312"/>
          <w:color w:val="000000"/>
          <w:sz w:val="32"/>
          <w:szCs w:val="32"/>
          <w:lang w:val="en-US" w:eastAsia="zh-CN"/>
        </w:rPr>
        <w:t>27864</w:t>
      </w:r>
      <w:r>
        <w:rPr>
          <w:rFonts w:eastAsia="仿宋_GB2312"/>
          <w:color w:val="000000"/>
          <w:sz w:val="32"/>
          <w:szCs w:val="32"/>
        </w:rPr>
        <w:t>人最多，</w:t>
      </w:r>
      <w:r>
        <w:rPr>
          <w:rFonts w:hint="default" w:eastAsia="仿宋_GB2312"/>
          <w:color w:val="000000"/>
          <w:sz w:val="32"/>
          <w:szCs w:val="32"/>
        </w:rPr>
        <w:t>4季度</w:t>
      </w:r>
      <w:r>
        <w:rPr>
          <w:rFonts w:eastAsia="仿宋_GB2312"/>
          <w:color w:val="000000"/>
          <w:sz w:val="32"/>
          <w:szCs w:val="32"/>
        </w:rPr>
        <w:t>在岗人数</w:t>
      </w:r>
      <w:r>
        <w:rPr>
          <w:rFonts w:hint="default" w:eastAsia="仿宋_GB2312"/>
          <w:color w:val="000000"/>
          <w:sz w:val="32"/>
          <w:szCs w:val="32"/>
          <w:lang w:val="en-US" w:eastAsia="zh-CN"/>
        </w:rPr>
        <w:t>26519</w:t>
      </w:r>
      <w:r>
        <w:rPr>
          <w:rFonts w:eastAsia="仿宋_GB2312"/>
          <w:color w:val="000000"/>
          <w:sz w:val="32"/>
          <w:szCs w:val="32"/>
        </w:rPr>
        <w:t>人最少。分行业来看，制造业的在岗人数</w:t>
      </w:r>
      <w:r>
        <w:rPr>
          <w:rFonts w:hint="default" w:eastAsia="仿宋_GB2312"/>
          <w:color w:val="000000"/>
          <w:sz w:val="32"/>
          <w:szCs w:val="32"/>
        </w:rPr>
        <w:t>最多</w:t>
      </w:r>
      <w:r>
        <w:rPr>
          <w:rFonts w:eastAsia="仿宋_GB2312"/>
          <w:color w:val="000000"/>
          <w:sz w:val="32"/>
          <w:szCs w:val="32"/>
        </w:rPr>
        <w:t>，</w:t>
      </w:r>
      <w:r>
        <w:rPr>
          <w:rFonts w:hint="default" w:eastAsia="仿宋_GB2312"/>
          <w:color w:val="000000"/>
          <w:sz w:val="32"/>
          <w:szCs w:val="32"/>
          <w:lang w:val="en-US" w:eastAsia="zh-CN"/>
        </w:rPr>
        <w:t>超过1.8</w:t>
      </w:r>
      <w:r>
        <w:rPr>
          <w:rFonts w:eastAsia="仿宋_GB2312"/>
          <w:color w:val="000000"/>
          <w:sz w:val="32"/>
          <w:szCs w:val="32"/>
        </w:rPr>
        <w:t>万人</w:t>
      </w:r>
      <w:r>
        <w:rPr>
          <w:rFonts w:hint="default" w:eastAsia="仿宋_GB2312"/>
          <w:color w:val="000000"/>
          <w:sz w:val="32"/>
          <w:szCs w:val="32"/>
        </w:rPr>
        <w:t>；其次为</w:t>
      </w:r>
      <w:r>
        <w:rPr>
          <w:rFonts w:eastAsia="仿宋_GB2312"/>
          <w:color w:val="000000"/>
          <w:sz w:val="32"/>
          <w:szCs w:val="32"/>
        </w:rPr>
        <w:t>批发和零售业，</w:t>
      </w:r>
      <w:r>
        <w:rPr>
          <w:rFonts w:hint="eastAsia" w:eastAsia="仿宋_GB2312"/>
          <w:color w:val="000000"/>
          <w:sz w:val="32"/>
          <w:szCs w:val="32"/>
          <w:lang w:val="en-US" w:eastAsia="zh-CN"/>
        </w:rPr>
        <w:t>季度平均</w:t>
      </w:r>
      <w:r>
        <w:rPr>
          <w:rFonts w:eastAsia="仿宋_GB2312"/>
          <w:color w:val="000000"/>
          <w:sz w:val="32"/>
          <w:szCs w:val="32"/>
        </w:rPr>
        <w:t>在岗人数</w:t>
      </w:r>
      <w:r>
        <w:rPr>
          <w:rFonts w:hint="default" w:eastAsia="仿宋_GB2312"/>
          <w:color w:val="000000"/>
          <w:sz w:val="32"/>
          <w:szCs w:val="32"/>
        </w:rPr>
        <w:t>在</w:t>
      </w:r>
      <w:r>
        <w:rPr>
          <w:rFonts w:hint="default" w:eastAsia="仿宋_GB2312"/>
          <w:color w:val="000000"/>
          <w:sz w:val="32"/>
          <w:szCs w:val="32"/>
          <w:lang w:val="en-US" w:eastAsia="zh-CN"/>
        </w:rPr>
        <w:t>2100</w:t>
      </w:r>
      <w:r>
        <w:rPr>
          <w:rFonts w:eastAsia="仿宋_GB2312"/>
          <w:color w:val="000000"/>
          <w:sz w:val="32"/>
          <w:szCs w:val="32"/>
        </w:rPr>
        <w:t>人左右；</w:t>
      </w:r>
      <w:r>
        <w:rPr>
          <w:rFonts w:hint="default" w:eastAsia="仿宋_GB2312"/>
          <w:color w:val="000000"/>
          <w:sz w:val="32"/>
          <w:szCs w:val="32"/>
          <w:lang w:val="en-US" w:eastAsia="zh-CN"/>
        </w:rPr>
        <w:t>房地产业、</w:t>
      </w:r>
      <w:r>
        <w:rPr>
          <w:rFonts w:eastAsia="仿宋_GB2312"/>
          <w:color w:val="000000"/>
          <w:sz w:val="32"/>
          <w:szCs w:val="32"/>
        </w:rPr>
        <w:t>住宿和餐饮业、</w:t>
      </w:r>
      <w:r>
        <w:rPr>
          <w:rFonts w:hint="default" w:eastAsia="仿宋_GB2312"/>
          <w:color w:val="000000"/>
          <w:sz w:val="32"/>
          <w:szCs w:val="32"/>
          <w:lang w:val="en-US" w:eastAsia="zh-CN"/>
        </w:rPr>
        <w:t>建筑业</w:t>
      </w:r>
      <w:r>
        <w:rPr>
          <w:rFonts w:hint="default" w:eastAsia="仿宋_GB2312"/>
          <w:color w:val="000000"/>
          <w:sz w:val="32"/>
          <w:szCs w:val="32"/>
        </w:rPr>
        <w:t>，科学研究和技术服务业</w:t>
      </w:r>
      <w:r>
        <w:rPr>
          <w:rFonts w:hint="default" w:eastAsia="仿宋_GB2312"/>
          <w:color w:val="000000"/>
          <w:sz w:val="32"/>
          <w:szCs w:val="32"/>
          <w:lang w:eastAsia="zh-CN"/>
        </w:rPr>
        <w:t>，</w:t>
      </w:r>
      <w:r>
        <w:rPr>
          <w:rFonts w:hint="default" w:eastAsia="仿宋_GB2312"/>
          <w:color w:val="000000"/>
          <w:sz w:val="32"/>
          <w:szCs w:val="32"/>
        </w:rPr>
        <w:t>交通运输、仓储和邮政业</w:t>
      </w:r>
      <w:r>
        <w:rPr>
          <w:rFonts w:hint="default" w:eastAsia="仿宋_GB2312"/>
          <w:color w:val="000000"/>
          <w:sz w:val="32"/>
          <w:szCs w:val="32"/>
          <w:lang w:eastAsia="zh-CN"/>
        </w:rPr>
        <w:t>，</w:t>
      </w:r>
      <w:r>
        <w:rPr>
          <w:rFonts w:hint="default" w:eastAsia="仿宋_GB2312"/>
          <w:color w:val="000000"/>
          <w:sz w:val="32"/>
          <w:szCs w:val="32"/>
        </w:rPr>
        <w:t>电力、热力、燃气及水生产和供应业</w:t>
      </w:r>
      <w:r>
        <w:rPr>
          <w:rFonts w:hint="eastAsia" w:eastAsia="仿宋_GB2312"/>
          <w:color w:val="000000"/>
          <w:sz w:val="32"/>
          <w:szCs w:val="32"/>
          <w:lang w:eastAsia="zh-CN"/>
        </w:rPr>
        <w:t>，水利、环境和公共设施管理业</w:t>
      </w:r>
      <w:r>
        <w:rPr>
          <w:rFonts w:eastAsia="仿宋_GB2312"/>
          <w:color w:val="000000"/>
          <w:sz w:val="32"/>
          <w:szCs w:val="32"/>
        </w:rPr>
        <w:t>的在岗人数也有一定规模</w:t>
      </w:r>
      <w:r>
        <w:rPr>
          <w:rFonts w:hint="default" w:eastAsia="仿宋_GB2312"/>
          <w:color w:val="000000"/>
          <w:sz w:val="32"/>
          <w:szCs w:val="32"/>
        </w:rPr>
        <w:t>；</w:t>
      </w:r>
      <w:r>
        <w:rPr>
          <w:rFonts w:eastAsia="仿宋_GB2312"/>
          <w:color w:val="000000"/>
          <w:sz w:val="32"/>
          <w:szCs w:val="32"/>
        </w:rPr>
        <w:t>其他行业的在岗人数较少（见表</w:t>
      </w:r>
      <w:r>
        <w:rPr>
          <w:rFonts w:hint="eastAsia" w:eastAsia="仿宋_GB2312"/>
          <w:color w:val="000000"/>
          <w:sz w:val="32"/>
          <w:szCs w:val="32"/>
          <w:lang w:eastAsia="zh-CN"/>
        </w:rPr>
        <w:t>2</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2</w:t>
      </w:r>
      <w:r>
        <w:rPr>
          <w:rFonts w:hint="eastAsia" w:eastAsia="宋体"/>
        </w:rPr>
        <w:t>：</w:t>
      </w:r>
      <w:r>
        <w:rPr>
          <w:rFonts w:hint="eastAsia" w:eastAsia="宋体"/>
          <w:lang w:eastAsia="zh-CN"/>
        </w:rPr>
        <w:t>2023年</w:t>
      </w:r>
      <w:r>
        <w:rPr>
          <w:rFonts w:eastAsia="宋体"/>
        </w:rPr>
        <w:t>样本企业分行业在岗人数</w:t>
      </w:r>
      <w:r>
        <w:rPr>
          <w:rFonts w:hint="eastAsia" w:eastAsia="宋体"/>
        </w:rPr>
        <w:t>及</w:t>
      </w:r>
      <w:r>
        <w:rPr>
          <w:rFonts w:eastAsia="宋体"/>
        </w:rPr>
        <w:t>占比情况</w:t>
      </w:r>
    </w:p>
    <w:p>
      <w:pPr>
        <w:jc w:val="right"/>
        <w:rPr>
          <w:b/>
          <w:sz w:val="24"/>
        </w:rPr>
      </w:pPr>
      <w:r>
        <w:rPr>
          <w:rFonts w:hint="eastAsia"/>
          <w:b/>
          <w:sz w:val="24"/>
        </w:rPr>
        <w:t>单位：人、%</w:t>
      </w:r>
    </w:p>
    <w:tbl>
      <w:tblPr>
        <w:tblStyle w:val="13"/>
        <w:tblW w:w="10020"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852"/>
        <w:gridCol w:w="771"/>
        <w:gridCol w:w="771"/>
        <w:gridCol w:w="771"/>
        <w:gridCol w:w="771"/>
        <w:gridCol w:w="771"/>
        <w:gridCol w:w="771"/>
        <w:gridCol w:w="771"/>
        <w:gridCol w:w="771"/>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38" w:hRule="atLeast"/>
          <w:tblHeader/>
          <w:jc w:val="center"/>
        </w:trPr>
        <w:tc>
          <w:tcPr>
            <w:tcW w:w="3852" w:type="dxa"/>
            <w:tcBorders>
              <w:top w:val="single" w:color="auto" w:sz="4" w:space="0"/>
              <w:bottom w:val="single" w:color="4BACC6" w:sz="4" w:space="0"/>
              <w:right w:val="single" w:color="auto" w:sz="4" w:space="0"/>
              <w:tl2br w:val="nil"/>
            </w:tcBorders>
            <w:shd w:val="clear" w:color="auto" w:fill="93CEDD"/>
            <w:noWrap w:val="0"/>
            <w:vAlign w:val="center"/>
          </w:tcPr>
          <w:p>
            <w:pPr>
              <w:jc w:val="center"/>
              <w:rPr>
                <w:b/>
                <w:bCs/>
                <w:color w:val="000000"/>
              </w:rPr>
            </w:pPr>
            <w:r>
              <w:rPr>
                <w:b/>
                <w:bCs/>
                <w:color w:val="000000"/>
              </w:rPr>
              <w:t>行业</w:t>
            </w:r>
          </w:p>
        </w:tc>
        <w:tc>
          <w:tcPr>
            <w:tcW w:w="1542" w:type="dxa"/>
            <w:gridSpan w:val="2"/>
            <w:tcBorders>
              <w:top w:val="single" w:color="auto" w:sz="4" w:space="0"/>
              <w:left w:val="single" w:color="auto" w:sz="4" w:space="0"/>
              <w:bottom w:val="single" w:color="4BACC6" w:sz="4" w:space="0"/>
              <w:right w:val="single" w:color="auto" w:sz="4" w:space="0"/>
            </w:tcBorders>
            <w:shd w:val="clear" w:color="auto" w:fill="93CEDD"/>
            <w:noWrap w:val="0"/>
            <w:vAlign w:val="center"/>
          </w:tcPr>
          <w:p>
            <w:pPr>
              <w:jc w:val="center"/>
              <w:rPr>
                <w:b/>
                <w:bCs/>
                <w:color w:val="000000"/>
              </w:rPr>
            </w:pPr>
            <w:r>
              <w:rPr>
                <w:rFonts w:hint="default"/>
                <w:b/>
                <w:bCs/>
                <w:color w:val="000000"/>
              </w:rPr>
              <w:t>1季度</w:t>
            </w:r>
          </w:p>
        </w:tc>
        <w:tc>
          <w:tcPr>
            <w:tcW w:w="1542" w:type="dxa"/>
            <w:gridSpan w:val="2"/>
            <w:tcBorders>
              <w:top w:val="single" w:color="auto" w:sz="4" w:space="0"/>
              <w:left w:val="single" w:color="auto" w:sz="4" w:space="0"/>
              <w:bottom w:val="single" w:color="4BACC6" w:sz="4" w:space="0"/>
              <w:right w:val="single" w:color="auto" w:sz="4" w:space="0"/>
            </w:tcBorders>
            <w:shd w:val="clear" w:color="auto" w:fill="93CEDD"/>
            <w:noWrap w:val="0"/>
            <w:vAlign w:val="center"/>
          </w:tcPr>
          <w:p>
            <w:pPr>
              <w:jc w:val="center"/>
              <w:rPr>
                <w:b/>
                <w:bCs/>
                <w:color w:val="000000"/>
              </w:rPr>
            </w:pPr>
            <w:r>
              <w:rPr>
                <w:rFonts w:hint="default"/>
                <w:b/>
                <w:bCs/>
                <w:color w:val="000000"/>
              </w:rPr>
              <w:t>2季度</w:t>
            </w:r>
          </w:p>
        </w:tc>
        <w:tc>
          <w:tcPr>
            <w:tcW w:w="1542" w:type="dxa"/>
            <w:gridSpan w:val="2"/>
            <w:tcBorders>
              <w:top w:val="single" w:color="auto" w:sz="4" w:space="0"/>
              <w:left w:val="single" w:color="auto" w:sz="4" w:space="0"/>
              <w:bottom w:val="single" w:color="4BACC6" w:sz="4" w:space="0"/>
              <w:right w:val="single" w:color="auto" w:sz="4" w:space="0"/>
            </w:tcBorders>
            <w:shd w:val="clear" w:color="auto" w:fill="93CEDD"/>
            <w:noWrap w:val="0"/>
            <w:vAlign w:val="center"/>
          </w:tcPr>
          <w:p>
            <w:pPr>
              <w:jc w:val="center"/>
              <w:rPr>
                <w:b/>
                <w:bCs/>
                <w:color w:val="000000"/>
              </w:rPr>
            </w:pPr>
            <w:r>
              <w:rPr>
                <w:rFonts w:hint="default"/>
                <w:b/>
                <w:bCs/>
                <w:color w:val="000000"/>
              </w:rPr>
              <w:t>3季度</w:t>
            </w:r>
          </w:p>
        </w:tc>
        <w:tc>
          <w:tcPr>
            <w:tcW w:w="1542" w:type="dxa"/>
            <w:gridSpan w:val="2"/>
            <w:tcBorders>
              <w:top w:val="single" w:color="auto" w:sz="4" w:space="0"/>
              <w:left w:val="single" w:color="auto" w:sz="4" w:space="0"/>
              <w:bottom w:val="single" w:color="4BACC6" w:sz="4" w:space="0"/>
            </w:tcBorders>
            <w:shd w:val="clear" w:color="auto" w:fill="93CEDD"/>
            <w:noWrap w:val="0"/>
            <w:vAlign w:val="center"/>
          </w:tcPr>
          <w:p>
            <w:pPr>
              <w:jc w:val="center"/>
              <w:rPr>
                <w:b/>
                <w:bCs/>
                <w:color w:val="000000"/>
              </w:rPr>
            </w:pPr>
            <w:r>
              <w:rPr>
                <w:rFonts w:hint="default"/>
                <w:b/>
                <w:bCs/>
                <w:color w:val="000000"/>
              </w:rPr>
              <w:t>4季度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18315</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65.7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18229</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67.2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18576</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69.0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18440</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69.4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0.8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0.8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1959</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7.3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1951</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2520</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9.0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2481</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9.2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1881</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1707</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2019</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7.2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1437</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5.3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1493</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5.5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1388</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5.2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2846</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10.2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2773</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10.2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1078</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4.0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1072</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601</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2.2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610</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2.3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595</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2.2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655</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2.5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667</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2.4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667</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2.5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575</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545</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0.8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220</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0.8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218</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0.8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0.8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0.8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0.3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0.4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0.4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0.2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0.3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0.4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0.2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0.2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0.2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0.2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0.2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0.2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0.2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77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771" w:type="dxa"/>
            <w:noWrap w:val="0"/>
            <w:vAlign w:val="bottom"/>
          </w:tcPr>
          <w:p>
            <w:pPr>
              <w:widowControl/>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27864</w:t>
            </w:r>
          </w:p>
        </w:tc>
        <w:tc>
          <w:tcPr>
            <w:tcW w:w="771" w:type="dxa"/>
            <w:noWrap w:val="0"/>
            <w:vAlign w:val="bottom"/>
          </w:tcPr>
          <w:p>
            <w:pPr>
              <w:widowControl/>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c>
          <w:tcPr>
            <w:tcW w:w="771" w:type="dxa"/>
            <w:noWrap w:val="0"/>
            <w:vAlign w:val="bottom"/>
          </w:tcPr>
          <w:p>
            <w:pPr>
              <w:widowControl/>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27073</w:t>
            </w:r>
          </w:p>
        </w:tc>
        <w:tc>
          <w:tcPr>
            <w:tcW w:w="771" w:type="dxa"/>
            <w:noWrap w:val="0"/>
            <w:vAlign w:val="bottom"/>
          </w:tcPr>
          <w:p>
            <w:pPr>
              <w:widowControl/>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c>
          <w:tcPr>
            <w:tcW w:w="771" w:type="dxa"/>
            <w:noWrap w:val="0"/>
            <w:vAlign w:val="bottom"/>
          </w:tcPr>
          <w:p>
            <w:pPr>
              <w:widowControl/>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26924</w:t>
            </w:r>
          </w:p>
        </w:tc>
        <w:tc>
          <w:tcPr>
            <w:tcW w:w="771" w:type="dxa"/>
            <w:noWrap w:val="0"/>
            <w:vAlign w:val="bottom"/>
          </w:tcPr>
          <w:p>
            <w:pPr>
              <w:widowControl/>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c>
          <w:tcPr>
            <w:tcW w:w="771" w:type="dxa"/>
            <w:noWrap w:val="0"/>
            <w:vAlign w:val="bottom"/>
          </w:tcPr>
          <w:p>
            <w:pPr>
              <w:widowControl/>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26519</w:t>
            </w:r>
          </w:p>
        </w:tc>
        <w:tc>
          <w:tcPr>
            <w:tcW w:w="771" w:type="dxa"/>
            <w:noWrap w:val="0"/>
            <w:vAlign w:val="bottom"/>
          </w:tcPr>
          <w:p>
            <w:pPr>
              <w:widowControl/>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r>
    </w:tbl>
    <w:p>
      <w:pPr>
        <w:pStyle w:val="42"/>
        <w:numPr>
          <w:ilvl w:val="0"/>
          <w:numId w:val="0"/>
        </w:numPr>
        <w:rPr>
          <w:rFonts w:hint="eastAsia" w:eastAsia="宋体"/>
        </w:rPr>
      </w:pPr>
    </w:p>
    <w:p>
      <w:pPr>
        <w:ind w:firstLine="643" w:firstLineChars="200"/>
        <w:rPr>
          <w:rFonts w:eastAsia="仿宋"/>
          <w:b/>
          <w:sz w:val="32"/>
          <w:szCs w:val="32"/>
        </w:rPr>
      </w:pPr>
      <w:bookmarkStart w:id="3" w:name="_Toc28012139"/>
      <w:r>
        <w:rPr>
          <w:rFonts w:hint="eastAsia" w:eastAsia="仿宋"/>
          <w:b/>
          <w:sz w:val="32"/>
          <w:szCs w:val="32"/>
          <w:lang w:val="en-US" w:eastAsia="zh-CN"/>
        </w:rPr>
        <w:t>2</w:t>
      </w:r>
      <w:r>
        <w:rPr>
          <w:rFonts w:eastAsia="仿宋"/>
          <w:b/>
          <w:sz w:val="32"/>
          <w:szCs w:val="32"/>
        </w:rPr>
        <w:t>.各类岗位在岗职工人数</w:t>
      </w:r>
      <w:bookmarkEnd w:id="3"/>
    </w:p>
    <w:p>
      <w:pPr>
        <w:ind w:firstLine="643" w:firstLineChars="200"/>
        <w:rPr>
          <w:rFonts w:eastAsia="仿宋"/>
          <w:sz w:val="32"/>
          <w:szCs w:val="32"/>
        </w:rPr>
      </w:pPr>
      <w:r>
        <w:rPr>
          <w:rFonts w:eastAsia="仿宋"/>
          <w:b/>
          <w:sz w:val="32"/>
          <w:szCs w:val="32"/>
        </w:rPr>
        <w:t>普工在岗职工人数最多，占比最高。</w:t>
      </w:r>
      <w:r>
        <w:rPr>
          <w:rFonts w:hint="default" w:eastAsia="仿宋_GB2312"/>
          <w:bCs w:val="0"/>
          <w:color w:val="000000"/>
          <w:sz w:val="32"/>
          <w:szCs w:val="32"/>
          <w:lang w:eastAsia="zh-CN"/>
        </w:rPr>
        <w:t>2023年</w:t>
      </w:r>
      <w:r>
        <w:rPr>
          <w:rFonts w:hint="default" w:eastAsia="仿宋_GB2312"/>
          <w:color w:val="000000"/>
          <w:sz w:val="32"/>
          <w:szCs w:val="32"/>
        </w:rPr>
        <w:t>样本企业中，</w:t>
      </w:r>
      <w:r>
        <w:rPr>
          <w:rFonts w:eastAsia="仿宋_GB2312"/>
          <w:color w:val="000000"/>
          <w:sz w:val="32"/>
          <w:szCs w:val="32"/>
        </w:rPr>
        <w:t>分工种来看，普工的</w:t>
      </w:r>
      <w:r>
        <w:rPr>
          <w:rFonts w:hint="eastAsia" w:eastAsia="仿宋_GB2312"/>
          <w:color w:val="000000"/>
          <w:sz w:val="32"/>
          <w:szCs w:val="32"/>
          <w:lang w:val="en-US" w:eastAsia="zh-CN"/>
        </w:rPr>
        <w:t>季度平均</w:t>
      </w:r>
      <w:r>
        <w:rPr>
          <w:rFonts w:eastAsia="仿宋_GB2312"/>
          <w:color w:val="000000"/>
          <w:sz w:val="32"/>
          <w:szCs w:val="32"/>
        </w:rPr>
        <w:t>在岗职工人数最多，</w:t>
      </w:r>
      <w:r>
        <w:rPr>
          <w:rFonts w:hint="default" w:eastAsia="仿宋_GB2312"/>
          <w:color w:val="000000"/>
          <w:sz w:val="32"/>
          <w:szCs w:val="32"/>
        </w:rPr>
        <w:t>约</w:t>
      </w:r>
      <w:r>
        <w:rPr>
          <w:rFonts w:hint="default" w:eastAsia="仿宋_GB2312"/>
          <w:color w:val="000000"/>
          <w:sz w:val="32"/>
          <w:szCs w:val="32"/>
          <w:lang w:val="en-US" w:eastAsia="zh-CN"/>
        </w:rPr>
        <w:t>1.6</w:t>
      </w:r>
      <w:r>
        <w:rPr>
          <w:rFonts w:eastAsia="仿宋_GB2312"/>
          <w:color w:val="000000"/>
          <w:sz w:val="32"/>
          <w:szCs w:val="32"/>
        </w:rPr>
        <w:t>万人，</w:t>
      </w:r>
      <w:r>
        <w:rPr>
          <w:rFonts w:hint="eastAsia" w:eastAsia="仿宋_GB2312"/>
          <w:color w:val="000000"/>
          <w:sz w:val="32"/>
          <w:szCs w:val="32"/>
          <w:lang w:val="en-US" w:eastAsia="zh-CN"/>
        </w:rPr>
        <w:t>约</w:t>
      </w:r>
      <w:r>
        <w:rPr>
          <w:rFonts w:hint="default" w:eastAsia="仿宋_GB2312"/>
          <w:color w:val="000000"/>
          <w:sz w:val="32"/>
          <w:szCs w:val="32"/>
          <w:lang w:val="en-US" w:eastAsia="zh-CN"/>
        </w:rPr>
        <w:t>占58</w:t>
      </w:r>
      <w:r>
        <w:rPr>
          <w:rFonts w:hint="default" w:eastAsia="仿宋_GB2312"/>
          <w:color w:val="000000"/>
          <w:sz w:val="32"/>
          <w:szCs w:val="32"/>
        </w:rPr>
        <w:t>%；</w:t>
      </w:r>
      <w:r>
        <w:rPr>
          <w:rFonts w:eastAsia="仿宋_GB2312"/>
          <w:color w:val="000000"/>
          <w:sz w:val="32"/>
          <w:szCs w:val="32"/>
        </w:rPr>
        <w:t>管理及其他人员</w:t>
      </w:r>
      <w:r>
        <w:rPr>
          <w:rFonts w:hint="eastAsia" w:eastAsia="仿宋_GB2312"/>
          <w:color w:val="000000"/>
          <w:sz w:val="32"/>
          <w:szCs w:val="32"/>
          <w:lang w:eastAsia="zh-CN"/>
        </w:rPr>
        <w:t>、</w:t>
      </w:r>
      <w:r>
        <w:rPr>
          <w:rFonts w:eastAsia="仿宋_GB2312"/>
          <w:color w:val="000000"/>
          <w:sz w:val="32"/>
          <w:szCs w:val="32"/>
        </w:rPr>
        <w:t>专业技术人员</w:t>
      </w:r>
      <w:r>
        <w:rPr>
          <w:rFonts w:hint="eastAsia" w:eastAsia="仿宋_GB2312"/>
          <w:color w:val="000000"/>
          <w:sz w:val="32"/>
          <w:szCs w:val="32"/>
        </w:rPr>
        <w:t>季度平均</w:t>
      </w:r>
      <w:r>
        <w:rPr>
          <w:rFonts w:eastAsia="仿宋_GB2312"/>
          <w:color w:val="000000"/>
          <w:sz w:val="32"/>
          <w:szCs w:val="32"/>
        </w:rPr>
        <w:t>在岗职工</w:t>
      </w:r>
      <w:r>
        <w:rPr>
          <w:rFonts w:hint="default" w:eastAsia="仿宋_GB2312"/>
          <w:color w:val="000000"/>
          <w:sz w:val="32"/>
          <w:szCs w:val="32"/>
        </w:rPr>
        <w:t>人数</w:t>
      </w:r>
      <w:r>
        <w:rPr>
          <w:rFonts w:hint="eastAsia" w:eastAsia="仿宋_GB2312"/>
          <w:color w:val="000000"/>
          <w:sz w:val="32"/>
          <w:szCs w:val="32"/>
          <w:lang w:val="en-US" w:eastAsia="zh-CN"/>
        </w:rPr>
        <w:t>均约</w:t>
      </w:r>
      <w:r>
        <w:rPr>
          <w:rFonts w:hint="default" w:eastAsia="仿宋_GB2312"/>
          <w:color w:val="000000"/>
          <w:sz w:val="32"/>
          <w:szCs w:val="32"/>
          <w:lang w:val="en-US" w:eastAsia="zh-CN"/>
        </w:rPr>
        <w:t>4</w:t>
      </w:r>
      <w:r>
        <w:rPr>
          <w:rFonts w:hint="default" w:eastAsia="仿宋_GB2312"/>
          <w:color w:val="000000"/>
          <w:sz w:val="32"/>
          <w:szCs w:val="32"/>
        </w:rPr>
        <w:t>000</w:t>
      </w:r>
      <w:r>
        <w:rPr>
          <w:rFonts w:eastAsia="仿宋_GB2312"/>
          <w:color w:val="000000"/>
          <w:sz w:val="32"/>
          <w:szCs w:val="32"/>
        </w:rPr>
        <w:t>人，</w:t>
      </w:r>
      <w:r>
        <w:rPr>
          <w:rFonts w:hint="default" w:eastAsia="仿宋_GB2312"/>
          <w:color w:val="000000"/>
          <w:sz w:val="32"/>
          <w:szCs w:val="32"/>
          <w:lang w:val="en-US" w:eastAsia="zh-CN"/>
        </w:rPr>
        <w:t>约占16</w:t>
      </w:r>
      <w:r>
        <w:rPr>
          <w:rFonts w:eastAsia="仿宋_GB2312"/>
          <w:color w:val="000000"/>
          <w:sz w:val="32"/>
          <w:szCs w:val="32"/>
        </w:rPr>
        <w:t>%</w:t>
      </w:r>
      <w:r>
        <w:rPr>
          <w:rFonts w:hint="eastAsia" w:eastAsia="仿宋_GB2312"/>
          <w:color w:val="000000"/>
          <w:sz w:val="32"/>
          <w:szCs w:val="32"/>
          <w:lang w:val="en-US" w:eastAsia="zh-CN"/>
        </w:rPr>
        <w:t>；技工季度平均在岗职工人数约2400人，约占8.9%</w:t>
      </w:r>
      <w:r>
        <w:rPr>
          <w:rFonts w:eastAsia="仿宋_GB2312"/>
          <w:color w:val="000000"/>
          <w:sz w:val="32"/>
          <w:szCs w:val="32"/>
        </w:rPr>
        <w:t>（见表</w:t>
      </w:r>
      <w:r>
        <w:rPr>
          <w:rFonts w:hint="eastAsia" w:eastAsia="仿宋_GB2312"/>
          <w:color w:val="000000"/>
          <w:sz w:val="32"/>
          <w:szCs w:val="32"/>
          <w:lang w:eastAsia="zh-CN"/>
        </w:rPr>
        <w:t>3</w:t>
      </w:r>
      <w:r>
        <w:rPr>
          <w:rFonts w:eastAsia="仿宋_GB2312"/>
          <w:color w:val="000000"/>
          <w:sz w:val="32"/>
          <w:szCs w:val="32"/>
        </w:rPr>
        <w:t>）。</w:t>
      </w:r>
    </w:p>
    <w:p>
      <w:pPr>
        <w:pStyle w:val="39"/>
        <w:numPr>
          <w:ilvl w:val="0"/>
          <w:numId w:val="0"/>
        </w:numPr>
        <w:rPr>
          <w:rFonts w:eastAsia="宋体"/>
        </w:rPr>
      </w:pPr>
      <w:r>
        <w:rPr>
          <w:rFonts w:hint="eastAsia" w:eastAsia="宋体"/>
        </w:rPr>
        <w:t>表</w:t>
      </w:r>
      <w:r>
        <w:rPr>
          <w:rFonts w:hint="eastAsia" w:eastAsia="宋体"/>
          <w:lang w:val="en-US" w:eastAsia="zh-CN"/>
        </w:rPr>
        <w:t>3</w:t>
      </w:r>
      <w:r>
        <w:rPr>
          <w:rFonts w:hint="eastAsia" w:eastAsia="宋体"/>
        </w:rPr>
        <w:t>：</w:t>
      </w:r>
      <w:r>
        <w:rPr>
          <w:rFonts w:hint="eastAsia" w:eastAsia="宋体"/>
          <w:lang w:eastAsia="zh-CN"/>
        </w:rPr>
        <w:t>2023年</w:t>
      </w:r>
      <w:r>
        <w:rPr>
          <w:rFonts w:eastAsia="宋体"/>
        </w:rPr>
        <w:t>样本企业分工种在岗人数及</w:t>
      </w:r>
      <w:r>
        <w:rPr>
          <w:rFonts w:hint="eastAsia" w:eastAsia="宋体"/>
        </w:rPr>
        <w:t>占比情况</w:t>
      </w:r>
    </w:p>
    <w:p>
      <w:pPr>
        <w:jc w:val="right"/>
        <w:rPr>
          <w:b/>
          <w:sz w:val="24"/>
        </w:rPr>
      </w:pPr>
      <w:r>
        <w:rPr>
          <w:b/>
          <w:sz w:val="24"/>
        </w:rPr>
        <w:t>单位：人、%</w:t>
      </w:r>
    </w:p>
    <w:tbl>
      <w:tblPr>
        <w:tblStyle w:val="13"/>
        <w:tblW w:w="9735" w:type="dxa"/>
        <w:tblInd w:w="-89"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815"/>
        <w:gridCol w:w="990"/>
        <w:gridCol w:w="990"/>
        <w:gridCol w:w="990"/>
        <w:gridCol w:w="990"/>
        <w:gridCol w:w="990"/>
        <w:gridCol w:w="990"/>
        <w:gridCol w:w="990"/>
        <w:gridCol w:w="990"/>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blHeader/>
        </w:trPr>
        <w:tc>
          <w:tcPr>
            <w:tcW w:w="1815" w:type="dxa"/>
            <w:vMerge w:val="restart"/>
            <w:tcBorders>
              <w:top w:val="single" w:color="auto" w:sz="4" w:space="0"/>
              <w:bottom w:val="single" w:color="auto" w:sz="4" w:space="0"/>
              <w:right w:val="single" w:color="auto" w:sz="4" w:space="0"/>
              <w:tl2br w:val="nil"/>
            </w:tcBorders>
            <w:shd w:val="clear" w:color="auto" w:fill="93CEDD"/>
            <w:noWrap w:val="0"/>
            <w:vAlign w:val="center"/>
          </w:tcPr>
          <w:p>
            <w:pPr>
              <w:widowControl/>
              <w:jc w:val="center"/>
              <w:rPr>
                <w:b/>
                <w:bCs/>
                <w:color w:val="000000"/>
                <w:kern w:val="0"/>
                <w:szCs w:val="21"/>
              </w:rPr>
            </w:pPr>
            <w:r>
              <w:rPr>
                <w:b/>
                <w:bCs/>
                <w:color w:val="000000"/>
                <w:kern w:val="0"/>
                <w:szCs w:val="21"/>
              </w:rPr>
              <w:t>工种分类</w:t>
            </w:r>
          </w:p>
        </w:tc>
        <w:tc>
          <w:tcPr>
            <w:tcW w:w="1980" w:type="dxa"/>
            <w:gridSpan w:val="2"/>
            <w:tcBorders>
              <w:top w:val="single" w:color="auto" w:sz="4" w:space="0"/>
              <w:left w:val="single" w:color="auto" w:sz="4" w:space="0"/>
              <w:bottom w:val="single" w:color="auto" w:sz="4" w:space="0"/>
              <w:right w:val="single" w:color="auto" w:sz="4" w:space="0"/>
            </w:tcBorders>
            <w:shd w:val="clear" w:color="auto" w:fill="93CEDD"/>
            <w:noWrap w:val="0"/>
            <w:vAlign w:val="center"/>
          </w:tcPr>
          <w:p>
            <w:pPr>
              <w:widowControl/>
              <w:jc w:val="center"/>
              <w:rPr>
                <w:b/>
                <w:bCs/>
                <w:color w:val="000000"/>
                <w:kern w:val="0"/>
                <w:szCs w:val="21"/>
              </w:rPr>
            </w:pPr>
            <w:r>
              <w:rPr>
                <w:b/>
                <w:bCs/>
                <w:color w:val="000000"/>
                <w:kern w:val="0"/>
                <w:szCs w:val="21"/>
              </w:rPr>
              <w:t>1季度</w:t>
            </w:r>
          </w:p>
        </w:tc>
        <w:tc>
          <w:tcPr>
            <w:tcW w:w="1980" w:type="dxa"/>
            <w:gridSpan w:val="2"/>
            <w:tcBorders>
              <w:top w:val="single" w:color="auto" w:sz="4" w:space="0"/>
              <w:left w:val="single" w:color="auto" w:sz="4" w:space="0"/>
              <w:bottom w:val="single" w:color="auto" w:sz="4" w:space="0"/>
              <w:right w:val="single" w:color="auto" w:sz="4" w:space="0"/>
            </w:tcBorders>
            <w:shd w:val="clear" w:color="auto" w:fill="93CEDD"/>
            <w:noWrap w:val="0"/>
            <w:vAlign w:val="center"/>
          </w:tcPr>
          <w:p>
            <w:pPr>
              <w:widowControl/>
              <w:jc w:val="center"/>
              <w:rPr>
                <w:b/>
                <w:bCs/>
                <w:color w:val="000000"/>
                <w:kern w:val="0"/>
                <w:szCs w:val="21"/>
              </w:rPr>
            </w:pPr>
            <w:r>
              <w:rPr>
                <w:b/>
                <w:bCs/>
                <w:color w:val="000000"/>
                <w:kern w:val="0"/>
                <w:szCs w:val="21"/>
              </w:rPr>
              <w:t>2季度</w:t>
            </w:r>
          </w:p>
        </w:tc>
        <w:tc>
          <w:tcPr>
            <w:tcW w:w="1980" w:type="dxa"/>
            <w:gridSpan w:val="2"/>
            <w:tcBorders>
              <w:top w:val="single" w:color="auto" w:sz="4" w:space="0"/>
              <w:left w:val="single" w:color="auto" w:sz="4" w:space="0"/>
              <w:bottom w:val="single" w:color="auto" w:sz="4" w:space="0"/>
              <w:right w:val="single" w:color="auto" w:sz="4" w:space="0"/>
            </w:tcBorders>
            <w:shd w:val="clear" w:color="auto" w:fill="93CEDD"/>
            <w:noWrap w:val="0"/>
            <w:vAlign w:val="center"/>
          </w:tcPr>
          <w:p>
            <w:pPr>
              <w:widowControl/>
              <w:jc w:val="center"/>
              <w:rPr>
                <w:b/>
                <w:bCs/>
                <w:color w:val="000000"/>
                <w:kern w:val="0"/>
                <w:szCs w:val="21"/>
              </w:rPr>
            </w:pPr>
            <w:r>
              <w:rPr>
                <w:b/>
                <w:bCs/>
                <w:color w:val="000000"/>
                <w:kern w:val="0"/>
                <w:szCs w:val="21"/>
              </w:rPr>
              <w:t>3季度</w:t>
            </w:r>
          </w:p>
        </w:tc>
        <w:tc>
          <w:tcPr>
            <w:tcW w:w="1980" w:type="dxa"/>
            <w:gridSpan w:val="2"/>
            <w:tcBorders>
              <w:top w:val="single" w:color="auto" w:sz="4" w:space="0"/>
              <w:left w:val="single" w:color="auto" w:sz="4" w:space="0"/>
              <w:bottom w:val="single" w:color="auto" w:sz="4" w:space="0"/>
            </w:tcBorders>
            <w:shd w:val="clear" w:color="auto" w:fill="93CEDD"/>
            <w:noWrap w:val="0"/>
            <w:vAlign w:val="center"/>
          </w:tcPr>
          <w:p>
            <w:pPr>
              <w:widowControl/>
              <w:jc w:val="center"/>
              <w:rPr>
                <w:b/>
                <w:bCs/>
                <w:color w:val="000000"/>
                <w:kern w:val="0"/>
                <w:szCs w:val="21"/>
              </w:rPr>
            </w:pPr>
            <w:r>
              <w:rPr>
                <w:b/>
                <w:bCs/>
                <w:color w:val="000000"/>
                <w:kern w:val="0"/>
                <w:szCs w:val="21"/>
              </w:rPr>
              <w:t>4季度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blHeader/>
        </w:trPr>
        <w:tc>
          <w:tcPr>
            <w:tcW w:w="1815" w:type="dxa"/>
            <w:vMerge w:val="continue"/>
            <w:tcBorders>
              <w:top w:val="single" w:color="auto" w:sz="4" w:space="0"/>
              <w:bottom w:val="nil"/>
              <w:right w:val="single" w:color="auto" w:sz="4" w:space="0"/>
            </w:tcBorders>
            <w:shd w:val="clear" w:color="auto" w:fill="FFFFFF"/>
            <w:noWrap w:val="0"/>
            <w:vAlign w:val="center"/>
          </w:tcPr>
          <w:p>
            <w:pPr>
              <w:widowControl/>
              <w:jc w:val="center"/>
              <w:rPr>
                <w:b w:val="0"/>
                <w:bCs/>
                <w:color w:val="000000"/>
                <w:kern w:val="0"/>
                <w:szCs w:val="21"/>
              </w:rPr>
            </w:pPr>
          </w:p>
        </w:tc>
        <w:tc>
          <w:tcPr>
            <w:tcW w:w="990" w:type="dxa"/>
            <w:tcBorders>
              <w:top w:val="single" w:color="auto" w:sz="4" w:space="0"/>
              <w:left w:val="single" w:color="auto" w:sz="4" w:space="0"/>
              <w:bottom w:val="nil"/>
              <w:right w:val="single" w:color="auto" w:sz="4" w:space="0"/>
            </w:tcBorders>
            <w:shd w:val="clear" w:color="auto" w:fill="92CDDC" w:themeFill="accent5" w:themeFillTint="99"/>
            <w:noWrap w:val="0"/>
            <w:vAlign w:val="center"/>
          </w:tcPr>
          <w:p>
            <w:pPr>
              <w:widowControl/>
              <w:jc w:val="center"/>
              <w:rPr>
                <w:b w:val="0"/>
                <w:bCs/>
                <w:color w:val="000000"/>
                <w:kern w:val="0"/>
                <w:szCs w:val="21"/>
              </w:rPr>
            </w:pPr>
            <w:r>
              <w:rPr>
                <w:b w:val="0"/>
                <w:bCs/>
                <w:color w:val="000000"/>
                <w:kern w:val="0"/>
                <w:szCs w:val="21"/>
              </w:rPr>
              <w:t>人数</w:t>
            </w:r>
          </w:p>
        </w:tc>
        <w:tc>
          <w:tcPr>
            <w:tcW w:w="990" w:type="dxa"/>
            <w:tcBorders>
              <w:top w:val="single" w:color="auto" w:sz="4" w:space="0"/>
              <w:left w:val="single" w:color="auto" w:sz="4" w:space="0"/>
              <w:bottom w:val="nil"/>
              <w:right w:val="single" w:color="auto" w:sz="4" w:space="0"/>
            </w:tcBorders>
            <w:shd w:val="clear" w:color="auto" w:fill="92CDDC" w:themeFill="accent5" w:themeFillTint="99"/>
            <w:noWrap w:val="0"/>
            <w:vAlign w:val="center"/>
          </w:tcPr>
          <w:p>
            <w:pPr>
              <w:widowControl/>
              <w:jc w:val="center"/>
              <w:rPr>
                <w:b w:val="0"/>
                <w:bCs/>
                <w:color w:val="000000"/>
                <w:kern w:val="0"/>
                <w:szCs w:val="21"/>
              </w:rPr>
            </w:pPr>
            <w:r>
              <w:rPr>
                <w:b w:val="0"/>
                <w:bCs/>
                <w:color w:val="000000"/>
                <w:kern w:val="0"/>
                <w:szCs w:val="21"/>
              </w:rPr>
              <w:t>百分比</w:t>
            </w:r>
          </w:p>
        </w:tc>
        <w:tc>
          <w:tcPr>
            <w:tcW w:w="990" w:type="dxa"/>
            <w:tcBorders>
              <w:top w:val="single" w:color="auto" w:sz="4" w:space="0"/>
              <w:left w:val="single" w:color="auto" w:sz="4" w:space="0"/>
              <w:bottom w:val="nil"/>
              <w:right w:val="single" w:color="auto" w:sz="4" w:space="0"/>
            </w:tcBorders>
            <w:shd w:val="clear" w:color="auto" w:fill="92CDDC" w:themeFill="accent5" w:themeFillTint="99"/>
            <w:noWrap w:val="0"/>
            <w:vAlign w:val="center"/>
          </w:tcPr>
          <w:p>
            <w:pPr>
              <w:widowControl/>
              <w:jc w:val="center"/>
              <w:rPr>
                <w:b w:val="0"/>
                <w:bCs/>
                <w:color w:val="000000"/>
                <w:kern w:val="0"/>
                <w:szCs w:val="21"/>
              </w:rPr>
            </w:pPr>
            <w:r>
              <w:rPr>
                <w:b w:val="0"/>
                <w:bCs/>
                <w:color w:val="000000"/>
                <w:kern w:val="0"/>
                <w:szCs w:val="21"/>
              </w:rPr>
              <w:t>人数</w:t>
            </w:r>
          </w:p>
        </w:tc>
        <w:tc>
          <w:tcPr>
            <w:tcW w:w="990" w:type="dxa"/>
            <w:tcBorders>
              <w:top w:val="single" w:color="auto" w:sz="4" w:space="0"/>
              <w:left w:val="single" w:color="auto" w:sz="4" w:space="0"/>
              <w:bottom w:val="nil"/>
              <w:right w:val="single" w:color="auto" w:sz="4" w:space="0"/>
            </w:tcBorders>
            <w:shd w:val="clear" w:color="auto" w:fill="92CDDC" w:themeFill="accent5" w:themeFillTint="99"/>
            <w:noWrap w:val="0"/>
            <w:vAlign w:val="center"/>
          </w:tcPr>
          <w:p>
            <w:pPr>
              <w:widowControl/>
              <w:jc w:val="center"/>
              <w:rPr>
                <w:b w:val="0"/>
                <w:bCs/>
                <w:color w:val="000000"/>
                <w:kern w:val="0"/>
                <w:szCs w:val="21"/>
              </w:rPr>
            </w:pPr>
            <w:r>
              <w:rPr>
                <w:b w:val="0"/>
                <w:bCs/>
                <w:color w:val="000000"/>
                <w:kern w:val="0"/>
                <w:szCs w:val="21"/>
              </w:rPr>
              <w:t>百分比</w:t>
            </w:r>
          </w:p>
        </w:tc>
        <w:tc>
          <w:tcPr>
            <w:tcW w:w="990" w:type="dxa"/>
            <w:tcBorders>
              <w:top w:val="single" w:color="auto" w:sz="4" w:space="0"/>
              <w:left w:val="single" w:color="auto" w:sz="4" w:space="0"/>
              <w:bottom w:val="nil"/>
              <w:right w:val="single" w:color="auto" w:sz="4" w:space="0"/>
            </w:tcBorders>
            <w:shd w:val="clear" w:color="auto" w:fill="92CDDC" w:themeFill="accent5" w:themeFillTint="99"/>
            <w:noWrap w:val="0"/>
            <w:vAlign w:val="center"/>
          </w:tcPr>
          <w:p>
            <w:pPr>
              <w:widowControl/>
              <w:jc w:val="center"/>
              <w:rPr>
                <w:b w:val="0"/>
                <w:bCs/>
                <w:color w:val="000000"/>
                <w:kern w:val="0"/>
                <w:szCs w:val="21"/>
              </w:rPr>
            </w:pPr>
            <w:r>
              <w:rPr>
                <w:b w:val="0"/>
                <w:bCs/>
                <w:color w:val="000000"/>
                <w:kern w:val="0"/>
                <w:szCs w:val="21"/>
              </w:rPr>
              <w:t>人数</w:t>
            </w:r>
          </w:p>
        </w:tc>
        <w:tc>
          <w:tcPr>
            <w:tcW w:w="990" w:type="dxa"/>
            <w:tcBorders>
              <w:top w:val="single" w:color="auto" w:sz="4" w:space="0"/>
              <w:left w:val="single" w:color="auto" w:sz="4" w:space="0"/>
              <w:bottom w:val="nil"/>
              <w:right w:val="single" w:color="auto" w:sz="4" w:space="0"/>
            </w:tcBorders>
            <w:shd w:val="clear" w:color="auto" w:fill="92CDDC" w:themeFill="accent5" w:themeFillTint="99"/>
            <w:noWrap w:val="0"/>
            <w:vAlign w:val="center"/>
          </w:tcPr>
          <w:p>
            <w:pPr>
              <w:widowControl/>
              <w:jc w:val="center"/>
              <w:rPr>
                <w:b w:val="0"/>
                <w:bCs/>
                <w:color w:val="000000"/>
                <w:kern w:val="0"/>
                <w:szCs w:val="21"/>
              </w:rPr>
            </w:pPr>
            <w:r>
              <w:rPr>
                <w:b w:val="0"/>
                <w:bCs/>
                <w:color w:val="000000"/>
                <w:kern w:val="0"/>
                <w:szCs w:val="21"/>
              </w:rPr>
              <w:t>百分比</w:t>
            </w:r>
          </w:p>
        </w:tc>
        <w:tc>
          <w:tcPr>
            <w:tcW w:w="990" w:type="dxa"/>
            <w:tcBorders>
              <w:top w:val="single" w:color="auto" w:sz="4" w:space="0"/>
              <w:left w:val="single" w:color="auto" w:sz="4" w:space="0"/>
              <w:bottom w:val="nil"/>
              <w:right w:val="single" w:color="auto" w:sz="4" w:space="0"/>
            </w:tcBorders>
            <w:shd w:val="clear" w:color="auto" w:fill="92CDDC" w:themeFill="accent5" w:themeFillTint="99"/>
            <w:noWrap w:val="0"/>
            <w:vAlign w:val="center"/>
          </w:tcPr>
          <w:p>
            <w:pPr>
              <w:widowControl/>
              <w:jc w:val="center"/>
              <w:rPr>
                <w:b w:val="0"/>
                <w:bCs/>
                <w:color w:val="000000"/>
                <w:kern w:val="0"/>
                <w:szCs w:val="21"/>
              </w:rPr>
            </w:pPr>
            <w:r>
              <w:rPr>
                <w:b w:val="0"/>
                <w:bCs/>
                <w:color w:val="000000"/>
                <w:kern w:val="0"/>
                <w:szCs w:val="21"/>
              </w:rPr>
              <w:t>人数</w:t>
            </w:r>
          </w:p>
        </w:tc>
        <w:tc>
          <w:tcPr>
            <w:tcW w:w="990" w:type="dxa"/>
            <w:tcBorders>
              <w:top w:val="single" w:color="auto" w:sz="4" w:space="0"/>
              <w:left w:val="single" w:color="auto" w:sz="4" w:space="0"/>
              <w:bottom w:val="nil"/>
            </w:tcBorders>
            <w:shd w:val="clear" w:color="auto" w:fill="92CDDC" w:themeFill="accent5" w:themeFillTint="99"/>
            <w:noWrap w:val="0"/>
            <w:vAlign w:val="center"/>
          </w:tcPr>
          <w:p>
            <w:pPr>
              <w:widowControl/>
              <w:jc w:val="center"/>
              <w:rPr>
                <w:b w:val="0"/>
                <w:bCs/>
                <w:color w:val="000000"/>
                <w:kern w:val="0"/>
                <w:szCs w:val="21"/>
              </w:rPr>
            </w:pPr>
            <w:r>
              <w:rPr>
                <w:b w:val="0"/>
                <w:bCs/>
                <w:color w:val="000000"/>
                <w:kern w:val="0"/>
                <w:szCs w:val="21"/>
              </w:rPr>
              <w:t>百分比</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15" w:type="dxa"/>
            <w:noWrap w:val="0"/>
            <w:vAlign w:val="center"/>
          </w:tcPr>
          <w:p>
            <w:pPr>
              <w:widowControl/>
              <w:jc w:val="center"/>
              <w:textAlignment w:val="center"/>
              <w:rPr>
                <w:color w:val="000000"/>
                <w:szCs w:val="21"/>
              </w:rPr>
            </w:pPr>
            <w:bookmarkStart w:id="4" w:name="RANGE!A5"/>
            <w:r>
              <w:rPr>
                <w:rFonts w:hint="default" w:ascii="Times New Roman" w:hAnsi="Times New Roman" w:eastAsia="宋体" w:cs="Times New Roman"/>
                <w:i w:val="0"/>
                <w:iCs w:val="0"/>
                <w:color w:val="000000"/>
                <w:kern w:val="0"/>
                <w:sz w:val="21"/>
                <w:szCs w:val="21"/>
                <w:u w:val="none"/>
                <w:lang w:val="en-US" w:eastAsia="zh-CN" w:bidi="ar"/>
              </w:rPr>
              <w:t>普工</w:t>
            </w:r>
            <w:bookmarkEnd w:id="4"/>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16035</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57.6 </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15654</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57.8 </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15553</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57.8 </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15401</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58.0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15"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技工</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2487</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8.9 </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2380</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8.8 </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2387</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8.9 </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2351</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8.9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15"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专业技术人员</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4912</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17.6 </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4673</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17.3 </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3942</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14.6 </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3817</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14.4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15"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管理及其他人员</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4430</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15.9 </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4366</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16.1 </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5042</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18.7 </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4950</w:t>
            </w:r>
          </w:p>
        </w:tc>
        <w:tc>
          <w:tcPr>
            <w:tcW w:w="990"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18.7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15"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990"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27864</w:t>
            </w:r>
          </w:p>
        </w:tc>
        <w:tc>
          <w:tcPr>
            <w:tcW w:w="990"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990"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27073</w:t>
            </w:r>
          </w:p>
        </w:tc>
        <w:tc>
          <w:tcPr>
            <w:tcW w:w="990"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990"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26924</w:t>
            </w:r>
          </w:p>
        </w:tc>
        <w:tc>
          <w:tcPr>
            <w:tcW w:w="990"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990"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26519</w:t>
            </w:r>
          </w:p>
        </w:tc>
        <w:tc>
          <w:tcPr>
            <w:tcW w:w="990"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r>
    </w:tbl>
    <w:p>
      <w:pPr>
        <w:ind w:firstLine="643" w:firstLineChars="200"/>
        <w:rPr>
          <w:rFonts w:hint="eastAsia" w:eastAsia="仿宋"/>
          <w:b/>
          <w:sz w:val="32"/>
          <w:szCs w:val="32"/>
        </w:rPr>
      </w:pPr>
      <w:bookmarkStart w:id="5" w:name="_Toc28012140"/>
    </w:p>
    <w:p>
      <w:pPr>
        <w:ind w:firstLine="643" w:firstLineChars="200"/>
        <w:rPr>
          <w:rFonts w:eastAsia="仿宋"/>
          <w:b/>
          <w:sz w:val="32"/>
          <w:szCs w:val="32"/>
        </w:rPr>
      </w:pPr>
      <w:r>
        <w:rPr>
          <w:rFonts w:hint="eastAsia" w:eastAsia="仿宋"/>
          <w:b/>
          <w:sz w:val="32"/>
          <w:szCs w:val="32"/>
          <w:lang w:val="en-US" w:eastAsia="zh-CN"/>
        </w:rPr>
        <w:t>3</w:t>
      </w:r>
      <w:r>
        <w:rPr>
          <w:rFonts w:eastAsia="仿宋"/>
          <w:b/>
          <w:sz w:val="32"/>
          <w:szCs w:val="32"/>
        </w:rPr>
        <w:t>.分行业分岗位人员情况</w:t>
      </w:r>
      <w:bookmarkEnd w:id="5"/>
    </w:p>
    <w:p>
      <w:pPr>
        <w:spacing w:line="240" w:lineRule="auto"/>
        <w:ind w:firstLine="640" w:firstLineChars="200"/>
        <w:rPr>
          <w:rFonts w:eastAsia="仿宋_GB2312"/>
          <w:bCs w:val="0"/>
          <w:color w:val="000000"/>
          <w:sz w:val="32"/>
          <w:szCs w:val="32"/>
        </w:rPr>
      </w:pPr>
      <w:r>
        <w:rPr>
          <w:rFonts w:eastAsia="仿宋_GB2312"/>
          <w:bCs w:val="0"/>
          <w:color w:val="000000"/>
          <w:kern w:val="2"/>
          <w:sz w:val="32"/>
          <w:szCs w:val="32"/>
        </w:rPr>
        <w:t>分行业分岗位看，</w:t>
      </w:r>
      <w:r>
        <w:rPr>
          <w:rFonts w:hint="default" w:eastAsia="仿宋_GB2312"/>
          <w:bCs w:val="0"/>
          <w:color w:val="000000"/>
          <w:sz w:val="32"/>
          <w:szCs w:val="32"/>
        </w:rPr>
        <w:t>文化、体育和娱乐业，</w:t>
      </w:r>
      <w:r>
        <w:rPr>
          <w:rFonts w:eastAsia="仿宋_GB2312"/>
          <w:bCs w:val="0"/>
          <w:color w:val="000000"/>
          <w:sz w:val="32"/>
          <w:szCs w:val="32"/>
        </w:rPr>
        <w:t>居民服务、修理和其他服务业，</w:t>
      </w:r>
      <w:r>
        <w:rPr>
          <w:rFonts w:hint="default" w:eastAsia="仿宋_GB2312"/>
          <w:bCs w:val="0"/>
          <w:color w:val="000000"/>
          <w:sz w:val="32"/>
          <w:szCs w:val="32"/>
        </w:rPr>
        <w:t>水利、环境和公共设施管理业</w:t>
      </w:r>
      <w:r>
        <w:rPr>
          <w:rFonts w:eastAsia="仿宋_GB2312"/>
          <w:bCs w:val="0"/>
          <w:color w:val="000000"/>
          <w:sz w:val="32"/>
          <w:szCs w:val="32"/>
        </w:rPr>
        <w:t>等</w:t>
      </w:r>
      <w:r>
        <w:rPr>
          <w:rFonts w:hint="default" w:eastAsia="仿宋_GB2312"/>
          <w:bCs w:val="0"/>
          <w:color w:val="000000"/>
          <w:sz w:val="32"/>
          <w:szCs w:val="32"/>
        </w:rPr>
        <w:t>3</w:t>
      </w:r>
      <w:r>
        <w:rPr>
          <w:rFonts w:eastAsia="仿宋_GB2312"/>
          <w:bCs w:val="0"/>
          <w:color w:val="000000"/>
          <w:sz w:val="32"/>
          <w:szCs w:val="32"/>
        </w:rPr>
        <w:t>个行业中</w:t>
      </w:r>
      <w:r>
        <w:rPr>
          <w:rFonts w:hint="default" w:eastAsia="仿宋_GB2312"/>
          <w:bCs w:val="0"/>
          <w:color w:val="000000"/>
          <w:sz w:val="32"/>
          <w:szCs w:val="32"/>
        </w:rPr>
        <w:t>的</w:t>
      </w:r>
      <w:r>
        <w:rPr>
          <w:rFonts w:eastAsia="仿宋_GB2312"/>
          <w:bCs w:val="0"/>
          <w:color w:val="000000"/>
          <w:sz w:val="32"/>
          <w:szCs w:val="32"/>
        </w:rPr>
        <w:t>普工占比均</w:t>
      </w:r>
      <w:r>
        <w:rPr>
          <w:rFonts w:hint="default" w:eastAsia="仿宋_GB2312"/>
          <w:bCs w:val="0"/>
          <w:color w:val="000000"/>
          <w:sz w:val="32"/>
          <w:szCs w:val="32"/>
        </w:rPr>
        <w:t>超过80%；电力、热力、燃气及水生产和供应业</w:t>
      </w:r>
      <w:r>
        <w:rPr>
          <w:rFonts w:hint="default" w:eastAsia="仿宋_GB2312"/>
          <w:bCs w:val="0"/>
          <w:color w:val="000000"/>
          <w:sz w:val="32"/>
          <w:szCs w:val="32"/>
          <w:lang w:eastAsia="zh-CN"/>
        </w:rPr>
        <w:t>、</w:t>
      </w:r>
      <w:r>
        <w:rPr>
          <w:rFonts w:hint="default" w:eastAsia="仿宋_GB2312"/>
          <w:bCs w:val="0"/>
          <w:color w:val="000000"/>
          <w:sz w:val="32"/>
          <w:szCs w:val="32"/>
        </w:rPr>
        <w:t>制造业</w:t>
      </w:r>
      <w:r>
        <w:rPr>
          <w:rFonts w:hint="default" w:eastAsia="仿宋_GB2312"/>
          <w:bCs w:val="0"/>
          <w:color w:val="000000"/>
          <w:sz w:val="32"/>
          <w:szCs w:val="32"/>
          <w:lang w:eastAsia="zh-CN"/>
        </w:rPr>
        <w:t>、</w:t>
      </w:r>
      <w:r>
        <w:rPr>
          <w:rFonts w:hint="default" w:eastAsia="仿宋_GB2312"/>
          <w:bCs w:val="0"/>
          <w:color w:val="000000"/>
          <w:sz w:val="32"/>
          <w:szCs w:val="32"/>
        </w:rPr>
        <w:t>批发和零售业</w:t>
      </w:r>
      <w:r>
        <w:rPr>
          <w:rFonts w:hint="default" w:eastAsia="仿宋_GB2312"/>
          <w:bCs w:val="0"/>
          <w:color w:val="000000"/>
          <w:sz w:val="32"/>
          <w:szCs w:val="32"/>
          <w:lang w:eastAsia="zh-CN"/>
        </w:rPr>
        <w:t>、</w:t>
      </w:r>
      <w:r>
        <w:rPr>
          <w:rFonts w:hint="default" w:eastAsia="仿宋_GB2312"/>
          <w:bCs w:val="0"/>
          <w:color w:val="000000"/>
          <w:sz w:val="32"/>
          <w:szCs w:val="32"/>
        </w:rPr>
        <w:t>信息传输、软件和信息技术服务业等4个行业</w:t>
      </w:r>
      <w:r>
        <w:rPr>
          <w:rFonts w:eastAsia="仿宋_GB2312"/>
          <w:bCs w:val="0"/>
          <w:color w:val="000000"/>
          <w:sz w:val="32"/>
          <w:szCs w:val="32"/>
        </w:rPr>
        <w:t>中</w:t>
      </w:r>
      <w:r>
        <w:rPr>
          <w:rFonts w:hint="default" w:eastAsia="仿宋_GB2312"/>
          <w:bCs w:val="0"/>
          <w:color w:val="000000"/>
          <w:sz w:val="32"/>
          <w:szCs w:val="32"/>
        </w:rPr>
        <w:t>的</w:t>
      </w:r>
      <w:r>
        <w:rPr>
          <w:rFonts w:eastAsia="仿宋_GB2312"/>
          <w:bCs w:val="0"/>
          <w:color w:val="000000"/>
          <w:sz w:val="32"/>
          <w:szCs w:val="32"/>
        </w:rPr>
        <w:t>技工占比</w:t>
      </w:r>
      <w:r>
        <w:rPr>
          <w:rFonts w:hint="default" w:eastAsia="仿宋_GB2312"/>
          <w:bCs w:val="0"/>
          <w:color w:val="000000"/>
          <w:sz w:val="32"/>
          <w:szCs w:val="32"/>
        </w:rPr>
        <w:t>均超过10</w:t>
      </w:r>
      <w:r>
        <w:rPr>
          <w:rFonts w:eastAsia="仿宋_GB2312"/>
          <w:bCs w:val="0"/>
          <w:color w:val="000000"/>
          <w:sz w:val="32"/>
          <w:szCs w:val="32"/>
        </w:rPr>
        <w:t>%</w:t>
      </w:r>
      <w:r>
        <w:rPr>
          <w:rFonts w:hint="default" w:eastAsia="仿宋_GB2312"/>
          <w:bCs w:val="0"/>
          <w:color w:val="000000"/>
          <w:sz w:val="32"/>
          <w:szCs w:val="32"/>
        </w:rPr>
        <w:t>；</w:t>
      </w:r>
      <w:r>
        <w:rPr>
          <w:rFonts w:hint="default" w:eastAsia="仿宋_GB2312"/>
          <w:color w:val="000000"/>
          <w:sz w:val="32"/>
          <w:szCs w:val="32"/>
        </w:rPr>
        <w:t>农、林、牧、渔业，信息传输、软件和信息技术服务业</w:t>
      </w:r>
      <w:r>
        <w:rPr>
          <w:rFonts w:hint="default" w:eastAsia="仿宋_GB2312"/>
          <w:color w:val="000000"/>
          <w:sz w:val="32"/>
          <w:szCs w:val="32"/>
          <w:lang w:eastAsia="zh-CN"/>
        </w:rPr>
        <w:t>，</w:t>
      </w:r>
      <w:r>
        <w:rPr>
          <w:rFonts w:hint="default" w:eastAsia="仿宋_GB2312"/>
          <w:color w:val="000000"/>
          <w:sz w:val="32"/>
          <w:szCs w:val="32"/>
        </w:rPr>
        <w:t>卫生和社会工作</w:t>
      </w:r>
      <w:r>
        <w:rPr>
          <w:rFonts w:eastAsia="仿宋_GB2312"/>
          <w:color w:val="000000"/>
          <w:sz w:val="32"/>
          <w:szCs w:val="32"/>
        </w:rPr>
        <w:t>等</w:t>
      </w:r>
      <w:r>
        <w:rPr>
          <w:rFonts w:hint="default" w:eastAsia="仿宋_GB2312"/>
          <w:color w:val="000000"/>
          <w:sz w:val="32"/>
          <w:szCs w:val="32"/>
        </w:rPr>
        <w:t>3</w:t>
      </w:r>
      <w:r>
        <w:rPr>
          <w:rFonts w:eastAsia="仿宋_GB2312"/>
          <w:color w:val="000000"/>
          <w:sz w:val="32"/>
          <w:szCs w:val="32"/>
        </w:rPr>
        <w:t>个行业中的专业技术人员占比超过了</w:t>
      </w:r>
      <w:r>
        <w:rPr>
          <w:rFonts w:hint="default" w:eastAsia="仿宋_GB2312"/>
          <w:color w:val="000000"/>
          <w:sz w:val="32"/>
          <w:szCs w:val="32"/>
        </w:rPr>
        <w:t>4</w:t>
      </w:r>
      <w:r>
        <w:rPr>
          <w:rFonts w:eastAsia="仿宋_GB2312"/>
          <w:color w:val="000000"/>
          <w:sz w:val="32"/>
          <w:szCs w:val="32"/>
        </w:rPr>
        <w:t>0%</w:t>
      </w:r>
      <w:r>
        <w:rPr>
          <w:rFonts w:hint="default" w:eastAsia="仿宋_GB2312"/>
          <w:color w:val="000000"/>
          <w:sz w:val="32"/>
          <w:szCs w:val="32"/>
        </w:rPr>
        <w:t>；建筑业</w:t>
      </w:r>
      <w:r>
        <w:rPr>
          <w:rFonts w:hint="default" w:eastAsia="仿宋_GB2312"/>
          <w:color w:val="000000"/>
          <w:sz w:val="32"/>
          <w:szCs w:val="32"/>
          <w:lang w:eastAsia="zh-CN"/>
        </w:rPr>
        <w:t>，农、林、牧、渔业，</w:t>
      </w:r>
      <w:r>
        <w:rPr>
          <w:rFonts w:hint="default" w:eastAsia="仿宋_GB2312"/>
          <w:color w:val="000000"/>
          <w:sz w:val="32"/>
          <w:szCs w:val="32"/>
        </w:rPr>
        <w:t>卫生和社会工作等4个行业中</w:t>
      </w:r>
      <w:r>
        <w:rPr>
          <w:rFonts w:eastAsia="仿宋_GB2312"/>
          <w:color w:val="000000"/>
          <w:sz w:val="32"/>
          <w:szCs w:val="32"/>
        </w:rPr>
        <w:t>的管理人员及其他人员的</w:t>
      </w:r>
      <w:r>
        <w:rPr>
          <w:rFonts w:hint="default" w:eastAsia="仿宋_GB2312"/>
          <w:color w:val="000000"/>
          <w:sz w:val="32"/>
          <w:szCs w:val="32"/>
        </w:rPr>
        <w:t>占比</w:t>
      </w:r>
      <w:r>
        <w:rPr>
          <w:rFonts w:eastAsia="仿宋_GB2312"/>
          <w:color w:val="000000"/>
          <w:sz w:val="32"/>
          <w:szCs w:val="32"/>
        </w:rPr>
        <w:t>超过了30%（见表</w:t>
      </w:r>
      <w:r>
        <w:rPr>
          <w:rFonts w:hint="eastAsia" w:eastAsia="仿宋_GB2312"/>
          <w:color w:val="000000"/>
          <w:sz w:val="32"/>
          <w:szCs w:val="32"/>
          <w:lang w:eastAsia="zh-CN"/>
        </w:rPr>
        <w:t>4</w:t>
      </w:r>
      <w:r>
        <w:rPr>
          <w:rFonts w:eastAsia="仿宋_GB2312"/>
          <w:color w:val="000000"/>
          <w:sz w:val="32"/>
          <w:szCs w:val="32"/>
        </w:rPr>
        <w:t>）。</w:t>
      </w:r>
    </w:p>
    <w:p>
      <w:pPr>
        <w:pStyle w:val="39"/>
        <w:numPr>
          <w:ilvl w:val="0"/>
          <w:numId w:val="0"/>
        </w:numPr>
        <w:rPr>
          <w:rFonts w:eastAsia="宋体"/>
        </w:rPr>
      </w:pPr>
      <w:r>
        <w:rPr>
          <w:rFonts w:hint="eastAsia" w:eastAsia="宋体"/>
        </w:rPr>
        <w:t>表</w:t>
      </w:r>
      <w:r>
        <w:rPr>
          <w:rFonts w:hint="eastAsia" w:eastAsia="宋体"/>
          <w:lang w:val="en-US" w:eastAsia="zh-CN"/>
        </w:rPr>
        <w:t>4</w:t>
      </w:r>
      <w:r>
        <w:rPr>
          <w:rFonts w:hint="eastAsia" w:eastAsia="宋体"/>
        </w:rPr>
        <w:t>：</w:t>
      </w:r>
      <w:r>
        <w:rPr>
          <w:rFonts w:hint="eastAsia" w:eastAsia="宋体"/>
          <w:lang w:eastAsia="zh-CN"/>
        </w:rPr>
        <w:t>2023年</w:t>
      </w:r>
      <w:r>
        <w:rPr>
          <w:rFonts w:eastAsia="宋体"/>
        </w:rPr>
        <w:t>样本企业分行业员工岗位结构（全年平均）</w:t>
      </w:r>
    </w:p>
    <w:p>
      <w:pPr>
        <w:jc w:val="right"/>
        <w:rPr>
          <w:b/>
          <w:sz w:val="24"/>
        </w:rPr>
      </w:pPr>
      <w:r>
        <w:rPr>
          <w:b/>
          <w:sz w:val="24"/>
        </w:rPr>
        <w:t>单位：%</w:t>
      </w:r>
    </w:p>
    <w:tbl>
      <w:tblPr>
        <w:tblStyle w:val="13"/>
        <w:tblW w:w="10517"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890"/>
        <w:gridCol w:w="1296"/>
        <w:gridCol w:w="1296"/>
        <w:gridCol w:w="1296"/>
        <w:gridCol w:w="1338"/>
        <w:gridCol w:w="1401"/>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780" w:hRule="atLeast"/>
          <w:tblHeader/>
          <w:jc w:val="center"/>
        </w:trPr>
        <w:tc>
          <w:tcPr>
            <w:tcW w:w="3890" w:type="dxa"/>
            <w:shd w:val="clear" w:color="auto" w:fill="92CDDC" w:themeFill="accent5" w:themeFillTint="99"/>
            <w:noWrap w:val="0"/>
            <w:vAlign w:val="center"/>
          </w:tcPr>
          <w:p>
            <w:pPr>
              <w:widowControl/>
              <w:spacing w:line="240" w:lineRule="exact"/>
              <w:jc w:val="center"/>
              <w:rPr>
                <w:b/>
                <w:bCs/>
                <w:color w:val="000000"/>
                <w:kern w:val="0"/>
              </w:rPr>
            </w:pPr>
            <w:r>
              <w:rPr>
                <w:b/>
                <w:bCs/>
                <w:color w:val="000000"/>
                <w:kern w:val="0"/>
              </w:rPr>
              <w:t>行业</w:t>
            </w:r>
          </w:p>
        </w:tc>
        <w:tc>
          <w:tcPr>
            <w:tcW w:w="1296" w:type="dxa"/>
            <w:shd w:val="clear" w:color="auto" w:fill="92CDDC" w:themeFill="accent5" w:themeFillTint="99"/>
            <w:noWrap w:val="0"/>
            <w:vAlign w:val="center"/>
          </w:tcPr>
          <w:p>
            <w:pPr>
              <w:widowControl/>
              <w:spacing w:line="240" w:lineRule="exact"/>
              <w:jc w:val="center"/>
              <w:rPr>
                <w:b/>
                <w:bCs/>
                <w:color w:val="000000"/>
                <w:kern w:val="0"/>
                <w:szCs w:val="21"/>
              </w:rPr>
            </w:pPr>
            <w:r>
              <w:rPr>
                <w:b/>
                <w:bCs/>
                <w:color w:val="000000"/>
                <w:kern w:val="0"/>
                <w:szCs w:val="21"/>
              </w:rPr>
              <w:t>普工</w:t>
            </w:r>
          </w:p>
        </w:tc>
        <w:tc>
          <w:tcPr>
            <w:tcW w:w="1296" w:type="dxa"/>
            <w:shd w:val="clear" w:color="auto" w:fill="92CDDC" w:themeFill="accent5" w:themeFillTint="99"/>
            <w:noWrap w:val="0"/>
            <w:vAlign w:val="center"/>
          </w:tcPr>
          <w:p>
            <w:pPr>
              <w:widowControl/>
              <w:spacing w:line="240" w:lineRule="exact"/>
              <w:jc w:val="center"/>
              <w:rPr>
                <w:b/>
                <w:bCs/>
                <w:color w:val="000000"/>
                <w:kern w:val="0"/>
                <w:szCs w:val="21"/>
              </w:rPr>
            </w:pPr>
            <w:r>
              <w:rPr>
                <w:b/>
                <w:bCs/>
                <w:color w:val="000000"/>
                <w:kern w:val="0"/>
                <w:szCs w:val="21"/>
              </w:rPr>
              <w:t>技工</w:t>
            </w:r>
          </w:p>
        </w:tc>
        <w:tc>
          <w:tcPr>
            <w:tcW w:w="1296" w:type="dxa"/>
            <w:shd w:val="clear" w:color="auto" w:fill="92CDDC" w:themeFill="accent5" w:themeFillTint="99"/>
            <w:noWrap w:val="0"/>
            <w:vAlign w:val="center"/>
          </w:tcPr>
          <w:p>
            <w:pPr>
              <w:widowControl/>
              <w:spacing w:line="240" w:lineRule="exact"/>
              <w:jc w:val="center"/>
              <w:rPr>
                <w:b/>
                <w:bCs/>
                <w:color w:val="000000"/>
                <w:kern w:val="0"/>
                <w:szCs w:val="21"/>
              </w:rPr>
            </w:pPr>
            <w:r>
              <w:rPr>
                <w:b/>
                <w:bCs/>
                <w:color w:val="000000"/>
                <w:kern w:val="0"/>
                <w:szCs w:val="21"/>
              </w:rPr>
              <w:t>专业技术人员</w:t>
            </w:r>
          </w:p>
        </w:tc>
        <w:tc>
          <w:tcPr>
            <w:tcW w:w="1338" w:type="dxa"/>
            <w:shd w:val="clear" w:color="auto" w:fill="92CDDC" w:themeFill="accent5" w:themeFillTint="99"/>
            <w:noWrap w:val="0"/>
            <w:vAlign w:val="center"/>
          </w:tcPr>
          <w:p>
            <w:pPr>
              <w:widowControl/>
              <w:spacing w:line="240" w:lineRule="exact"/>
              <w:jc w:val="center"/>
              <w:rPr>
                <w:b/>
                <w:bCs/>
                <w:color w:val="000000"/>
                <w:kern w:val="0"/>
                <w:szCs w:val="21"/>
              </w:rPr>
            </w:pPr>
            <w:r>
              <w:rPr>
                <w:b/>
                <w:bCs/>
                <w:color w:val="000000"/>
                <w:kern w:val="0"/>
                <w:szCs w:val="21"/>
              </w:rPr>
              <w:t>管理人员及其他人员</w:t>
            </w:r>
          </w:p>
        </w:tc>
        <w:tc>
          <w:tcPr>
            <w:tcW w:w="1401" w:type="dxa"/>
            <w:shd w:val="clear" w:color="auto" w:fill="92CDDC" w:themeFill="accent5" w:themeFillTint="99"/>
            <w:noWrap w:val="0"/>
            <w:vAlign w:val="center"/>
          </w:tcPr>
          <w:p>
            <w:pPr>
              <w:widowControl/>
              <w:spacing w:line="240" w:lineRule="exact"/>
              <w:jc w:val="center"/>
              <w:rPr>
                <w:b/>
                <w:bCs/>
                <w:color w:val="000000"/>
                <w:kern w:val="0"/>
                <w:szCs w:val="21"/>
              </w:rPr>
            </w:pPr>
            <w:r>
              <w:rPr>
                <w:b/>
                <w:bCs/>
                <w:color w:val="000000"/>
                <w:kern w:val="0"/>
                <w:szCs w:val="21"/>
              </w:rPr>
              <w:t>合计</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86.0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6.1 </w:t>
            </w:r>
          </w:p>
        </w:tc>
        <w:tc>
          <w:tcPr>
            <w:tcW w:w="1338"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7.9 </w:t>
            </w:r>
          </w:p>
        </w:tc>
        <w:tc>
          <w:tcPr>
            <w:tcW w:w="1401"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85.5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7.4 </w:t>
            </w:r>
          </w:p>
        </w:tc>
        <w:tc>
          <w:tcPr>
            <w:tcW w:w="1338"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7.1 </w:t>
            </w:r>
          </w:p>
        </w:tc>
        <w:tc>
          <w:tcPr>
            <w:tcW w:w="1401"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84.8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8.2 </w:t>
            </w:r>
          </w:p>
        </w:tc>
        <w:tc>
          <w:tcPr>
            <w:tcW w:w="1338"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401"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73.2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10.8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7.8 </w:t>
            </w:r>
          </w:p>
        </w:tc>
        <w:tc>
          <w:tcPr>
            <w:tcW w:w="1338"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8.2 </w:t>
            </w:r>
          </w:p>
        </w:tc>
        <w:tc>
          <w:tcPr>
            <w:tcW w:w="1401"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71.0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2.2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20.8 </w:t>
            </w:r>
          </w:p>
        </w:tc>
        <w:tc>
          <w:tcPr>
            <w:tcW w:w="1338"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6.0 </w:t>
            </w:r>
          </w:p>
        </w:tc>
        <w:tc>
          <w:tcPr>
            <w:tcW w:w="1401"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67.8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6.5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12.6 </w:t>
            </w:r>
          </w:p>
        </w:tc>
        <w:tc>
          <w:tcPr>
            <w:tcW w:w="1338"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13.1 </w:t>
            </w:r>
          </w:p>
        </w:tc>
        <w:tc>
          <w:tcPr>
            <w:tcW w:w="1401"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59.6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10.2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14.5 </w:t>
            </w:r>
          </w:p>
        </w:tc>
        <w:tc>
          <w:tcPr>
            <w:tcW w:w="1338"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15.7 </w:t>
            </w:r>
          </w:p>
        </w:tc>
        <w:tc>
          <w:tcPr>
            <w:tcW w:w="1401"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56.9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3.5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18.2 </w:t>
            </w:r>
          </w:p>
        </w:tc>
        <w:tc>
          <w:tcPr>
            <w:tcW w:w="1338"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21.4 </w:t>
            </w:r>
          </w:p>
        </w:tc>
        <w:tc>
          <w:tcPr>
            <w:tcW w:w="1401"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54.8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14.9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9.5 </w:t>
            </w:r>
          </w:p>
        </w:tc>
        <w:tc>
          <w:tcPr>
            <w:tcW w:w="1338"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20.8 </w:t>
            </w:r>
          </w:p>
        </w:tc>
        <w:tc>
          <w:tcPr>
            <w:tcW w:w="1401"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52.2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27.4 </w:t>
            </w:r>
          </w:p>
        </w:tc>
        <w:tc>
          <w:tcPr>
            <w:tcW w:w="1338"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20.4 </w:t>
            </w:r>
          </w:p>
        </w:tc>
        <w:tc>
          <w:tcPr>
            <w:tcW w:w="1401"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5.8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34.6 </w:t>
            </w:r>
          </w:p>
        </w:tc>
        <w:tc>
          <w:tcPr>
            <w:tcW w:w="1338"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9.9 </w:t>
            </w:r>
          </w:p>
        </w:tc>
        <w:tc>
          <w:tcPr>
            <w:tcW w:w="1401"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38.1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0.5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28.7 </w:t>
            </w:r>
          </w:p>
        </w:tc>
        <w:tc>
          <w:tcPr>
            <w:tcW w:w="1338"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32.7 </w:t>
            </w:r>
          </w:p>
        </w:tc>
        <w:tc>
          <w:tcPr>
            <w:tcW w:w="1401"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9.2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54.6 </w:t>
            </w:r>
          </w:p>
        </w:tc>
        <w:tc>
          <w:tcPr>
            <w:tcW w:w="1338"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30.5 </w:t>
            </w:r>
          </w:p>
        </w:tc>
        <w:tc>
          <w:tcPr>
            <w:tcW w:w="1401"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13.1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60.1 </w:t>
            </w:r>
          </w:p>
        </w:tc>
        <w:tc>
          <w:tcPr>
            <w:tcW w:w="1338"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26.8 </w:t>
            </w:r>
          </w:p>
        </w:tc>
        <w:tc>
          <w:tcPr>
            <w:tcW w:w="1401"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29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338"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01"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平均</w:t>
            </w:r>
          </w:p>
        </w:tc>
        <w:tc>
          <w:tcPr>
            <w:tcW w:w="1296"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57.7 </w:t>
            </w:r>
          </w:p>
        </w:tc>
        <w:tc>
          <w:tcPr>
            <w:tcW w:w="1296"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8.9 </w:t>
            </w:r>
          </w:p>
        </w:tc>
        <w:tc>
          <w:tcPr>
            <w:tcW w:w="1296"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16.0 </w:t>
            </w:r>
          </w:p>
        </w:tc>
        <w:tc>
          <w:tcPr>
            <w:tcW w:w="1338"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17.4 </w:t>
            </w:r>
          </w:p>
        </w:tc>
        <w:tc>
          <w:tcPr>
            <w:tcW w:w="1401" w:type="dxa"/>
            <w:noWrap w:val="0"/>
            <w:vAlign w:val="top"/>
          </w:tcPr>
          <w:p>
            <w:pPr>
              <w:jc w:val="center"/>
              <w:rPr>
                <w:b/>
                <w:bCs/>
              </w:rPr>
            </w:pPr>
            <w:r>
              <w:rPr>
                <w:rFonts w:hint="default"/>
                <w:b/>
                <w:bCs/>
              </w:rPr>
              <w:t>100.0</w:t>
            </w:r>
          </w:p>
        </w:tc>
      </w:tr>
    </w:tbl>
    <w:p>
      <w:pPr>
        <w:ind w:firstLine="0" w:firstLineChars="0"/>
        <w:rPr>
          <w:rFonts w:hint="eastAsia"/>
        </w:rPr>
      </w:pPr>
      <w:bookmarkStart w:id="6" w:name="_Toc28012141"/>
    </w:p>
    <w:p>
      <w:pPr>
        <w:ind w:firstLine="643" w:firstLineChars="200"/>
        <w:rPr>
          <w:rFonts w:eastAsia="仿宋"/>
          <w:b/>
          <w:sz w:val="32"/>
          <w:szCs w:val="32"/>
        </w:rPr>
      </w:pPr>
      <w:r>
        <w:rPr>
          <w:rFonts w:hint="eastAsia" w:eastAsia="仿宋"/>
          <w:b/>
          <w:sz w:val="32"/>
          <w:szCs w:val="32"/>
          <w:lang w:val="en-US" w:eastAsia="zh-CN"/>
        </w:rPr>
        <w:t>4</w:t>
      </w:r>
      <w:r>
        <w:rPr>
          <w:rFonts w:eastAsia="仿宋"/>
          <w:b/>
          <w:sz w:val="32"/>
          <w:szCs w:val="32"/>
        </w:rPr>
        <w:t>.员工的户籍情况</w:t>
      </w:r>
      <w:bookmarkEnd w:id="6"/>
    </w:p>
    <w:p>
      <w:pPr>
        <w:ind w:firstLine="803" w:firstLineChars="250"/>
        <w:rPr>
          <w:rFonts w:eastAsia="仿宋_GB2312"/>
          <w:color w:val="000000"/>
          <w:sz w:val="32"/>
          <w:szCs w:val="32"/>
        </w:rPr>
      </w:pPr>
      <w:r>
        <w:rPr>
          <w:rFonts w:hint="eastAsia" w:eastAsia="仿宋"/>
          <w:b/>
          <w:sz w:val="32"/>
          <w:szCs w:val="32"/>
        </w:rPr>
        <w:t>不同行业</w:t>
      </w:r>
      <w:r>
        <w:rPr>
          <w:rFonts w:eastAsia="仿宋"/>
          <w:b/>
          <w:sz w:val="32"/>
          <w:szCs w:val="32"/>
        </w:rPr>
        <w:t>企业</w:t>
      </w:r>
      <w:r>
        <w:rPr>
          <w:rFonts w:hint="eastAsia" w:eastAsia="仿宋"/>
          <w:b/>
          <w:sz w:val="32"/>
          <w:szCs w:val="32"/>
        </w:rPr>
        <w:t>中</w:t>
      </w:r>
      <w:r>
        <w:rPr>
          <w:rFonts w:eastAsia="仿宋"/>
          <w:b/>
          <w:sz w:val="32"/>
          <w:szCs w:val="32"/>
        </w:rPr>
        <w:t>员工主要</w:t>
      </w:r>
      <w:r>
        <w:rPr>
          <w:rFonts w:hint="eastAsia" w:eastAsia="仿宋"/>
          <w:b/>
          <w:sz w:val="32"/>
          <w:szCs w:val="32"/>
        </w:rPr>
        <w:t>为</w:t>
      </w:r>
      <w:r>
        <w:rPr>
          <w:rFonts w:eastAsia="仿宋"/>
          <w:b/>
          <w:sz w:val="32"/>
          <w:szCs w:val="32"/>
        </w:rPr>
        <w:t>本</w:t>
      </w:r>
      <w:r>
        <w:rPr>
          <w:rFonts w:hint="eastAsia" w:eastAsia="仿宋"/>
          <w:b/>
          <w:sz w:val="32"/>
          <w:szCs w:val="32"/>
          <w:lang w:val="en-US" w:eastAsia="zh-CN"/>
        </w:rPr>
        <w:t>省</w:t>
      </w:r>
      <w:r>
        <w:rPr>
          <w:rFonts w:eastAsia="仿宋"/>
          <w:b/>
          <w:sz w:val="32"/>
          <w:szCs w:val="32"/>
        </w:rPr>
        <w:t>户籍。</w:t>
      </w:r>
      <w:r>
        <w:rPr>
          <w:rFonts w:eastAsia="仿宋_GB2312"/>
          <w:color w:val="000000"/>
          <w:sz w:val="32"/>
          <w:szCs w:val="32"/>
        </w:rPr>
        <w:t>从户籍</w:t>
      </w:r>
      <w:r>
        <w:rPr>
          <w:rFonts w:hint="default" w:eastAsia="仿宋_GB2312"/>
          <w:color w:val="000000"/>
          <w:sz w:val="32"/>
          <w:szCs w:val="32"/>
        </w:rPr>
        <w:t>结构</w:t>
      </w:r>
      <w:r>
        <w:rPr>
          <w:rFonts w:eastAsia="仿宋_GB2312"/>
          <w:color w:val="000000"/>
          <w:sz w:val="32"/>
          <w:szCs w:val="32"/>
        </w:rPr>
        <w:t>来看，</w:t>
      </w:r>
      <w:r>
        <w:rPr>
          <w:rFonts w:hint="default" w:eastAsia="仿宋_GB2312"/>
          <w:color w:val="000000"/>
          <w:sz w:val="32"/>
          <w:szCs w:val="32"/>
          <w:lang w:eastAsia="zh-CN"/>
        </w:rPr>
        <w:t>2023年</w:t>
      </w:r>
      <w:r>
        <w:rPr>
          <w:rFonts w:hint="default" w:eastAsia="仿宋_GB2312"/>
          <w:color w:val="000000"/>
          <w:sz w:val="32"/>
          <w:szCs w:val="32"/>
        </w:rPr>
        <w:t>样本企业中，</w:t>
      </w:r>
      <w:r>
        <w:rPr>
          <w:rFonts w:eastAsia="仿宋_GB2312"/>
          <w:color w:val="000000"/>
          <w:sz w:val="32"/>
          <w:szCs w:val="32"/>
        </w:rPr>
        <w:t>进入</w:t>
      </w:r>
      <w:r>
        <w:rPr>
          <w:rFonts w:hint="default" w:eastAsia="仿宋_GB2312"/>
          <w:color w:val="000000"/>
          <w:sz w:val="32"/>
          <w:szCs w:val="32"/>
        </w:rPr>
        <w:t>从化</w:t>
      </w:r>
      <w:r>
        <w:rPr>
          <w:rFonts w:eastAsia="仿宋_GB2312"/>
          <w:color w:val="000000"/>
          <w:sz w:val="32"/>
          <w:szCs w:val="32"/>
        </w:rPr>
        <w:t>区就业的本省户籍人员（本市户籍与本省外市户籍人员的比例之和，下同）</w:t>
      </w:r>
      <w:r>
        <w:rPr>
          <w:rFonts w:hint="default" w:eastAsia="仿宋_GB2312"/>
          <w:color w:val="000000"/>
          <w:sz w:val="32"/>
          <w:szCs w:val="32"/>
          <w:lang w:val="en-US" w:eastAsia="zh-CN"/>
        </w:rPr>
        <w:t>约占</w:t>
      </w:r>
      <w:r>
        <w:rPr>
          <w:rFonts w:hint="default" w:eastAsia="仿宋_GB2312"/>
          <w:color w:val="000000"/>
          <w:sz w:val="32"/>
          <w:szCs w:val="32"/>
        </w:rPr>
        <w:t>70%</w:t>
      </w:r>
      <w:r>
        <w:rPr>
          <w:rFonts w:eastAsia="仿宋_GB2312"/>
          <w:color w:val="000000"/>
          <w:sz w:val="32"/>
          <w:szCs w:val="32"/>
        </w:rPr>
        <w:t>，外省户籍人员约</w:t>
      </w:r>
      <w:r>
        <w:rPr>
          <w:rFonts w:hint="default" w:eastAsia="仿宋_GB2312"/>
          <w:color w:val="000000"/>
          <w:sz w:val="32"/>
          <w:szCs w:val="32"/>
        </w:rPr>
        <w:t>占</w:t>
      </w:r>
      <w:r>
        <w:rPr>
          <w:rFonts w:hint="default" w:eastAsia="仿宋_GB2312"/>
          <w:color w:val="000000"/>
          <w:sz w:val="32"/>
          <w:szCs w:val="32"/>
          <w:lang w:val="en-US" w:eastAsia="zh-CN"/>
        </w:rPr>
        <w:t>30</w:t>
      </w:r>
      <w:r>
        <w:rPr>
          <w:rFonts w:hint="default" w:eastAsia="仿宋_GB2312"/>
          <w:color w:val="000000"/>
          <w:sz w:val="32"/>
          <w:szCs w:val="32"/>
        </w:rPr>
        <w:t>%</w:t>
      </w:r>
      <w:r>
        <w:rPr>
          <w:rFonts w:eastAsia="仿宋_GB2312"/>
          <w:color w:val="000000"/>
          <w:sz w:val="32"/>
          <w:szCs w:val="32"/>
        </w:rPr>
        <w:t>（见图1）。</w:t>
      </w:r>
    </w:p>
    <w:p>
      <w:pPr>
        <w:pStyle w:val="39"/>
        <w:numPr>
          <w:ilvl w:val="0"/>
          <w:numId w:val="0"/>
        </w:numPr>
        <w:rPr>
          <w:rFonts w:eastAsia="新宋体"/>
        </w:rPr>
      </w:pPr>
    </w:p>
    <w:p>
      <w:pPr>
        <w:pStyle w:val="39"/>
        <w:numPr>
          <w:ilvl w:val="0"/>
          <w:numId w:val="0"/>
        </w:numPr>
        <w:rPr>
          <w:rFonts w:eastAsia="新宋体"/>
        </w:rPr>
      </w:pPr>
    </w:p>
    <w:p>
      <w:pPr>
        <w:pStyle w:val="39"/>
        <w:numPr>
          <w:ilvl w:val="0"/>
          <w:numId w:val="0"/>
        </w:numPr>
        <w:rPr>
          <w:rFonts w:eastAsia="新宋体"/>
        </w:rPr>
      </w:pPr>
    </w:p>
    <w:p>
      <w:pPr>
        <w:pStyle w:val="39"/>
        <w:numPr>
          <w:ilvl w:val="0"/>
          <w:numId w:val="0"/>
        </w:numPr>
        <w:rPr>
          <w:rFonts w:eastAsia="新宋体"/>
        </w:rPr>
      </w:pPr>
    </w:p>
    <w:p>
      <w:pPr>
        <w:pStyle w:val="39"/>
        <w:numPr>
          <w:ilvl w:val="0"/>
          <w:numId w:val="0"/>
        </w:numPr>
        <w:rPr>
          <w:rFonts w:eastAsia="新宋体"/>
        </w:rPr>
      </w:pPr>
    </w:p>
    <w:p>
      <w:pPr>
        <w:pStyle w:val="39"/>
        <w:numPr>
          <w:ilvl w:val="0"/>
          <w:numId w:val="0"/>
        </w:numPr>
        <w:rPr>
          <w:rFonts w:eastAsia="新宋体"/>
        </w:rPr>
      </w:pPr>
    </w:p>
    <w:p>
      <w:pPr>
        <w:pStyle w:val="39"/>
        <w:numPr>
          <w:ilvl w:val="0"/>
          <w:numId w:val="0"/>
        </w:numPr>
        <w:rPr>
          <w:rFonts w:eastAsia="新宋体"/>
        </w:rPr>
      </w:pPr>
    </w:p>
    <w:p>
      <w:pPr>
        <w:pStyle w:val="39"/>
        <w:numPr>
          <w:ilvl w:val="0"/>
          <w:numId w:val="0"/>
        </w:numPr>
        <w:rPr>
          <w:rFonts w:eastAsia="新宋体"/>
        </w:rPr>
      </w:pPr>
    </w:p>
    <w:p>
      <w:pPr>
        <w:pStyle w:val="39"/>
        <w:numPr>
          <w:ilvl w:val="0"/>
          <w:numId w:val="0"/>
        </w:numPr>
        <w:rPr>
          <w:rFonts w:eastAsia="新宋体"/>
        </w:rPr>
      </w:pPr>
    </w:p>
    <w:p>
      <w:pPr>
        <w:pStyle w:val="39"/>
        <w:numPr>
          <w:ilvl w:val="0"/>
          <w:numId w:val="0"/>
        </w:numPr>
        <w:rPr>
          <w:rFonts w:eastAsia="新宋体"/>
        </w:rPr>
      </w:pPr>
    </w:p>
    <w:p>
      <w:pPr>
        <w:pStyle w:val="39"/>
        <w:numPr>
          <w:ilvl w:val="0"/>
          <w:numId w:val="0"/>
        </w:numPr>
        <w:rPr>
          <w:rFonts w:eastAsia="新宋体"/>
        </w:rPr>
      </w:pPr>
      <w:r>
        <w:rPr>
          <w:rFonts w:eastAsia="新宋体"/>
        </w:rPr>
        <w:t>图1：</w:t>
      </w:r>
      <w:r>
        <w:rPr>
          <w:rFonts w:hint="eastAsia" w:eastAsia="新宋体"/>
          <w:lang w:eastAsia="zh-CN"/>
        </w:rPr>
        <w:t>2023年</w:t>
      </w:r>
      <w:r>
        <w:rPr>
          <w:rFonts w:eastAsia="新宋体"/>
        </w:rPr>
        <w:t>样本企业员工户籍结构</w:t>
      </w:r>
    </w:p>
    <w:p>
      <w:pPr>
        <w:jc w:val="center"/>
      </w:pPr>
      <w:r>
        <w:drawing>
          <wp:inline distT="0" distB="0" distL="114300" distR="114300">
            <wp:extent cx="5772150" cy="22479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spacing w:before="156" w:beforeLines="50"/>
        <w:ind w:firstLine="627" w:firstLineChars="196"/>
        <w:jc w:val="left"/>
        <w:rPr>
          <w:rFonts w:eastAsia="仿宋"/>
          <w:kern w:val="0"/>
          <w:sz w:val="32"/>
          <w:szCs w:val="32"/>
        </w:rPr>
      </w:pPr>
      <w:r>
        <w:rPr>
          <w:rFonts w:hint="default" w:eastAsia="仿宋_GB2312"/>
          <w:color w:val="000000"/>
          <w:kern w:val="2"/>
          <w:sz w:val="32"/>
          <w:szCs w:val="32"/>
        </w:rPr>
        <w:t>分行业来看</w:t>
      </w:r>
      <w:r>
        <w:rPr>
          <w:rFonts w:eastAsia="仿宋_GB2312"/>
          <w:color w:val="000000"/>
          <w:kern w:val="2"/>
          <w:sz w:val="32"/>
          <w:szCs w:val="32"/>
        </w:rPr>
        <w:t>，</w:t>
      </w:r>
      <w:r>
        <w:rPr>
          <w:rFonts w:hint="default" w:eastAsia="仿宋_GB2312"/>
          <w:color w:val="000000"/>
          <w:kern w:val="2"/>
          <w:sz w:val="32"/>
          <w:szCs w:val="32"/>
        </w:rPr>
        <w:t>文化、体育和娱乐业的员工全部为</w:t>
      </w:r>
      <w:r>
        <w:rPr>
          <w:rFonts w:hint="default" w:eastAsia="仿宋_GB2312"/>
          <w:color w:val="000000"/>
          <w:kern w:val="2"/>
          <w:sz w:val="32"/>
          <w:szCs w:val="32"/>
          <w:lang w:val="en-US" w:eastAsia="zh-CN"/>
        </w:rPr>
        <w:t>本省</w:t>
      </w:r>
      <w:r>
        <w:rPr>
          <w:rFonts w:hint="default" w:eastAsia="仿宋_GB2312"/>
          <w:color w:val="000000"/>
          <w:kern w:val="2"/>
          <w:sz w:val="32"/>
          <w:szCs w:val="32"/>
        </w:rPr>
        <w:t>户籍人员；水利、环境和公共设施管理业，电力、热力、燃气及水生产和供应业</w:t>
      </w:r>
      <w:r>
        <w:rPr>
          <w:rFonts w:hint="default" w:eastAsia="仿宋_GB2312"/>
          <w:color w:val="000000"/>
          <w:kern w:val="2"/>
          <w:sz w:val="32"/>
          <w:szCs w:val="32"/>
          <w:lang w:eastAsia="zh-CN"/>
        </w:rPr>
        <w:t>，</w:t>
      </w:r>
      <w:r>
        <w:rPr>
          <w:rFonts w:hint="default" w:eastAsia="仿宋_GB2312"/>
          <w:color w:val="000000"/>
          <w:kern w:val="2"/>
          <w:sz w:val="32"/>
          <w:szCs w:val="32"/>
        </w:rPr>
        <w:t>信息传输、软件和信息技术服务业，农、林、牧、渔业的</w:t>
      </w:r>
      <w:r>
        <w:rPr>
          <w:rFonts w:eastAsia="仿宋_GB2312"/>
          <w:color w:val="000000"/>
          <w:kern w:val="2"/>
          <w:sz w:val="32"/>
          <w:szCs w:val="32"/>
        </w:rPr>
        <w:t>本市户籍人</w:t>
      </w:r>
      <w:r>
        <w:rPr>
          <w:rFonts w:hint="default" w:eastAsia="仿宋_GB2312"/>
          <w:color w:val="000000"/>
          <w:kern w:val="2"/>
          <w:sz w:val="32"/>
          <w:szCs w:val="32"/>
        </w:rPr>
        <w:t>员</w:t>
      </w:r>
      <w:r>
        <w:rPr>
          <w:rFonts w:eastAsia="仿宋_GB2312"/>
          <w:color w:val="000000"/>
          <w:kern w:val="2"/>
          <w:sz w:val="32"/>
          <w:szCs w:val="32"/>
        </w:rPr>
        <w:t>占比</w:t>
      </w:r>
      <w:r>
        <w:rPr>
          <w:rFonts w:hint="default" w:eastAsia="仿宋_GB2312"/>
          <w:color w:val="000000"/>
          <w:kern w:val="2"/>
          <w:sz w:val="32"/>
          <w:szCs w:val="32"/>
        </w:rPr>
        <w:t>超过80%</w:t>
      </w:r>
      <w:r>
        <w:rPr>
          <w:rFonts w:eastAsia="仿宋_GB2312"/>
          <w:color w:val="000000"/>
          <w:kern w:val="2"/>
          <w:sz w:val="32"/>
          <w:szCs w:val="32"/>
        </w:rPr>
        <w:t>，分别为</w:t>
      </w:r>
      <w:r>
        <w:rPr>
          <w:rFonts w:hint="default" w:eastAsia="仿宋_GB2312"/>
          <w:color w:val="000000"/>
          <w:kern w:val="2"/>
          <w:sz w:val="32"/>
          <w:szCs w:val="32"/>
          <w:lang w:val="en-US" w:eastAsia="zh-CN"/>
        </w:rPr>
        <w:t>91.5</w:t>
      </w:r>
      <w:r>
        <w:rPr>
          <w:rFonts w:eastAsia="仿宋_GB2312"/>
          <w:color w:val="000000"/>
          <w:kern w:val="2"/>
          <w:sz w:val="32"/>
          <w:szCs w:val="32"/>
        </w:rPr>
        <w:t>%、</w:t>
      </w:r>
      <w:r>
        <w:rPr>
          <w:rFonts w:hint="default" w:eastAsia="仿宋_GB2312"/>
          <w:color w:val="000000"/>
          <w:kern w:val="2"/>
          <w:sz w:val="32"/>
          <w:szCs w:val="32"/>
          <w:lang w:val="en-US" w:eastAsia="zh-CN"/>
        </w:rPr>
        <w:t>89.5</w:t>
      </w:r>
      <w:r>
        <w:rPr>
          <w:rFonts w:eastAsia="仿宋_GB2312"/>
          <w:color w:val="000000"/>
          <w:kern w:val="2"/>
          <w:sz w:val="32"/>
          <w:szCs w:val="32"/>
        </w:rPr>
        <w:t>%</w:t>
      </w:r>
      <w:r>
        <w:rPr>
          <w:rFonts w:hint="default" w:eastAsia="仿宋_GB2312"/>
          <w:color w:val="000000"/>
          <w:kern w:val="2"/>
          <w:sz w:val="32"/>
          <w:szCs w:val="32"/>
          <w:lang w:eastAsia="zh-CN"/>
        </w:rPr>
        <w:t>、</w:t>
      </w:r>
      <w:r>
        <w:rPr>
          <w:rFonts w:hint="default" w:eastAsia="仿宋_GB2312"/>
          <w:color w:val="000000"/>
          <w:kern w:val="2"/>
          <w:sz w:val="32"/>
          <w:szCs w:val="32"/>
          <w:lang w:val="en-US" w:eastAsia="zh-CN"/>
        </w:rPr>
        <w:t>84.4</w:t>
      </w:r>
      <w:r>
        <w:rPr>
          <w:rFonts w:eastAsia="仿宋_GB2312"/>
          <w:color w:val="000000"/>
          <w:kern w:val="2"/>
          <w:sz w:val="32"/>
          <w:szCs w:val="32"/>
        </w:rPr>
        <w:t xml:space="preserve">%和 </w:t>
      </w:r>
      <w:r>
        <w:rPr>
          <w:rFonts w:hint="default" w:eastAsia="仿宋_GB2312"/>
          <w:color w:val="000000"/>
          <w:kern w:val="2"/>
          <w:sz w:val="32"/>
          <w:szCs w:val="32"/>
          <w:lang w:val="en-US" w:eastAsia="zh-CN"/>
        </w:rPr>
        <w:t>80.5%</w:t>
      </w:r>
      <w:r>
        <w:rPr>
          <w:rFonts w:eastAsia="仿宋_GB2312"/>
          <w:color w:val="000000"/>
          <w:kern w:val="2"/>
          <w:sz w:val="32"/>
          <w:szCs w:val="32"/>
        </w:rPr>
        <w:t>；本省外市户籍人</w:t>
      </w:r>
      <w:r>
        <w:rPr>
          <w:rFonts w:hint="default" w:eastAsia="仿宋_GB2312"/>
          <w:color w:val="000000"/>
          <w:kern w:val="2"/>
          <w:sz w:val="32"/>
          <w:szCs w:val="32"/>
        </w:rPr>
        <w:t>员</w:t>
      </w:r>
      <w:r>
        <w:rPr>
          <w:rFonts w:eastAsia="仿宋_GB2312"/>
          <w:color w:val="000000"/>
          <w:kern w:val="2"/>
          <w:sz w:val="32"/>
          <w:szCs w:val="32"/>
        </w:rPr>
        <w:t>占比</w:t>
      </w:r>
      <w:r>
        <w:rPr>
          <w:rFonts w:hint="default" w:eastAsia="仿宋_GB2312"/>
          <w:color w:val="000000"/>
          <w:kern w:val="2"/>
          <w:sz w:val="32"/>
          <w:szCs w:val="32"/>
        </w:rPr>
        <w:t>最高</w:t>
      </w:r>
      <w:r>
        <w:rPr>
          <w:rFonts w:eastAsia="仿宋_GB2312"/>
          <w:color w:val="000000"/>
          <w:kern w:val="2"/>
          <w:sz w:val="32"/>
          <w:szCs w:val="32"/>
        </w:rPr>
        <w:t>的行业是</w:t>
      </w:r>
      <w:r>
        <w:rPr>
          <w:rFonts w:hint="default" w:eastAsia="仿宋_GB2312"/>
          <w:color w:val="000000"/>
          <w:kern w:val="2"/>
          <w:sz w:val="32"/>
          <w:szCs w:val="32"/>
        </w:rPr>
        <w:t>文化、体育和娱乐业，</w:t>
      </w:r>
      <w:r>
        <w:rPr>
          <w:rFonts w:eastAsia="仿宋_GB2312"/>
          <w:color w:val="000000"/>
          <w:kern w:val="2"/>
          <w:sz w:val="32"/>
          <w:szCs w:val="32"/>
        </w:rPr>
        <w:t>为</w:t>
      </w:r>
      <w:r>
        <w:rPr>
          <w:rFonts w:hint="default" w:eastAsia="仿宋_GB2312"/>
          <w:color w:val="000000"/>
          <w:kern w:val="2"/>
          <w:sz w:val="32"/>
          <w:szCs w:val="32"/>
          <w:lang w:val="en-US" w:eastAsia="zh-CN"/>
        </w:rPr>
        <w:t>50.0</w:t>
      </w:r>
      <w:r>
        <w:rPr>
          <w:rFonts w:eastAsia="仿宋_GB2312"/>
          <w:color w:val="000000"/>
          <w:kern w:val="2"/>
          <w:sz w:val="32"/>
          <w:szCs w:val="32"/>
        </w:rPr>
        <w:t>% ；外省户籍人</w:t>
      </w:r>
      <w:r>
        <w:rPr>
          <w:rFonts w:hint="default" w:eastAsia="仿宋_GB2312"/>
          <w:color w:val="000000"/>
          <w:kern w:val="2"/>
          <w:sz w:val="32"/>
          <w:szCs w:val="32"/>
        </w:rPr>
        <w:t>员</w:t>
      </w:r>
      <w:r>
        <w:rPr>
          <w:rFonts w:eastAsia="仿宋_GB2312"/>
          <w:color w:val="000000"/>
          <w:kern w:val="2"/>
          <w:sz w:val="32"/>
          <w:szCs w:val="32"/>
        </w:rPr>
        <w:t>占比</w:t>
      </w:r>
      <w:r>
        <w:rPr>
          <w:rFonts w:hint="default" w:eastAsia="仿宋_GB2312"/>
          <w:color w:val="000000"/>
          <w:kern w:val="2"/>
          <w:sz w:val="32"/>
          <w:szCs w:val="32"/>
        </w:rPr>
        <w:t>超过40%</w:t>
      </w:r>
      <w:r>
        <w:rPr>
          <w:rFonts w:eastAsia="仿宋_GB2312"/>
          <w:color w:val="000000"/>
          <w:kern w:val="2"/>
          <w:sz w:val="32"/>
          <w:szCs w:val="32"/>
        </w:rPr>
        <w:t>的行业是</w:t>
      </w:r>
      <w:r>
        <w:rPr>
          <w:rFonts w:hint="default" w:eastAsia="仿宋_GB2312"/>
          <w:color w:val="000000"/>
          <w:kern w:val="2"/>
          <w:sz w:val="32"/>
          <w:szCs w:val="32"/>
        </w:rPr>
        <w:t>交通运输、仓储和邮政业，居民服务、修理和其他服务业</w:t>
      </w:r>
      <w:r>
        <w:rPr>
          <w:rFonts w:eastAsia="仿宋_GB2312"/>
          <w:color w:val="000000"/>
          <w:kern w:val="2"/>
          <w:sz w:val="32"/>
          <w:szCs w:val="32"/>
        </w:rPr>
        <w:t>，分别为</w:t>
      </w:r>
      <w:r>
        <w:rPr>
          <w:rFonts w:hint="default" w:eastAsia="仿宋_GB2312"/>
          <w:color w:val="000000"/>
          <w:kern w:val="2"/>
          <w:sz w:val="32"/>
          <w:szCs w:val="32"/>
          <w:lang w:val="en-US" w:eastAsia="zh-CN"/>
        </w:rPr>
        <w:t>52.2</w:t>
      </w:r>
      <w:r>
        <w:rPr>
          <w:rFonts w:hint="default" w:eastAsia="仿宋_GB2312"/>
          <w:color w:val="000000"/>
          <w:kern w:val="2"/>
          <w:sz w:val="32"/>
          <w:szCs w:val="32"/>
        </w:rPr>
        <w:t>%</w:t>
      </w:r>
      <w:r>
        <w:rPr>
          <w:rFonts w:eastAsia="仿宋_GB2312"/>
          <w:color w:val="000000"/>
          <w:kern w:val="2"/>
          <w:sz w:val="32"/>
          <w:szCs w:val="32"/>
        </w:rPr>
        <w:t>和</w:t>
      </w:r>
      <w:r>
        <w:rPr>
          <w:rFonts w:hint="default" w:eastAsia="仿宋_GB2312"/>
          <w:color w:val="000000"/>
          <w:kern w:val="2"/>
          <w:sz w:val="32"/>
          <w:szCs w:val="32"/>
          <w:lang w:val="en-US" w:eastAsia="zh-CN"/>
        </w:rPr>
        <w:t>80.4</w:t>
      </w:r>
      <w:r>
        <w:rPr>
          <w:rFonts w:eastAsia="仿宋_GB2312"/>
          <w:color w:val="000000"/>
          <w:kern w:val="2"/>
          <w:sz w:val="32"/>
          <w:szCs w:val="32"/>
        </w:rPr>
        <w:t>%（见表</w:t>
      </w:r>
      <w:r>
        <w:rPr>
          <w:rFonts w:hint="eastAsia" w:eastAsia="仿宋_GB2312"/>
          <w:color w:val="000000"/>
          <w:kern w:val="2"/>
          <w:sz w:val="32"/>
          <w:szCs w:val="32"/>
          <w:lang w:eastAsia="zh-CN"/>
        </w:rPr>
        <w:t>5</w:t>
      </w:r>
      <w:r>
        <w:rPr>
          <w:rFonts w:eastAsia="仿宋_GB2312"/>
          <w:color w:val="000000"/>
          <w:kern w:val="2"/>
          <w:sz w:val="32"/>
          <w:szCs w:val="32"/>
        </w:rPr>
        <w:t>）。</w:t>
      </w:r>
    </w:p>
    <w:p>
      <w:pPr>
        <w:pStyle w:val="39"/>
        <w:numPr>
          <w:ilvl w:val="0"/>
          <w:numId w:val="0"/>
        </w:numPr>
        <w:rPr>
          <w:rFonts w:eastAsia="宋体"/>
        </w:rPr>
      </w:pPr>
      <w:r>
        <w:rPr>
          <w:rFonts w:hint="eastAsia" w:eastAsia="宋体"/>
        </w:rPr>
        <w:t>表</w:t>
      </w:r>
      <w:r>
        <w:rPr>
          <w:rFonts w:hint="eastAsia" w:eastAsia="宋体"/>
          <w:lang w:val="en-US" w:eastAsia="zh-CN"/>
        </w:rPr>
        <w:t>5</w:t>
      </w:r>
      <w:r>
        <w:rPr>
          <w:rFonts w:hint="eastAsia" w:eastAsia="宋体"/>
        </w:rPr>
        <w:t>：</w:t>
      </w:r>
      <w:r>
        <w:rPr>
          <w:rFonts w:hint="eastAsia" w:eastAsia="宋体"/>
          <w:lang w:eastAsia="zh-CN"/>
        </w:rPr>
        <w:t>2023年</w:t>
      </w:r>
      <w:r>
        <w:rPr>
          <w:rFonts w:eastAsia="宋体"/>
        </w:rPr>
        <w:t>样本企业分行业员工户籍结构</w:t>
      </w:r>
      <w:r>
        <w:rPr>
          <w:rFonts w:eastAsia="宋体"/>
          <w:szCs w:val="24"/>
        </w:rPr>
        <w:t>（全年平均）</w:t>
      </w:r>
    </w:p>
    <w:p>
      <w:pPr>
        <w:jc w:val="right"/>
        <w:rPr>
          <w:b/>
          <w:sz w:val="24"/>
        </w:rPr>
      </w:pPr>
      <w:r>
        <w:rPr>
          <w:b/>
          <w:sz w:val="24"/>
        </w:rPr>
        <w:t>单位：%</w:t>
      </w:r>
    </w:p>
    <w:tbl>
      <w:tblPr>
        <w:tblStyle w:val="13"/>
        <w:tblW w:w="11036"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656"/>
        <w:gridCol w:w="1476"/>
        <w:gridCol w:w="1476"/>
        <w:gridCol w:w="1622"/>
        <w:gridCol w:w="1330"/>
        <w:gridCol w:w="1476"/>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77" w:hRule="atLeast"/>
          <w:tblHeader/>
          <w:jc w:val="center"/>
        </w:trPr>
        <w:tc>
          <w:tcPr>
            <w:tcW w:w="3656" w:type="dxa"/>
            <w:shd w:val="clear" w:color="auto" w:fill="92CDDC" w:themeFill="accent5" w:themeFillTint="99"/>
            <w:noWrap w:val="0"/>
            <w:vAlign w:val="center"/>
          </w:tcPr>
          <w:p>
            <w:pPr>
              <w:widowControl/>
              <w:jc w:val="center"/>
              <w:rPr>
                <w:b/>
                <w:bCs/>
                <w:color w:val="000000"/>
                <w:kern w:val="0"/>
              </w:rPr>
            </w:pPr>
            <w:r>
              <w:rPr>
                <w:b/>
                <w:bCs/>
                <w:color w:val="000000"/>
                <w:kern w:val="0"/>
              </w:rPr>
              <w:t>行业</w:t>
            </w:r>
          </w:p>
        </w:tc>
        <w:tc>
          <w:tcPr>
            <w:tcW w:w="1476" w:type="dxa"/>
            <w:shd w:val="clear" w:color="auto" w:fill="92CDDC" w:themeFill="accent5" w:themeFillTint="99"/>
            <w:noWrap w:val="0"/>
            <w:vAlign w:val="center"/>
          </w:tcPr>
          <w:p>
            <w:pPr>
              <w:widowControl/>
              <w:jc w:val="center"/>
              <w:rPr>
                <w:b/>
                <w:bCs/>
                <w:color w:val="000000"/>
                <w:kern w:val="0"/>
                <w:szCs w:val="22"/>
              </w:rPr>
            </w:pPr>
            <w:r>
              <w:rPr>
                <w:b/>
                <w:bCs/>
                <w:color w:val="000000"/>
                <w:sz w:val="22"/>
                <w:szCs w:val="22"/>
              </w:rPr>
              <w:t>本省户籍</w:t>
            </w:r>
          </w:p>
        </w:tc>
        <w:tc>
          <w:tcPr>
            <w:tcW w:w="1476" w:type="dxa"/>
            <w:shd w:val="clear" w:color="auto" w:fill="92CDDC" w:themeFill="accent5" w:themeFillTint="99"/>
            <w:noWrap w:val="0"/>
            <w:vAlign w:val="center"/>
          </w:tcPr>
          <w:p>
            <w:pPr>
              <w:widowControl/>
              <w:jc w:val="center"/>
              <w:rPr>
                <w:b/>
                <w:bCs/>
                <w:color w:val="000000"/>
                <w:kern w:val="0"/>
                <w:szCs w:val="22"/>
              </w:rPr>
            </w:pPr>
            <w:r>
              <w:rPr>
                <w:b/>
                <w:bCs/>
                <w:color w:val="000000"/>
                <w:sz w:val="22"/>
                <w:szCs w:val="22"/>
              </w:rPr>
              <w:t>本市户籍</w:t>
            </w:r>
          </w:p>
        </w:tc>
        <w:tc>
          <w:tcPr>
            <w:tcW w:w="1622" w:type="dxa"/>
            <w:shd w:val="clear" w:color="auto" w:fill="92CDDC" w:themeFill="accent5" w:themeFillTint="99"/>
            <w:noWrap w:val="0"/>
            <w:vAlign w:val="center"/>
          </w:tcPr>
          <w:p>
            <w:pPr>
              <w:widowControl/>
              <w:jc w:val="center"/>
              <w:rPr>
                <w:b/>
                <w:bCs/>
                <w:color w:val="000000"/>
                <w:kern w:val="0"/>
                <w:szCs w:val="22"/>
              </w:rPr>
            </w:pPr>
            <w:r>
              <w:rPr>
                <w:b/>
                <w:bCs/>
                <w:color w:val="000000"/>
                <w:sz w:val="22"/>
                <w:szCs w:val="22"/>
              </w:rPr>
              <w:t>本省外市户籍</w:t>
            </w:r>
          </w:p>
        </w:tc>
        <w:tc>
          <w:tcPr>
            <w:tcW w:w="1330" w:type="dxa"/>
            <w:shd w:val="clear" w:color="auto" w:fill="92CDDC" w:themeFill="accent5" w:themeFillTint="99"/>
            <w:noWrap w:val="0"/>
            <w:vAlign w:val="center"/>
          </w:tcPr>
          <w:p>
            <w:pPr>
              <w:widowControl/>
              <w:jc w:val="center"/>
              <w:rPr>
                <w:b/>
                <w:bCs/>
                <w:color w:val="000000"/>
                <w:kern w:val="0"/>
              </w:rPr>
            </w:pPr>
            <w:r>
              <w:rPr>
                <w:b/>
                <w:bCs/>
                <w:color w:val="000000"/>
                <w:sz w:val="22"/>
                <w:szCs w:val="22"/>
              </w:rPr>
              <w:t>外省户籍</w:t>
            </w:r>
          </w:p>
        </w:tc>
        <w:tc>
          <w:tcPr>
            <w:tcW w:w="1476" w:type="dxa"/>
            <w:shd w:val="clear" w:color="auto" w:fill="92CDDC" w:themeFill="accent5" w:themeFillTint="99"/>
            <w:noWrap w:val="0"/>
            <w:vAlign w:val="center"/>
          </w:tcPr>
          <w:p>
            <w:pPr>
              <w:widowControl/>
              <w:jc w:val="center"/>
              <w:rPr>
                <w:rFonts w:hint="default"/>
                <w:b/>
                <w:bCs/>
                <w:color w:val="000000"/>
                <w:kern w:val="0"/>
              </w:rPr>
            </w:pPr>
            <w:r>
              <w:rPr>
                <w:rFonts w:hint="default"/>
                <w:b/>
                <w:bCs/>
                <w:color w:val="000000"/>
                <w:sz w:val="22"/>
                <w:szCs w:val="22"/>
              </w:rPr>
              <w:t>合计</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62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33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476"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97.1 </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91.5 </w:t>
            </w:r>
          </w:p>
        </w:tc>
        <w:tc>
          <w:tcPr>
            <w:tcW w:w="162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5.6 </w:t>
            </w:r>
          </w:p>
        </w:tc>
        <w:tc>
          <w:tcPr>
            <w:tcW w:w="133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1476"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94.4 </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89.5 </w:t>
            </w:r>
          </w:p>
        </w:tc>
        <w:tc>
          <w:tcPr>
            <w:tcW w:w="162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4.9 </w:t>
            </w:r>
          </w:p>
        </w:tc>
        <w:tc>
          <w:tcPr>
            <w:tcW w:w="133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5.6 </w:t>
            </w:r>
          </w:p>
        </w:tc>
        <w:tc>
          <w:tcPr>
            <w:tcW w:w="1476"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93.4 </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84.4 </w:t>
            </w:r>
          </w:p>
        </w:tc>
        <w:tc>
          <w:tcPr>
            <w:tcW w:w="162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9.0 </w:t>
            </w:r>
          </w:p>
        </w:tc>
        <w:tc>
          <w:tcPr>
            <w:tcW w:w="133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6.6 </w:t>
            </w:r>
          </w:p>
        </w:tc>
        <w:tc>
          <w:tcPr>
            <w:tcW w:w="1476"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82.4 </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68.3 </w:t>
            </w:r>
          </w:p>
        </w:tc>
        <w:tc>
          <w:tcPr>
            <w:tcW w:w="162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14.1 </w:t>
            </w:r>
          </w:p>
        </w:tc>
        <w:tc>
          <w:tcPr>
            <w:tcW w:w="133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17.6 </w:t>
            </w:r>
          </w:p>
        </w:tc>
        <w:tc>
          <w:tcPr>
            <w:tcW w:w="1476"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81.9 </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67.1 </w:t>
            </w:r>
          </w:p>
        </w:tc>
        <w:tc>
          <w:tcPr>
            <w:tcW w:w="162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14.8 </w:t>
            </w:r>
          </w:p>
        </w:tc>
        <w:tc>
          <w:tcPr>
            <w:tcW w:w="133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18.1 </w:t>
            </w:r>
          </w:p>
        </w:tc>
        <w:tc>
          <w:tcPr>
            <w:tcW w:w="1476"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80.5 </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80.5 </w:t>
            </w:r>
          </w:p>
        </w:tc>
        <w:tc>
          <w:tcPr>
            <w:tcW w:w="162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33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19.5 </w:t>
            </w:r>
          </w:p>
        </w:tc>
        <w:tc>
          <w:tcPr>
            <w:tcW w:w="1476"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80.4 </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65.1 </w:t>
            </w:r>
          </w:p>
        </w:tc>
        <w:tc>
          <w:tcPr>
            <w:tcW w:w="162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15.3 </w:t>
            </w:r>
          </w:p>
        </w:tc>
        <w:tc>
          <w:tcPr>
            <w:tcW w:w="133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19.6 </w:t>
            </w:r>
          </w:p>
        </w:tc>
        <w:tc>
          <w:tcPr>
            <w:tcW w:w="1476"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79.8 </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50.9 </w:t>
            </w:r>
          </w:p>
        </w:tc>
        <w:tc>
          <w:tcPr>
            <w:tcW w:w="162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28.9 </w:t>
            </w:r>
          </w:p>
        </w:tc>
        <w:tc>
          <w:tcPr>
            <w:tcW w:w="133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20.2 </w:t>
            </w:r>
          </w:p>
        </w:tc>
        <w:tc>
          <w:tcPr>
            <w:tcW w:w="1476"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74.5 </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66.7 </w:t>
            </w:r>
          </w:p>
        </w:tc>
        <w:tc>
          <w:tcPr>
            <w:tcW w:w="162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7.8 </w:t>
            </w:r>
          </w:p>
        </w:tc>
        <w:tc>
          <w:tcPr>
            <w:tcW w:w="133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25.5 </w:t>
            </w:r>
          </w:p>
        </w:tc>
        <w:tc>
          <w:tcPr>
            <w:tcW w:w="1476"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74.5 </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62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24.6 </w:t>
            </w:r>
          </w:p>
        </w:tc>
        <w:tc>
          <w:tcPr>
            <w:tcW w:w="133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25.5 </w:t>
            </w:r>
          </w:p>
        </w:tc>
        <w:tc>
          <w:tcPr>
            <w:tcW w:w="1476"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69.5 </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44.8 </w:t>
            </w:r>
          </w:p>
        </w:tc>
        <w:tc>
          <w:tcPr>
            <w:tcW w:w="162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24.7 </w:t>
            </w:r>
          </w:p>
        </w:tc>
        <w:tc>
          <w:tcPr>
            <w:tcW w:w="133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30.5 </w:t>
            </w:r>
          </w:p>
        </w:tc>
        <w:tc>
          <w:tcPr>
            <w:tcW w:w="1476"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67.8 </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62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17.8 </w:t>
            </w:r>
          </w:p>
        </w:tc>
        <w:tc>
          <w:tcPr>
            <w:tcW w:w="133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32.2 </w:t>
            </w:r>
          </w:p>
        </w:tc>
        <w:tc>
          <w:tcPr>
            <w:tcW w:w="1476"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47.8 </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22.8 </w:t>
            </w:r>
          </w:p>
        </w:tc>
        <w:tc>
          <w:tcPr>
            <w:tcW w:w="162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25.0 </w:t>
            </w:r>
          </w:p>
        </w:tc>
        <w:tc>
          <w:tcPr>
            <w:tcW w:w="133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52.2 </w:t>
            </w:r>
          </w:p>
        </w:tc>
        <w:tc>
          <w:tcPr>
            <w:tcW w:w="1476"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19.6 </w:t>
            </w:r>
          </w:p>
        </w:tc>
        <w:tc>
          <w:tcPr>
            <w:tcW w:w="147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14.3 </w:t>
            </w:r>
          </w:p>
        </w:tc>
        <w:tc>
          <w:tcPr>
            <w:tcW w:w="1622"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5.3 </w:t>
            </w:r>
          </w:p>
        </w:tc>
        <w:tc>
          <w:tcPr>
            <w:tcW w:w="1330"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80.4 </w:t>
            </w:r>
          </w:p>
        </w:tc>
        <w:tc>
          <w:tcPr>
            <w:tcW w:w="1476" w:type="dxa"/>
            <w:noWrap w:val="0"/>
            <w:vAlign w:val="top"/>
          </w:tcPr>
          <w:p>
            <w:pPr>
              <w:jc w:val="center"/>
              <w:rPr>
                <w:rFonts w:hint="default"/>
              </w:rPr>
            </w:pPr>
            <w:r>
              <w:rPr>
                <w:rFonts w:hint="default"/>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平均</w:t>
            </w:r>
          </w:p>
        </w:tc>
        <w:tc>
          <w:tcPr>
            <w:tcW w:w="1476"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69.7 </w:t>
            </w:r>
          </w:p>
        </w:tc>
        <w:tc>
          <w:tcPr>
            <w:tcW w:w="1476"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52.2 </w:t>
            </w:r>
          </w:p>
        </w:tc>
        <w:tc>
          <w:tcPr>
            <w:tcW w:w="1622"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17.5 </w:t>
            </w:r>
          </w:p>
        </w:tc>
        <w:tc>
          <w:tcPr>
            <w:tcW w:w="1330"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30.3 </w:t>
            </w:r>
          </w:p>
        </w:tc>
        <w:tc>
          <w:tcPr>
            <w:tcW w:w="1476" w:type="dxa"/>
            <w:noWrap w:val="0"/>
            <w:vAlign w:val="top"/>
          </w:tcPr>
          <w:p>
            <w:pPr>
              <w:jc w:val="center"/>
              <w:rPr>
                <w:b/>
                <w:bCs/>
              </w:rPr>
            </w:pPr>
            <w:r>
              <w:rPr>
                <w:rFonts w:hint="default"/>
                <w:b/>
                <w:bCs/>
              </w:rPr>
              <w:t>100.0</w:t>
            </w:r>
          </w:p>
        </w:tc>
      </w:tr>
    </w:tbl>
    <w:p>
      <w:pPr>
        <w:spacing w:before="156" w:beforeLines="50"/>
        <w:ind w:firstLine="660"/>
        <w:rPr>
          <w:rFonts w:hint="eastAsia" w:eastAsia="仿宋"/>
          <w:sz w:val="32"/>
          <w:szCs w:val="32"/>
        </w:rPr>
      </w:pPr>
      <w:r>
        <w:rPr>
          <w:rFonts w:hint="eastAsia" w:eastAsia="仿宋"/>
          <w:b/>
          <w:sz w:val="32"/>
          <w:szCs w:val="32"/>
        </w:rPr>
        <w:t>不同岗位中</w:t>
      </w:r>
      <w:r>
        <w:rPr>
          <w:rFonts w:hint="eastAsia" w:eastAsia="仿宋"/>
          <w:b/>
          <w:sz w:val="32"/>
          <w:szCs w:val="32"/>
          <w:lang w:val="en-US" w:eastAsia="zh-CN"/>
        </w:rPr>
        <w:t>本省</w:t>
      </w:r>
      <w:r>
        <w:rPr>
          <w:rFonts w:eastAsia="仿宋"/>
          <w:b/>
          <w:sz w:val="32"/>
          <w:szCs w:val="32"/>
        </w:rPr>
        <w:t>户籍人员占比</w:t>
      </w:r>
      <w:r>
        <w:rPr>
          <w:rFonts w:hint="eastAsia" w:eastAsia="仿宋"/>
          <w:b/>
          <w:sz w:val="32"/>
          <w:szCs w:val="32"/>
        </w:rPr>
        <w:t>均为</w:t>
      </w:r>
      <w:r>
        <w:rPr>
          <w:rFonts w:eastAsia="仿宋"/>
          <w:b/>
          <w:sz w:val="32"/>
          <w:szCs w:val="32"/>
        </w:rPr>
        <w:t>最高。</w:t>
      </w:r>
      <w:r>
        <w:rPr>
          <w:rFonts w:eastAsia="仿宋_GB2312"/>
          <w:color w:val="000000"/>
          <w:sz w:val="32"/>
          <w:szCs w:val="32"/>
        </w:rPr>
        <w:t>从不同岗位员工户籍分布来看，</w:t>
      </w:r>
      <w:r>
        <w:rPr>
          <w:rFonts w:hint="default" w:eastAsia="仿宋_GB2312"/>
          <w:color w:val="000000"/>
          <w:sz w:val="32"/>
          <w:szCs w:val="32"/>
          <w:lang w:eastAsia="zh-CN"/>
        </w:rPr>
        <w:t>2023年</w:t>
      </w:r>
      <w:r>
        <w:rPr>
          <w:rFonts w:hint="default" w:eastAsia="仿宋_GB2312"/>
          <w:color w:val="000000"/>
          <w:sz w:val="32"/>
          <w:szCs w:val="32"/>
        </w:rPr>
        <w:t>样本企业中，</w:t>
      </w:r>
      <w:r>
        <w:rPr>
          <w:rFonts w:eastAsia="仿宋_GB2312"/>
          <w:color w:val="000000"/>
          <w:sz w:val="32"/>
          <w:szCs w:val="32"/>
        </w:rPr>
        <w:t>普工主要以</w:t>
      </w:r>
      <w:r>
        <w:rPr>
          <w:rFonts w:hint="default" w:eastAsia="仿宋_GB2312"/>
          <w:color w:val="000000"/>
          <w:sz w:val="32"/>
          <w:szCs w:val="32"/>
        </w:rPr>
        <w:t>本省户籍</w:t>
      </w:r>
      <w:r>
        <w:rPr>
          <w:rFonts w:eastAsia="仿宋_GB2312"/>
          <w:color w:val="000000"/>
          <w:sz w:val="32"/>
          <w:szCs w:val="32"/>
        </w:rPr>
        <w:t>为主，占比</w:t>
      </w:r>
      <w:r>
        <w:rPr>
          <w:rFonts w:hint="default" w:eastAsia="仿宋_GB2312"/>
          <w:color w:val="000000"/>
          <w:sz w:val="32"/>
          <w:szCs w:val="32"/>
        </w:rPr>
        <w:t>超过</w:t>
      </w:r>
      <w:r>
        <w:rPr>
          <w:rFonts w:hint="default" w:eastAsia="仿宋_GB2312"/>
          <w:color w:val="000000"/>
          <w:sz w:val="32"/>
          <w:szCs w:val="32"/>
          <w:lang w:val="en-US" w:eastAsia="zh-CN"/>
        </w:rPr>
        <w:t>73</w:t>
      </w:r>
      <w:r>
        <w:rPr>
          <w:rFonts w:hint="default" w:eastAsia="仿宋_GB2312"/>
          <w:color w:val="000000"/>
          <w:sz w:val="32"/>
          <w:szCs w:val="32"/>
        </w:rPr>
        <w:t>%</w:t>
      </w:r>
      <w:r>
        <w:rPr>
          <w:rFonts w:eastAsia="仿宋_GB2312"/>
          <w:color w:val="000000"/>
          <w:sz w:val="32"/>
          <w:szCs w:val="32"/>
        </w:rPr>
        <w:t>，</w:t>
      </w:r>
      <w:r>
        <w:rPr>
          <w:rFonts w:hint="default" w:eastAsia="仿宋_GB2312"/>
          <w:color w:val="000000"/>
          <w:sz w:val="32"/>
          <w:szCs w:val="32"/>
        </w:rPr>
        <w:t>其中</w:t>
      </w:r>
      <w:r>
        <w:rPr>
          <w:rFonts w:eastAsia="仿宋_GB2312"/>
          <w:color w:val="000000"/>
          <w:sz w:val="32"/>
          <w:szCs w:val="32"/>
        </w:rPr>
        <w:t>本</w:t>
      </w:r>
      <w:r>
        <w:rPr>
          <w:rFonts w:hint="default" w:eastAsia="仿宋_GB2312"/>
          <w:color w:val="000000"/>
          <w:sz w:val="32"/>
          <w:szCs w:val="32"/>
        </w:rPr>
        <w:t>市</w:t>
      </w:r>
      <w:r>
        <w:rPr>
          <w:rFonts w:eastAsia="仿宋_GB2312"/>
          <w:color w:val="000000"/>
          <w:sz w:val="32"/>
          <w:szCs w:val="32"/>
        </w:rPr>
        <w:t>户籍</w:t>
      </w:r>
      <w:r>
        <w:rPr>
          <w:rFonts w:hint="default" w:eastAsia="仿宋_GB2312"/>
          <w:color w:val="000000"/>
          <w:sz w:val="32"/>
          <w:szCs w:val="32"/>
        </w:rPr>
        <w:t>占比超过</w:t>
      </w:r>
      <w:r>
        <w:rPr>
          <w:rFonts w:hint="default" w:eastAsia="仿宋_GB2312"/>
          <w:color w:val="000000"/>
          <w:sz w:val="32"/>
          <w:szCs w:val="32"/>
          <w:lang w:val="en-US" w:eastAsia="zh-CN"/>
        </w:rPr>
        <w:t>59</w:t>
      </w:r>
      <w:r>
        <w:rPr>
          <w:rFonts w:hint="default" w:eastAsia="仿宋_GB2312"/>
          <w:color w:val="000000"/>
          <w:sz w:val="32"/>
          <w:szCs w:val="32"/>
        </w:rPr>
        <w:t>%，本省外市户籍占比约</w:t>
      </w:r>
      <w:r>
        <w:rPr>
          <w:rFonts w:hint="default" w:eastAsia="仿宋_GB2312"/>
          <w:color w:val="000000"/>
          <w:sz w:val="32"/>
          <w:szCs w:val="32"/>
          <w:lang w:val="en-US" w:eastAsia="zh-CN"/>
        </w:rPr>
        <w:t>14</w:t>
      </w:r>
      <w:r>
        <w:rPr>
          <w:rFonts w:hint="default" w:eastAsia="仿宋_GB2312"/>
          <w:color w:val="000000"/>
          <w:sz w:val="32"/>
          <w:szCs w:val="32"/>
        </w:rPr>
        <w:t>%，</w:t>
      </w:r>
      <w:r>
        <w:rPr>
          <w:rFonts w:eastAsia="仿宋_GB2312"/>
          <w:color w:val="000000"/>
          <w:sz w:val="32"/>
          <w:szCs w:val="32"/>
        </w:rPr>
        <w:t>外省户籍</w:t>
      </w:r>
      <w:r>
        <w:rPr>
          <w:rFonts w:hint="default" w:eastAsia="仿宋_GB2312"/>
          <w:color w:val="000000"/>
          <w:sz w:val="32"/>
          <w:szCs w:val="32"/>
        </w:rPr>
        <w:t>占比约</w:t>
      </w:r>
      <w:r>
        <w:rPr>
          <w:rFonts w:hint="default" w:eastAsia="仿宋_GB2312"/>
          <w:color w:val="000000"/>
          <w:sz w:val="32"/>
          <w:szCs w:val="32"/>
          <w:lang w:val="en-US" w:eastAsia="zh-CN"/>
        </w:rPr>
        <w:t>27</w:t>
      </w:r>
      <w:r>
        <w:rPr>
          <w:rFonts w:hint="default" w:eastAsia="仿宋_GB2312"/>
          <w:color w:val="000000"/>
          <w:sz w:val="32"/>
          <w:szCs w:val="32"/>
        </w:rPr>
        <w:t>%</w:t>
      </w:r>
      <w:r>
        <w:rPr>
          <w:rFonts w:eastAsia="仿宋_GB2312"/>
          <w:color w:val="000000"/>
          <w:sz w:val="32"/>
          <w:szCs w:val="32"/>
        </w:rPr>
        <w:t>；技工</w:t>
      </w:r>
      <w:r>
        <w:rPr>
          <w:rFonts w:hint="default" w:eastAsia="仿宋_GB2312"/>
          <w:color w:val="000000"/>
          <w:sz w:val="32"/>
          <w:szCs w:val="32"/>
        </w:rPr>
        <w:t>、</w:t>
      </w:r>
      <w:r>
        <w:rPr>
          <w:rFonts w:eastAsia="仿宋_GB2312"/>
          <w:color w:val="000000"/>
          <w:sz w:val="32"/>
          <w:szCs w:val="32"/>
        </w:rPr>
        <w:t>专业技术人员</w:t>
      </w:r>
      <w:r>
        <w:rPr>
          <w:rFonts w:hint="default" w:eastAsia="仿宋_GB2312"/>
          <w:color w:val="000000"/>
          <w:sz w:val="32"/>
          <w:szCs w:val="32"/>
        </w:rPr>
        <w:t>、</w:t>
      </w:r>
      <w:r>
        <w:rPr>
          <w:rFonts w:eastAsia="仿宋_GB2312"/>
          <w:color w:val="000000"/>
          <w:sz w:val="32"/>
          <w:szCs w:val="32"/>
        </w:rPr>
        <w:t>管理人员及其他人员中</w:t>
      </w:r>
      <w:r>
        <w:rPr>
          <w:rFonts w:hint="default" w:eastAsia="仿宋_GB2312"/>
          <w:color w:val="000000"/>
          <w:sz w:val="32"/>
          <w:szCs w:val="32"/>
        </w:rPr>
        <w:t>本省户籍占比超过</w:t>
      </w:r>
      <w:r>
        <w:rPr>
          <w:rFonts w:hint="default" w:eastAsia="仿宋_GB2312"/>
          <w:color w:val="000000"/>
          <w:sz w:val="32"/>
          <w:szCs w:val="32"/>
          <w:lang w:val="en-US" w:eastAsia="zh-CN"/>
        </w:rPr>
        <w:t>60</w:t>
      </w:r>
      <w:r>
        <w:rPr>
          <w:rFonts w:hint="default" w:eastAsia="仿宋_GB2312"/>
          <w:color w:val="000000"/>
          <w:sz w:val="32"/>
          <w:szCs w:val="32"/>
        </w:rPr>
        <w:t>%，其中</w:t>
      </w:r>
      <w:r>
        <w:rPr>
          <w:rFonts w:eastAsia="仿宋_GB2312"/>
          <w:color w:val="000000"/>
          <w:sz w:val="32"/>
          <w:szCs w:val="32"/>
        </w:rPr>
        <w:t>本</w:t>
      </w:r>
      <w:r>
        <w:rPr>
          <w:rFonts w:hint="default" w:eastAsia="仿宋_GB2312"/>
          <w:color w:val="000000"/>
          <w:sz w:val="32"/>
          <w:szCs w:val="32"/>
        </w:rPr>
        <w:t>市</w:t>
      </w:r>
      <w:r>
        <w:rPr>
          <w:rFonts w:eastAsia="仿宋_GB2312"/>
          <w:color w:val="000000"/>
          <w:sz w:val="32"/>
          <w:szCs w:val="32"/>
        </w:rPr>
        <w:t>户籍的</w:t>
      </w:r>
      <w:r>
        <w:rPr>
          <w:rFonts w:hint="default" w:eastAsia="仿宋_GB2312"/>
          <w:color w:val="000000"/>
          <w:sz w:val="32"/>
          <w:szCs w:val="32"/>
        </w:rPr>
        <w:t>占比约</w:t>
      </w:r>
      <w:r>
        <w:rPr>
          <w:rFonts w:hint="default" w:eastAsia="仿宋_GB2312"/>
          <w:color w:val="000000"/>
          <w:sz w:val="32"/>
          <w:szCs w:val="32"/>
          <w:lang w:val="en-US" w:eastAsia="zh-CN"/>
        </w:rPr>
        <w:t>43</w:t>
      </w:r>
      <w:r>
        <w:rPr>
          <w:rFonts w:hint="default" w:eastAsia="仿宋_GB2312"/>
          <w:color w:val="000000"/>
          <w:sz w:val="32"/>
          <w:szCs w:val="32"/>
        </w:rPr>
        <w:t>%，本省外市户籍占比约</w:t>
      </w:r>
      <w:r>
        <w:rPr>
          <w:rFonts w:hint="default" w:eastAsia="仿宋_GB2312"/>
          <w:color w:val="000000"/>
          <w:sz w:val="32"/>
          <w:szCs w:val="32"/>
          <w:lang w:val="en-US" w:eastAsia="zh-CN"/>
        </w:rPr>
        <w:t>22</w:t>
      </w:r>
      <w:r>
        <w:rPr>
          <w:rFonts w:hint="default" w:eastAsia="仿宋_GB2312"/>
          <w:color w:val="000000"/>
          <w:sz w:val="32"/>
          <w:szCs w:val="32"/>
        </w:rPr>
        <w:t>%，</w:t>
      </w:r>
      <w:r>
        <w:rPr>
          <w:rFonts w:eastAsia="仿宋_GB2312"/>
          <w:color w:val="000000"/>
          <w:sz w:val="32"/>
          <w:szCs w:val="32"/>
        </w:rPr>
        <w:t>外省户籍</w:t>
      </w:r>
      <w:r>
        <w:rPr>
          <w:rFonts w:hint="default" w:eastAsia="仿宋_GB2312"/>
          <w:color w:val="000000"/>
          <w:sz w:val="32"/>
          <w:szCs w:val="32"/>
        </w:rPr>
        <w:t>占比约</w:t>
      </w:r>
      <w:r>
        <w:rPr>
          <w:rFonts w:hint="default" w:eastAsia="仿宋_GB2312"/>
          <w:color w:val="000000"/>
          <w:sz w:val="32"/>
          <w:szCs w:val="32"/>
          <w:lang w:val="en-US" w:eastAsia="zh-CN"/>
        </w:rPr>
        <w:t>34</w:t>
      </w:r>
      <w:r>
        <w:rPr>
          <w:rFonts w:hint="default" w:eastAsia="仿宋_GB2312"/>
          <w:color w:val="000000"/>
          <w:sz w:val="32"/>
          <w:szCs w:val="32"/>
        </w:rPr>
        <w:t>%</w:t>
      </w:r>
      <w:r>
        <w:rPr>
          <w:rFonts w:eastAsia="仿宋_GB2312"/>
          <w:color w:val="000000"/>
          <w:sz w:val="32"/>
          <w:szCs w:val="32"/>
        </w:rPr>
        <w:t>（见表</w:t>
      </w:r>
      <w:r>
        <w:rPr>
          <w:rFonts w:hint="eastAsia" w:eastAsia="仿宋_GB2312"/>
          <w:color w:val="000000"/>
          <w:sz w:val="32"/>
          <w:szCs w:val="32"/>
          <w:lang w:eastAsia="zh-CN"/>
        </w:rPr>
        <w:t>6</w:t>
      </w:r>
      <w:r>
        <w:rPr>
          <w:rFonts w:eastAsia="仿宋_GB2312"/>
          <w:color w:val="000000"/>
          <w:sz w:val="32"/>
          <w:szCs w:val="32"/>
        </w:rPr>
        <w:t>）。</w:t>
      </w:r>
    </w:p>
    <w:p>
      <w:pPr>
        <w:pStyle w:val="39"/>
        <w:numPr>
          <w:ilvl w:val="0"/>
          <w:numId w:val="0"/>
        </w:numPr>
        <w:rPr>
          <w:rFonts w:eastAsia="宋体"/>
        </w:rPr>
      </w:pPr>
      <w:r>
        <w:rPr>
          <w:rFonts w:hint="eastAsia" w:eastAsia="宋体"/>
        </w:rPr>
        <w:t>表</w:t>
      </w:r>
      <w:r>
        <w:rPr>
          <w:rFonts w:hint="eastAsia" w:eastAsia="宋体"/>
          <w:lang w:val="en-US" w:eastAsia="zh-CN"/>
        </w:rPr>
        <w:t>6</w:t>
      </w:r>
      <w:r>
        <w:rPr>
          <w:rFonts w:hint="eastAsia" w:eastAsia="宋体"/>
        </w:rPr>
        <w:t>：</w:t>
      </w:r>
      <w:r>
        <w:rPr>
          <w:rFonts w:hint="eastAsia" w:eastAsia="宋体"/>
          <w:lang w:eastAsia="zh-CN"/>
        </w:rPr>
        <w:t>2023年</w:t>
      </w:r>
      <w:r>
        <w:rPr>
          <w:rFonts w:hint="eastAsia" w:eastAsia="宋体"/>
        </w:rPr>
        <w:t>样本企业</w:t>
      </w:r>
      <w:r>
        <w:rPr>
          <w:rFonts w:eastAsia="宋体"/>
        </w:rPr>
        <w:t>不同岗位员工户籍分布</w:t>
      </w:r>
    </w:p>
    <w:p>
      <w:pPr>
        <w:jc w:val="right"/>
        <w:rPr>
          <w:b/>
          <w:sz w:val="24"/>
        </w:rPr>
      </w:pPr>
      <w:r>
        <w:rPr>
          <w:b/>
          <w:sz w:val="24"/>
        </w:rPr>
        <w:t>单位：%</w:t>
      </w:r>
    </w:p>
    <w:tbl>
      <w:tblPr>
        <w:tblStyle w:val="13"/>
        <w:tblW w:w="9654"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859"/>
        <w:gridCol w:w="1858"/>
        <w:gridCol w:w="1187"/>
        <w:gridCol w:w="1187"/>
        <w:gridCol w:w="1187"/>
        <w:gridCol w:w="1187"/>
        <w:gridCol w:w="1189"/>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22" w:hRule="atLeast"/>
          <w:tblHeader/>
          <w:jc w:val="center"/>
        </w:trPr>
        <w:tc>
          <w:tcPr>
            <w:tcW w:w="1859"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工种分类</w:t>
            </w:r>
          </w:p>
        </w:tc>
        <w:tc>
          <w:tcPr>
            <w:tcW w:w="1858"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户籍</w:t>
            </w:r>
          </w:p>
        </w:tc>
        <w:tc>
          <w:tcPr>
            <w:tcW w:w="1187"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1季度</w:t>
            </w:r>
          </w:p>
        </w:tc>
        <w:tc>
          <w:tcPr>
            <w:tcW w:w="1187"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2季度</w:t>
            </w:r>
          </w:p>
        </w:tc>
        <w:tc>
          <w:tcPr>
            <w:tcW w:w="1187"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3季度</w:t>
            </w:r>
          </w:p>
        </w:tc>
        <w:tc>
          <w:tcPr>
            <w:tcW w:w="1187"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4季度</w:t>
            </w:r>
          </w:p>
        </w:tc>
        <w:tc>
          <w:tcPr>
            <w:tcW w:w="1189"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全年平均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restart"/>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普工</w:t>
            </w:r>
          </w:p>
        </w:tc>
        <w:tc>
          <w:tcPr>
            <w:tcW w:w="185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本省户籍</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73.2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73.1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71.4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70.5 </w:t>
            </w:r>
          </w:p>
        </w:tc>
        <w:tc>
          <w:tcPr>
            <w:tcW w:w="1189"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73.2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Cs w:val="21"/>
              </w:rPr>
            </w:pPr>
          </w:p>
        </w:tc>
        <w:tc>
          <w:tcPr>
            <w:tcW w:w="185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本市户籍</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59.5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59.2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53.4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52.7 </w:t>
            </w:r>
          </w:p>
        </w:tc>
        <w:tc>
          <w:tcPr>
            <w:tcW w:w="1189"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59.4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Cs w:val="21"/>
              </w:rPr>
            </w:pPr>
          </w:p>
        </w:tc>
        <w:tc>
          <w:tcPr>
            <w:tcW w:w="185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本省外市户籍</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13.7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13.9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18.0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17.8 </w:t>
            </w:r>
          </w:p>
        </w:tc>
        <w:tc>
          <w:tcPr>
            <w:tcW w:w="1189"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13.8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Cs w:val="21"/>
              </w:rPr>
            </w:pPr>
          </w:p>
        </w:tc>
        <w:tc>
          <w:tcPr>
            <w:tcW w:w="185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外省户籍</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26.8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26.9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28.6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29.5 </w:t>
            </w:r>
          </w:p>
        </w:tc>
        <w:tc>
          <w:tcPr>
            <w:tcW w:w="1189"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26.9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Cs w:val="21"/>
              </w:rPr>
            </w:pPr>
          </w:p>
        </w:tc>
        <w:tc>
          <w:tcPr>
            <w:tcW w:w="1858"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118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18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18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18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189"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restart"/>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技工</w:t>
            </w:r>
          </w:p>
        </w:tc>
        <w:tc>
          <w:tcPr>
            <w:tcW w:w="185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本省户籍</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69.7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69.0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68.7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69.4 </w:t>
            </w:r>
          </w:p>
        </w:tc>
        <w:tc>
          <w:tcPr>
            <w:tcW w:w="1189"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69.4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Cs w:val="21"/>
              </w:rPr>
            </w:pPr>
          </w:p>
        </w:tc>
        <w:tc>
          <w:tcPr>
            <w:tcW w:w="185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本市户籍</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30.3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31.0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31.3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30.6 </w:t>
            </w:r>
          </w:p>
        </w:tc>
        <w:tc>
          <w:tcPr>
            <w:tcW w:w="1189"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30.7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Cs w:val="21"/>
              </w:rPr>
            </w:pPr>
          </w:p>
        </w:tc>
        <w:tc>
          <w:tcPr>
            <w:tcW w:w="185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本省外市户籍</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39.4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38.0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37.4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38.8 </w:t>
            </w:r>
          </w:p>
        </w:tc>
        <w:tc>
          <w:tcPr>
            <w:tcW w:w="1189"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38.7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Cs w:val="21"/>
              </w:rPr>
            </w:pPr>
          </w:p>
        </w:tc>
        <w:tc>
          <w:tcPr>
            <w:tcW w:w="185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外省户籍</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30.3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31.0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31.3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30.6 </w:t>
            </w:r>
          </w:p>
        </w:tc>
        <w:tc>
          <w:tcPr>
            <w:tcW w:w="1189"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30.7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Cs w:val="21"/>
              </w:rPr>
            </w:pPr>
          </w:p>
        </w:tc>
        <w:tc>
          <w:tcPr>
            <w:tcW w:w="1858"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118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18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18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18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189"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restart"/>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专业技术人员</w:t>
            </w:r>
          </w:p>
        </w:tc>
        <w:tc>
          <w:tcPr>
            <w:tcW w:w="185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本省户籍</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67.3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67.6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62.6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73.1 </w:t>
            </w:r>
          </w:p>
        </w:tc>
        <w:tc>
          <w:tcPr>
            <w:tcW w:w="1189"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67.5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Cs w:val="21"/>
              </w:rPr>
            </w:pPr>
          </w:p>
        </w:tc>
        <w:tc>
          <w:tcPr>
            <w:tcW w:w="185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本市户籍</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51.0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51.0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39.9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42.6 </w:t>
            </w:r>
          </w:p>
        </w:tc>
        <w:tc>
          <w:tcPr>
            <w:tcW w:w="1189"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51.0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Cs w:val="21"/>
              </w:rPr>
            </w:pPr>
          </w:p>
        </w:tc>
        <w:tc>
          <w:tcPr>
            <w:tcW w:w="185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本省外市户籍</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16.3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16.6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22.7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30.5 </w:t>
            </w:r>
          </w:p>
        </w:tc>
        <w:tc>
          <w:tcPr>
            <w:tcW w:w="1189"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16.5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Cs w:val="21"/>
              </w:rPr>
            </w:pPr>
          </w:p>
        </w:tc>
        <w:tc>
          <w:tcPr>
            <w:tcW w:w="185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外省户籍</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32.7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32.4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37.4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26.9 </w:t>
            </w:r>
          </w:p>
        </w:tc>
        <w:tc>
          <w:tcPr>
            <w:tcW w:w="1189"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32.6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Cs w:val="21"/>
              </w:rPr>
            </w:pPr>
          </w:p>
        </w:tc>
        <w:tc>
          <w:tcPr>
            <w:tcW w:w="1858"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118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18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18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18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189"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restart"/>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管理人员及其他人员</w:t>
            </w:r>
          </w:p>
        </w:tc>
        <w:tc>
          <w:tcPr>
            <w:tcW w:w="185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本省户籍</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61.4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59.7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66.9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66.9 </w:t>
            </w:r>
          </w:p>
        </w:tc>
        <w:tc>
          <w:tcPr>
            <w:tcW w:w="1189"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60.6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Cs w:val="21"/>
              </w:rPr>
            </w:pPr>
          </w:p>
        </w:tc>
        <w:tc>
          <w:tcPr>
            <w:tcW w:w="185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本市户籍</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49.5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47.8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44.5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42.5 </w:t>
            </w:r>
          </w:p>
        </w:tc>
        <w:tc>
          <w:tcPr>
            <w:tcW w:w="1189"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48.7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Cs w:val="21"/>
              </w:rPr>
            </w:pPr>
          </w:p>
        </w:tc>
        <w:tc>
          <w:tcPr>
            <w:tcW w:w="185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本省外市户籍</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11.9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11.9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22.4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24.4 </w:t>
            </w:r>
          </w:p>
        </w:tc>
        <w:tc>
          <w:tcPr>
            <w:tcW w:w="1189"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11.9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Cs w:val="21"/>
              </w:rPr>
            </w:pPr>
          </w:p>
        </w:tc>
        <w:tc>
          <w:tcPr>
            <w:tcW w:w="185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外省户籍</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38.6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40.3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33.1 </w:t>
            </w:r>
          </w:p>
        </w:tc>
        <w:tc>
          <w:tcPr>
            <w:tcW w:w="118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33.1 </w:t>
            </w:r>
          </w:p>
        </w:tc>
        <w:tc>
          <w:tcPr>
            <w:tcW w:w="1189"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39.5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Cs w:val="21"/>
              </w:rPr>
            </w:pPr>
          </w:p>
        </w:tc>
        <w:tc>
          <w:tcPr>
            <w:tcW w:w="1858"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118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18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18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18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189"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r>
    </w:tbl>
    <w:p>
      <w:pPr>
        <w:numPr>
          <w:ilvl w:val="0"/>
          <w:numId w:val="0"/>
        </w:numPr>
        <w:spacing w:before="156"/>
        <w:ind w:firstLine="420" w:firstLineChars="200"/>
        <w:rPr>
          <w:rFonts w:hint="eastAsia"/>
        </w:rPr>
      </w:pPr>
    </w:p>
    <w:p>
      <w:pPr>
        <w:pStyle w:val="37"/>
        <w:numPr>
          <w:ilvl w:val="0"/>
          <w:numId w:val="0"/>
        </w:numPr>
        <w:spacing w:before="156"/>
        <w:ind w:firstLine="640" w:firstLineChars="200"/>
        <w:rPr>
          <w:rFonts w:hint="eastAsia" w:ascii="楷体_GB2312" w:hAnsi="楷体_GB2312" w:eastAsia="楷体_GB2312" w:cs="楷体_GB2312"/>
          <w:b w:val="0"/>
          <w:bCs w:val="0"/>
        </w:rPr>
      </w:pPr>
      <w:bookmarkStart w:id="7" w:name="_Toc17689"/>
      <w:r>
        <w:rPr>
          <w:rFonts w:hint="eastAsia" w:ascii="楷体_GB2312" w:hAnsi="楷体_GB2312" w:eastAsia="楷体_GB2312" w:cs="楷体_GB2312"/>
          <w:b w:val="0"/>
          <w:bCs w:val="0"/>
        </w:rPr>
        <w:t>（三）人员流失情况</w:t>
      </w:r>
      <w:bookmarkEnd w:id="7"/>
    </w:p>
    <w:p>
      <w:pPr>
        <w:spacing w:before="0" w:beforeLines="0"/>
        <w:ind w:firstLine="643" w:firstLineChars="200"/>
        <w:rPr>
          <w:rFonts w:eastAsia="仿宋"/>
          <w:b/>
          <w:bCs/>
          <w:sz w:val="32"/>
          <w:szCs w:val="32"/>
        </w:rPr>
      </w:pPr>
      <w:r>
        <w:rPr>
          <w:rFonts w:eastAsia="仿宋"/>
          <w:b/>
          <w:bCs/>
          <w:sz w:val="32"/>
          <w:szCs w:val="32"/>
        </w:rPr>
        <w:t>1.制造业企业流失人数最多，占比</w:t>
      </w:r>
      <w:r>
        <w:rPr>
          <w:rStyle w:val="20"/>
          <w:rFonts w:eastAsia="仿宋"/>
          <w:b/>
          <w:bCs/>
          <w:sz w:val="32"/>
          <w:szCs w:val="32"/>
        </w:rPr>
        <w:footnoteReference w:id="0"/>
      </w:r>
      <w:r>
        <w:rPr>
          <w:rFonts w:eastAsia="仿宋"/>
          <w:b/>
          <w:bCs/>
          <w:sz w:val="32"/>
          <w:szCs w:val="32"/>
        </w:rPr>
        <w:t>最高</w:t>
      </w:r>
      <w:r>
        <w:rPr>
          <w:rFonts w:hint="eastAsia" w:eastAsia="仿宋"/>
          <w:b/>
          <w:bCs/>
          <w:sz w:val="32"/>
          <w:szCs w:val="32"/>
        </w:rPr>
        <w:t>，存在</w:t>
      </w:r>
      <w:r>
        <w:rPr>
          <w:rFonts w:eastAsia="仿宋"/>
          <w:b/>
          <w:bCs/>
          <w:sz w:val="32"/>
          <w:szCs w:val="32"/>
        </w:rPr>
        <w:t>季节</w:t>
      </w:r>
      <w:r>
        <w:rPr>
          <w:rFonts w:hint="eastAsia" w:eastAsia="仿宋"/>
          <w:b/>
          <w:bCs/>
          <w:sz w:val="32"/>
          <w:szCs w:val="32"/>
        </w:rPr>
        <w:t>性</w:t>
      </w:r>
      <w:r>
        <w:rPr>
          <w:rFonts w:eastAsia="仿宋"/>
          <w:b/>
          <w:bCs/>
          <w:sz w:val="32"/>
          <w:szCs w:val="32"/>
        </w:rPr>
        <w:t>差异</w:t>
      </w:r>
    </w:p>
    <w:p>
      <w:pPr>
        <w:numPr>
          <w:ilvl w:val="0"/>
          <w:numId w:val="0"/>
        </w:numPr>
        <w:spacing w:before="0" w:beforeLines="0"/>
        <w:ind w:firstLine="1280" w:firstLineChars="400"/>
        <w:rPr>
          <w:rFonts w:hint="eastAsia" w:eastAsia="宋体"/>
        </w:rPr>
      </w:pPr>
      <w:r>
        <w:rPr>
          <w:rFonts w:hint="default" w:eastAsia="仿宋_GB2312"/>
          <w:color w:val="000000"/>
          <w:sz w:val="32"/>
          <w:szCs w:val="32"/>
          <w:lang w:eastAsia="zh-CN"/>
        </w:rPr>
        <w:t>2023年</w:t>
      </w:r>
      <w:r>
        <w:rPr>
          <w:rFonts w:hint="default" w:eastAsia="仿宋_GB2312"/>
          <w:color w:val="000000"/>
          <w:sz w:val="32"/>
          <w:szCs w:val="32"/>
        </w:rPr>
        <w:t>样本企业中</w:t>
      </w:r>
      <w:r>
        <w:rPr>
          <w:rFonts w:eastAsia="仿宋_GB2312"/>
          <w:color w:val="000000"/>
          <w:sz w:val="32"/>
          <w:szCs w:val="32"/>
        </w:rPr>
        <w:t>，</w:t>
      </w:r>
      <w:r>
        <w:rPr>
          <w:rFonts w:hint="default" w:eastAsia="仿宋_GB2312"/>
          <w:color w:val="000000"/>
          <w:sz w:val="32"/>
          <w:szCs w:val="32"/>
          <w:lang w:val="en-US" w:eastAsia="zh-CN"/>
        </w:rPr>
        <w:t>3</w:t>
      </w:r>
      <w:r>
        <w:rPr>
          <w:rFonts w:hint="default" w:eastAsia="仿宋_GB2312"/>
          <w:color w:val="000000"/>
          <w:sz w:val="32"/>
          <w:szCs w:val="32"/>
        </w:rPr>
        <w:t>季度</w:t>
      </w:r>
      <w:r>
        <w:rPr>
          <w:rFonts w:eastAsia="仿宋_GB2312"/>
          <w:color w:val="000000"/>
          <w:sz w:val="32"/>
          <w:szCs w:val="32"/>
        </w:rPr>
        <w:t>流失人数</w:t>
      </w:r>
      <w:r>
        <w:rPr>
          <w:rFonts w:hint="default" w:eastAsia="仿宋_GB2312"/>
          <w:color w:val="000000"/>
          <w:sz w:val="32"/>
          <w:szCs w:val="32"/>
          <w:lang w:val="en-US" w:eastAsia="zh-CN"/>
        </w:rPr>
        <w:t>2350</w:t>
      </w:r>
      <w:r>
        <w:rPr>
          <w:rFonts w:hint="default" w:eastAsia="仿宋_GB2312"/>
          <w:color w:val="000000"/>
          <w:sz w:val="32"/>
          <w:szCs w:val="32"/>
        </w:rPr>
        <w:t>人</w:t>
      </w:r>
      <w:r>
        <w:rPr>
          <w:rFonts w:eastAsia="仿宋_GB2312"/>
          <w:color w:val="000000"/>
          <w:sz w:val="32"/>
          <w:szCs w:val="32"/>
        </w:rPr>
        <w:t>最多，</w:t>
      </w:r>
      <w:r>
        <w:rPr>
          <w:rFonts w:hint="default" w:eastAsia="仿宋_GB2312"/>
          <w:color w:val="000000"/>
          <w:sz w:val="32"/>
          <w:szCs w:val="32"/>
          <w:lang w:val="en-US" w:eastAsia="zh-CN"/>
        </w:rPr>
        <w:t>2</w:t>
      </w:r>
      <w:r>
        <w:rPr>
          <w:rFonts w:hint="default" w:eastAsia="仿宋_GB2312"/>
          <w:color w:val="000000"/>
          <w:sz w:val="32"/>
          <w:szCs w:val="32"/>
        </w:rPr>
        <w:t>季度</w:t>
      </w:r>
      <w:r>
        <w:rPr>
          <w:rFonts w:eastAsia="仿宋_GB2312"/>
          <w:color w:val="000000"/>
          <w:sz w:val="32"/>
          <w:szCs w:val="32"/>
        </w:rPr>
        <w:t>流失人数</w:t>
      </w:r>
      <w:r>
        <w:rPr>
          <w:rFonts w:hint="default" w:eastAsia="仿宋_GB2312"/>
          <w:color w:val="000000"/>
          <w:sz w:val="32"/>
          <w:szCs w:val="32"/>
          <w:lang w:val="en-US" w:eastAsia="zh-CN"/>
        </w:rPr>
        <w:t>1846</w:t>
      </w:r>
      <w:r>
        <w:rPr>
          <w:rFonts w:hint="default" w:eastAsia="仿宋_GB2312"/>
          <w:color w:val="000000"/>
          <w:sz w:val="32"/>
          <w:szCs w:val="32"/>
        </w:rPr>
        <w:t>人</w:t>
      </w:r>
      <w:r>
        <w:rPr>
          <w:rFonts w:eastAsia="仿宋_GB2312"/>
          <w:color w:val="000000"/>
          <w:sz w:val="32"/>
          <w:szCs w:val="32"/>
        </w:rPr>
        <w:t>最少，季节性</w:t>
      </w:r>
      <w:r>
        <w:rPr>
          <w:rFonts w:hint="default" w:eastAsia="仿宋_GB2312"/>
          <w:color w:val="000000"/>
          <w:sz w:val="32"/>
          <w:szCs w:val="32"/>
        </w:rPr>
        <w:t>有所</w:t>
      </w:r>
      <w:r>
        <w:rPr>
          <w:rFonts w:eastAsia="仿宋_GB2312"/>
          <w:color w:val="000000"/>
          <w:sz w:val="32"/>
          <w:szCs w:val="32"/>
        </w:rPr>
        <w:t>差异。</w:t>
      </w:r>
      <w:r>
        <w:rPr>
          <w:rFonts w:hint="default" w:eastAsia="仿宋_GB2312"/>
          <w:color w:val="000000"/>
          <w:sz w:val="32"/>
          <w:szCs w:val="32"/>
        </w:rPr>
        <w:t>分行业来看</w:t>
      </w:r>
      <w:r>
        <w:rPr>
          <w:rFonts w:eastAsia="仿宋_GB2312"/>
          <w:color w:val="000000"/>
          <w:sz w:val="32"/>
          <w:szCs w:val="32"/>
        </w:rPr>
        <w:t>，制造业的流失人数最多，均超过</w:t>
      </w:r>
      <w:r>
        <w:rPr>
          <w:rFonts w:hint="default" w:eastAsia="仿宋_GB2312"/>
          <w:color w:val="000000"/>
          <w:sz w:val="32"/>
          <w:szCs w:val="32"/>
          <w:lang w:val="en-US" w:eastAsia="zh-CN"/>
        </w:rPr>
        <w:t>11</w:t>
      </w:r>
      <w:r>
        <w:rPr>
          <w:rFonts w:eastAsia="仿宋_GB2312"/>
          <w:color w:val="000000"/>
          <w:sz w:val="32"/>
          <w:szCs w:val="32"/>
        </w:rPr>
        <w:t>00人</w:t>
      </w:r>
      <w:r>
        <w:rPr>
          <w:rFonts w:hint="default" w:eastAsia="仿宋_GB2312"/>
          <w:color w:val="000000"/>
          <w:sz w:val="32"/>
          <w:szCs w:val="32"/>
        </w:rPr>
        <w:t>，占比</w:t>
      </w:r>
      <w:r>
        <w:rPr>
          <w:rFonts w:eastAsia="仿宋_GB2312"/>
          <w:color w:val="000000"/>
          <w:sz w:val="32"/>
          <w:szCs w:val="32"/>
        </w:rPr>
        <w:t>超过</w:t>
      </w:r>
      <w:r>
        <w:rPr>
          <w:rFonts w:hint="default" w:eastAsia="仿宋_GB2312"/>
          <w:color w:val="000000"/>
          <w:sz w:val="32"/>
          <w:szCs w:val="32"/>
          <w:lang w:val="en-US" w:eastAsia="zh-CN"/>
        </w:rPr>
        <w:t>54</w:t>
      </w:r>
      <w:r>
        <w:rPr>
          <w:rFonts w:eastAsia="仿宋_GB2312"/>
          <w:color w:val="000000"/>
          <w:sz w:val="32"/>
          <w:szCs w:val="32"/>
        </w:rPr>
        <w:t>%</w:t>
      </w:r>
      <w:r>
        <w:rPr>
          <w:rFonts w:hint="default" w:eastAsia="仿宋_GB2312"/>
          <w:color w:val="000000"/>
          <w:sz w:val="32"/>
          <w:szCs w:val="32"/>
        </w:rPr>
        <w:t>；</w:t>
      </w:r>
      <w:r>
        <w:rPr>
          <w:rFonts w:eastAsia="仿宋_GB2312"/>
          <w:color w:val="000000"/>
          <w:sz w:val="32"/>
          <w:szCs w:val="32"/>
        </w:rPr>
        <w:t>其次是批发和零售业</w:t>
      </w:r>
      <w:r>
        <w:rPr>
          <w:rFonts w:hint="default" w:eastAsia="仿宋_GB2312"/>
          <w:color w:val="000000"/>
          <w:sz w:val="32"/>
          <w:szCs w:val="32"/>
        </w:rPr>
        <w:t>，</w:t>
      </w:r>
      <w:r>
        <w:rPr>
          <w:rFonts w:eastAsia="仿宋_GB2312"/>
          <w:color w:val="000000"/>
          <w:sz w:val="32"/>
          <w:szCs w:val="32"/>
        </w:rPr>
        <w:t>流失人数超过</w:t>
      </w:r>
      <w:r>
        <w:rPr>
          <w:rFonts w:hint="default" w:eastAsia="仿宋_GB2312"/>
          <w:color w:val="000000"/>
          <w:sz w:val="32"/>
          <w:szCs w:val="32"/>
          <w:lang w:val="en-US" w:eastAsia="zh-CN"/>
        </w:rPr>
        <w:t>230</w:t>
      </w:r>
      <w:r>
        <w:rPr>
          <w:rFonts w:eastAsia="仿宋_GB2312"/>
          <w:color w:val="000000"/>
          <w:sz w:val="32"/>
          <w:szCs w:val="32"/>
        </w:rPr>
        <w:t>人</w:t>
      </w:r>
      <w:r>
        <w:rPr>
          <w:rFonts w:hint="default" w:eastAsia="仿宋_GB2312"/>
          <w:color w:val="000000"/>
          <w:sz w:val="32"/>
          <w:szCs w:val="32"/>
        </w:rPr>
        <w:t>，约占</w:t>
      </w:r>
      <w:r>
        <w:rPr>
          <w:rFonts w:hint="default" w:eastAsia="仿宋_GB2312"/>
          <w:color w:val="000000"/>
          <w:sz w:val="32"/>
          <w:szCs w:val="32"/>
          <w:lang w:val="en-US" w:eastAsia="zh-CN"/>
        </w:rPr>
        <w:t>12</w:t>
      </w:r>
      <w:r>
        <w:rPr>
          <w:rFonts w:hint="default" w:eastAsia="仿宋_GB2312"/>
          <w:color w:val="000000"/>
          <w:sz w:val="32"/>
          <w:szCs w:val="32"/>
        </w:rPr>
        <w:t>%；</w:t>
      </w:r>
      <w:r>
        <w:rPr>
          <w:rFonts w:eastAsia="仿宋_GB2312"/>
          <w:color w:val="000000"/>
          <w:sz w:val="32"/>
          <w:szCs w:val="32"/>
        </w:rPr>
        <w:t>住宿和餐饮业的流失人数</w:t>
      </w:r>
      <w:r>
        <w:rPr>
          <w:rFonts w:hint="default" w:eastAsia="仿宋_GB2312"/>
          <w:color w:val="000000"/>
          <w:sz w:val="32"/>
          <w:szCs w:val="32"/>
        </w:rPr>
        <w:t>超过100人，占比约</w:t>
      </w:r>
      <w:r>
        <w:rPr>
          <w:rFonts w:hint="default" w:eastAsia="仿宋_GB2312"/>
          <w:color w:val="000000"/>
          <w:sz w:val="32"/>
          <w:szCs w:val="32"/>
          <w:lang w:val="en-US" w:eastAsia="zh-CN"/>
        </w:rPr>
        <w:t>6</w:t>
      </w:r>
      <w:r>
        <w:rPr>
          <w:rFonts w:hint="default" w:eastAsia="仿宋_GB2312"/>
          <w:color w:val="000000"/>
          <w:sz w:val="32"/>
          <w:szCs w:val="32"/>
        </w:rPr>
        <w:t>%；</w:t>
      </w:r>
      <w:r>
        <w:rPr>
          <w:rFonts w:eastAsia="仿宋_GB2312"/>
          <w:color w:val="000000"/>
          <w:sz w:val="32"/>
          <w:szCs w:val="32"/>
        </w:rPr>
        <w:t>其他行业的流失人数</w:t>
      </w:r>
      <w:r>
        <w:rPr>
          <w:rFonts w:hint="default" w:eastAsia="仿宋_GB2312"/>
          <w:color w:val="000000"/>
          <w:sz w:val="32"/>
          <w:szCs w:val="32"/>
        </w:rPr>
        <w:t>较少，</w:t>
      </w:r>
      <w:r>
        <w:rPr>
          <w:rFonts w:eastAsia="仿宋_GB2312"/>
          <w:color w:val="000000"/>
          <w:sz w:val="32"/>
          <w:szCs w:val="32"/>
        </w:rPr>
        <w:t>占比较低（见表</w:t>
      </w:r>
      <w:r>
        <w:rPr>
          <w:rFonts w:hint="eastAsia" w:eastAsia="仿宋_GB2312"/>
          <w:color w:val="000000"/>
          <w:sz w:val="32"/>
          <w:szCs w:val="32"/>
          <w:lang w:eastAsia="zh-CN"/>
        </w:rPr>
        <w:t>7</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7</w:t>
      </w:r>
      <w:r>
        <w:rPr>
          <w:rFonts w:hint="eastAsia" w:eastAsia="宋体"/>
        </w:rPr>
        <w:t>：</w:t>
      </w:r>
      <w:r>
        <w:rPr>
          <w:rFonts w:hint="eastAsia" w:eastAsia="宋体"/>
          <w:lang w:eastAsia="zh-CN"/>
        </w:rPr>
        <w:t>2023年</w:t>
      </w:r>
      <w:r>
        <w:rPr>
          <w:rFonts w:eastAsia="宋体"/>
        </w:rPr>
        <w:t>样本企业分行业流失人数</w:t>
      </w:r>
      <w:r>
        <w:rPr>
          <w:rFonts w:hint="eastAsia" w:eastAsia="宋体"/>
        </w:rPr>
        <w:t>及</w:t>
      </w:r>
      <w:r>
        <w:rPr>
          <w:rFonts w:eastAsia="宋体"/>
        </w:rPr>
        <w:t>占比情况</w:t>
      </w:r>
    </w:p>
    <w:p>
      <w:pPr>
        <w:jc w:val="right"/>
        <w:rPr>
          <w:rFonts w:hint="eastAsia"/>
          <w:b/>
          <w:sz w:val="24"/>
        </w:rPr>
      </w:pPr>
      <w:r>
        <w:rPr>
          <w:rFonts w:hint="eastAsia"/>
          <w:b/>
          <w:sz w:val="24"/>
        </w:rPr>
        <w:t>单位：人、%</w:t>
      </w:r>
    </w:p>
    <w:tbl>
      <w:tblPr>
        <w:tblStyle w:val="13"/>
        <w:tblW w:w="9617"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817"/>
        <w:gridCol w:w="739"/>
        <w:gridCol w:w="711"/>
        <w:gridCol w:w="739"/>
        <w:gridCol w:w="711"/>
        <w:gridCol w:w="739"/>
        <w:gridCol w:w="711"/>
        <w:gridCol w:w="739"/>
        <w:gridCol w:w="711"/>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78" w:hRule="atLeast"/>
          <w:tblHeader/>
          <w:jc w:val="center"/>
        </w:trPr>
        <w:tc>
          <w:tcPr>
            <w:tcW w:w="3817" w:type="dxa"/>
            <w:shd w:val="clear" w:color="auto" w:fill="92CDDC" w:themeFill="accent5" w:themeFillTint="99"/>
            <w:noWrap w:val="0"/>
            <w:vAlign w:val="center"/>
          </w:tcPr>
          <w:p>
            <w:pPr>
              <w:jc w:val="center"/>
              <w:rPr>
                <w:b/>
                <w:bCs/>
                <w:color w:val="000000"/>
              </w:rPr>
            </w:pPr>
            <w:r>
              <w:rPr>
                <w:b/>
                <w:bCs/>
                <w:color w:val="000000"/>
              </w:rPr>
              <w:t>行业</w:t>
            </w:r>
          </w:p>
        </w:tc>
        <w:tc>
          <w:tcPr>
            <w:tcW w:w="1450" w:type="dxa"/>
            <w:gridSpan w:val="2"/>
            <w:shd w:val="clear" w:color="auto" w:fill="92CDDC" w:themeFill="accent5" w:themeFillTint="99"/>
            <w:noWrap w:val="0"/>
            <w:vAlign w:val="center"/>
          </w:tcPr>
          <w:p>
            <w:pPr>
              <w:jc w:val="center"/>
              <w:rPr>
                <w:b/>
                <w:bCs/>
                <w:color w:val="000000"/>
              </w:rPr>
            </w:pPr>
            <w:r>
              <w:rPr>
                <w:rFonts w:hint="default"/>
                <w:b/>
                <w:bCs/>
                <w:color w:val="000000"/>
              </w:rPr>
              <w:t>1季度</w:t>
            </w:r>
          </w:p>
        </w:tc>
        <w:tc>
          <w:tcPr>
            <w:tcW w:w="1450" w:type="dxa"/>
            <w:gridSpan w:val="2"/>
            <w:shd w:val="clear" w:color="auto" w:fill="92CDDC" w:themeFill="accent5" w:themeFillTint="99"/>
            <w:noWrap w:val="0"/>
            <w:vAlign w:val="center"/>
          </w:tcPr>
          <w:p>
            <w:pPr>
              <w:jc w:val="center"/>
              <w:rPr>
                <w:b/>
                <w:bCs/>
                <w:color w:val="000000"/>
              </w:rPr>
            </w:pPr>
            <w:r>
              <w:rPr>
                <w:rFonts w:hint="default"/>
                <w:b/>
                <w:bCs/>
                <w:color w:val="000000"/>
              </w:rPr>
              <w:t>2季度</w:t>
            </w:r>
          </w:p>
        </w:tc>
        <w:tc>
          <w:tcPr>
            <w:tcW w:w="1450" w:type="dxa"/>
            <w:gridSpan w:val="2"/>
            <w:shd w:val="clear" w:color="auto" w:fill="92CDDC" w:themeFill="accent5" w:themeFillTint="99"/>
            <w:noWrap w:val="0"/>
            <w:vAlign w:val="center"/>
          </w:tcPr>
          <w:p>
            <w:pPr>
              <w:jc w:val="center"/>
              <w:rPr>
                <w:b/>
                <w:bCs/>
                <w:color w:val="000000"/>
              </w:rPr>
            </w:pPr>
            <w:r>
              <w:rPr>
                <w:rFonts w:hint="default"/>
                <w:b/>
                <w:bCs/>
                <w:color w:val="000000"/>
              </w:rPr>
              <w:t>3季度</w:t>
            </w:r>
          </w:p>
        </w:tc>
        <w:tc>
          <w:tcPr>
            <w:tcW w:w="1450" w:type="dxa"/>
            <w:gridSpan w:val="2"/>
            <w:shd w:val="clear" w:color="auto" w:fill="92CDDC" w:themeFill="accent5" w:themeFillTint="99"/>
            <w:noWrap w:val="0"/>
            <w:vAlign w:val="center"/>
          </w:tcPr>
          <w:p>
            <w:pPr>
              <w:jc w:val="center"/>
              <w:rPr>
                <w:b/>
                <w:bCs/>
                <w:color w:val="000000"/>
              </w:rPr>
            </w:pPr>
            <w:r>
              <w:rPr>
                <w:rFonts w:hint="default"/>
                <w:b/>
                <w:bCs/>
                <w:color w:val="000000"/>
              </w:rPr>
              <w:t>4季度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1229</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61.</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1211</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65.5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1593</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67.8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1143</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54.8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280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14.1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230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344</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14.6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412</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19.8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5.3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5.3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8.2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2.8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6.7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0.5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5.2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1.9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6.2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5.5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3.5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0.3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1.1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0.4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0.9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7.7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0.2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0.3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0.5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1.5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0.3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金融业</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0.2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教育</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公共管理、社会保障和社会组织</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9"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1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739"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1990</w:t>
            </w:r>
          </w:p>
        </w:tc>
        <w:tc>
          <w:tcPr>
            <w:tcW w:w="711"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c>
          <w:tcPr>
            <w:tcW w:w="739"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1846</w:t>
            </w:r>
          </w:p>
        </w:tc>
        <w:tc>
          <w:tcPr>
            <w:tcW w:w="711"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c>
          <w:tcPr>
            <w:tcW w:w="739"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2350</w:t>
            </w:r>
          </w:p>
        </w:tc>
        <w:tc>
          <w:tcPr>
            <w:tcW w:w="711"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c>
          <w:tcPr>
            <w:tcW w:w="739"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2085</w:t>
            </w:r>
          </w:p>
        </w:tc>
        <w:tc>
          <w:tcPr>
            <w:tcW w:w="711" w:type="dxa"/>
            <w:noWrap w:val="0"/>
            <w:vAlign w:val="bottom"/>
          </w:tcPr>
          <w:p>
            <w:pPr>
              <w:widowControl/>
              <w:jc w:val="center"/>
              <w:textAlignment w:val="bottom"/>
              <w:rPr>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r>
    </w:tbl>
    <w:p>
      <w:pPr>
        <w:spacing w:beforeLines="0" w:line="240" w:lineRule="auto"/>
        <w:ind w:firstLine="643" w:firstLineChars="200"/>
        <w:rPr>
          <w:rFonts w:hint="eastAsia" w:eastAsia="仿宋"/>
          <w:b/>
          <w:bCs/>
          <w:color w:val="000000"/>
          <w:sz w:val="32"/>
          <w:szCs w:val="32"/>
        </w:rPr>
      </w:pPr>
    </w:p>
    <w:p>
      <w:pPr>
        <w:spacing w:beforeLines="0" w:line="240" w:lineRule="auto"/>
        <w:ind w:firstLine="643" w:firstLineChars="200"/>
        <w:rPr>
          <w:rFonts w:hint="eastAsia" w:eastAsia="仿宋"/>
          <w:b/>
          <w:bCs/>
          <w:color w:val="000000"/>
          <w:sz w:val="32"/>
          <w:szCs w:val="32"/>
        </w:rPr>
      </w:pPr>
      <w:r>
        <w:rPr>
          <w:rFonts w:hint="eastAsia" w:eastAsia="仿宋"/>
          <w:b/>
          <w:bCs/>
          <w:color w:val="000000"/>
          <w:sz w:val="32"/>
          <w:szCs w:val="32"/>
        </w:rPr>
        <w:t>2</w:t>
      </w:r>
      <w:r>
        <w:rPr>
          <w:rFonts w:eastAsia="仿宋"/>
          <w:b/>
          <w:bCs/>
          <w:color w:val="000000"/>
          <w:sz w:val="32"/>
          <w:szCs w:val="32"/>
        </w:rPr>
        <w:t>.各行业企业</w:t>
      </w:r>
      <w:r>
        <w:rPr>
          <w:rFonts w:eastAsia="仿宋"/>
          <w:b/>
          <w:kern w:val="0"/>
          <w:sz w:val="32"/>
          <w:szCs w:val="32"/>
        </w:rPr>
        <w:t>全年平均流失率</w:t>
      </w:r>
      <w:r>
        <w:rPr>
          <w:rStyle w:val="20"/>
          <w:rFonts w:eastAsia="仿宋"/>
          <w:b/>
          <w:kern w:val="0"/>
          <w:sz w:val="32"/>
          <w:szCs w:val="32"/>
        </w:rPr>
        <w:footnoteReference w:id="1"/>
      </w:r>
      <w:r>
        <w:rPr>
          <w:rFonts w:eastAsia="仿宋"/>
          <w:b/>
          <w:kern w:val="0"/>
          <w:sz w:val="32"/>
          <w:szCs w:val="32"/>
        </w:rPr>
        <w:t>为</w:t>
      </w:r>
      <w:r>
        <w:rPr>
          <w:rFonts w:hint="eastAsia" w:eastAsia="仿宋"/>
          <w:b/>
          <w:kern w:val="0"/>
          <w:sz w:val="32"/>
          <w:szCs w:val="32"/>
          <w:lang w:val="en-US" w:eastAsia="zh-CN"/>
        </w:rPr>
        <w:t>7.6</w:t>
      </w:r>
      <w:r>
        <w:rPr>
          <w:rFonts w:eastAsia="仿宋"/>
          <w:b/>
          <w:kern w:val="0"/>
          <w:sz w:val="32"/>
          <w:szCs w:val="32"/>
        </w:rPr>
        <w:t>%</w:t>
      </w:r>
    </w:p>
    <w:p>
      <w:pPr>
        <w:spacing w:before="0" w:beforeLines="0"/>
        <w:ind w:firstLine="640" w:firstLineChars="200"/>
        <w:rPr>
          <w:rFonts w:eastAsia="仿宋"/>
          <w:kern w:val="0"/>
          <w:sz w:val="32"/>
          <w:szCs w:val="32"/>
        </w:rPr>
      </w:pPr>
      <w:r>
        <w:rPr>
          <w:rFonts w:hint="default" w:eastAsia="仿宋_GB2312"/>
          <w:color w:val="000000"/>
          <w:sz w:val="32"/>
          <w:szCs w:val="32"/>
          <w:lang w:eastAsia="zh-CN"/>
        </w:rPr>
        <w:t>2023年</w:t>
      </w:r>
      <w:r>
        <w:rPr>
          <w:rFonts w:hint="default" w:eastAsia="仿宋_GB2312"/>
          <w:color w:val="000000"/>
          <w:sz w:val="32"/>
          <w:szCs w:val="32"/>
        </w:rPr>
        <w:t>样本企业中</w:t>
      </w:r>
      <w:r>
        <w:rPr>
          <w:rFonts w:eastAsia="仿宋_GB2312"/>
          <w:color w:val="000000"/>
          <w:sz w:val="32"/>
          <w:szCs w:val="32"/>
        </w:rPr>
        <w:t>，</w:t>
      </w:r>
      <w:r>
        <w:rPr>
          <w:rFonts w:hint="default" w:eastAsia="仿宋_GB2312"/>
          <w:color w:val="000000"/>
          <w:sz w:val="32"/>
          <w:szCs w:val="32"/>
          <w:lang w:val="en-US" w:eastAsia="zh-CN"/>
        </w:rPr>
        <w:t>3</w:t>
      </w:r>
      <w:r>
        <w:rPr>
          <w:rFonts w:hint="default" w:eastAsia="仿宋_GB2312"/>
          <w:color w:val="000000"/>
          <w:sz w:val="32"/>
          <w:szCs w:val="32"/>
        </w:rPr>
        <w:t>季度</w:t>
      </w:r>
      <w:r>
        <w:rPr>
          <w:rFonts w:eastAsia="仿宋_GB2312"/>
          <w:color w:val="000000"/>
          <w:sz w:val="32"/>
          <w:szCs w:val="32"/>
        </w:rPr>
        <w:t>流失率</w:t>
      </w:r>
      <w:r>
        <w:rPr>
          <w:rFonts w:hint="default" w:eastAsia="仿宋_GB2312"/>
          <w:color w:val="000000"/>
          <w:sz w:val="32"/>
          <w:szCs w:val="32"/>
          <w:lang w:val="en-US" w:eastAsia="zh-CN"/>
        </w:rPr>
        <w:t>8.7</w:t>
      </w:r>
      <w:r>
        <w:rPr>
          <w:rFonts w:eastAsia="仿宋_GB2312"/>
          <w:color w:val="000000"/>
          <w:sz w:val="32"/>
          <w:szCs w:val="32"/>
        </w:rPr>
        <w:t>%最高，2</w:t>
      </w:r>
      <w:r>
        <w:rPr>
          <w:rFonts w:hint="default" w:eastAsia="仿宋_GB2312"/>
          <w:color w:val="000000"/>
          <w:sz w:val="32"/>
          <w:szCs w:val="32"/>
        </w:rPr>
        <w:t>季度</w:t>
      </w:r>
      <w:r>
        <w:rPr>
          <w:rFonts w:eastAsia="仿宋_GB2312"/>
          <w:color w:val="000000"/>
          <w:sz w:val="32"/>
          <w:szCs w:val="32"/>
        </w:rPr>
        <w:t>流失率</w:t>
      </w:r>
      <w:r>
        <w:rPr>
          <w:rFonts w:hint="default" w:eastAsia="仿宋_GB2312"/>
          <w:color w:val="000000"/>
          <w:sz w:val="32"/>
          <w:szCs w:val="32"/>
          <w:lang w:val="en-US" w:eastAsia="zh-CN"/>
        </w:rPr>
        <w:t>6.8</w:t>
      </w:r>
      <w:r>
        <w:rPr>
          <w:rFonts w:eastAsia="仿宋_GB2312"/>
          <w:color w:val="000000"/>
          <w:sz w:val="32"/>
          <w:szCs w:val="32"/>
        </w:rPr>
        <w:t>%最低，</w:t>
      </w:r>
      <w:r>
        <w:rPr>
          <w:rFonts w:hint="default" w:eastAsia="仿宋_GB2312"/>
          <w:color w:val="000000"/>
          <w:sz w:val="32"/>
          <w:szCs w:val="32"/>
        </w:rPr>
        <w:t>两者</w:t>
      </w:r>
      <w:r>
        <w:rPr>
          <w:rFonts w:eastAsia="仿宋_GB2312"/>
          <w:color w:val="000000"/>
          <w:sz w:val="32"/>
          <w:szCs w:val="32"/>
        </w:rPr>
        <w:t>相差</w:t>
      </w:r>
      <w:r>
        <w:rPr>
          <w:rFonts w:hint="default" w:eastAsia="仿宋_GB2312"/>
          <w:color w:val="000000"/>
          <w:sz w:val="32"/>
          <w:szCs w:val="32"/>
          <w:lang w:val="en-US" w:eastAsia="zh-CN"/>
        </w:rPr>
        <w:t>1.9</w:t>
      </w:r>
      <w:r>
        <w:rPr>
          <w:rFonts w:eastAsia="仿宋_GB2312"/>
          <w:color w:val="000000"/>
          <w:sz w:val="32"/>
          <w:szCs w:val="32"/>
        </w:rPr>
        <w:t>个百分点。分行业来看，</w:t>
      </w:r>
      <w:r>
        <w:rPr>
          <w:rFonts w:hint="default" w:eastAsia="仿宋_GB2312"/>
          <w:color w:val="000000"/>
          <w:sz w:val="32"/>
          <w:szCs w:val="32"/>
        </w:rPr>
        <w:t>信息传输、软件和信息技术服务业</w:t>
      </w:r>
      <w:r>
        <w:rPr>
          <w:rFonts w:eastAsia="仿宋_GB2312"/>
          <w:color w:val="000000"/>
          <w:kern w:val="2"/>
          <w:sz w:val="32"/>
          <w:szCs w:val="32"/>
        </w:rPr>
        <w:t>全年平均流失率</w:t>
      </w:r>
      <w:r>
        <w:rPr>
          <w:rFonts w:hint="default" w:eastAsia="仿宋_GB2312"/>
          <w:color w:val="000000"/>
          <w:kern w:val="2"/>
          <w:sz w:val="32"/>
          <w:szCs w:val="32"/>
        </w:rPr>
        <w:t>最高，</w:t>
      </w:r>
      <w:r>
        <w:rPr>
          <w:rFonts w:eastAsia="仿宋_GB2312"/>
          <w:color w:val="000000"/>
          <w:kern w:val="2"/>
          <w:sz w:val="32"/>
          <w:szCs w:val="32"/>
        </w:rPr>
        <w:t>为</w:t>
      </w:r>
      <w:r>
        <w:rPr>
          <w:rFonts w:hint="default" w:eastAsia="仿宋_GB2312"/>
          <w:color w:val="000000"/>
          <w:kern w:val="2"/>
          <w:sz w:val="32"/>
          <w:szCs w:val="32"/>
          <w:lang w:val="en-US" w:eastAsia="zh-CN"/>
        </w:rPr>
        <w:t>95.6</w:t>
      </w:r>
      <w:r>
        <w:rPr>
          <w:rFonts w:eastAsia="仿宋_GB2312"/>
          <w:color w:val="000000"/>
          <w:kern w:val="2"/>
          <w:sz w:val="32"/>
          <w:szCs w:val="32"/>
        </w:rPr>
        <w:t>%；</w:t>
      </w:r>
      <w:r>
        <w:rPr>
          <w:rFonts w:hint="default" w:eastAsia="仿宋_GB2312"/>
          <w:color w:val="000000"/>
          <w:kern w:val="2"/>
          <w:sz w:val="32"/>
          <w:szCs w:val="32"/>
        </w:rPr>
        <w:t>其次为科学研究和技术服务业，全年平均</w:t>
      </w:r>
      <w:r>
        <w:rPr>
          <w:rFonts w:eastAsia="仿宋_GB2312"/>
          <w:color w:val="000000"/>
          <w:kern w:val="2"/>
          <w:sz w:val="32"/>
          <w:szCs w:val="32"/>
        </w:rPr>
        <w:t>流失率分别为</w:t>
      </w:r>
      <w:r>
        <w:rPr>
          <w:rFonts w:hint="default" w:eastAsia="仿宋_GB2312"/>
          <w:color w:val="000000"/>
          <w:kern w:val="2"/>
          <w:sz w:val="32"/>
          <w:szCs w:val="32"/>
          <w:lang w:val="en-US" w:eastAsia="zh-CN"/>
        </w:rPr>
        <w:t>16.0</w:t>
      </w:r>
      <w:r>
        <w:rPr>
          <w:rFonts w:eastAsia="仿宋_GB2312"/>
          <w:color w:val="000000"/>
          <w:kern w:val="2"/>
          <w:sz w:val="32"/>
          <w:szCs w:val="32"/>
        </w:rPr>
        <w:t>%。</w:t>
      </w:r>
      <w:r>
        <w:rPr>
          <w:rFonts w:hint="default" w:eastAsia="仿宋_GB2312"/>
          <w:color w:val="000000"/>
          <w:kern w:val="2"/>
          <w:sz w:val="32"/>
          <w:szCs w:val="32"/>
        </w:rPr>
        <w:t>全市各行业企业全年平均流失率为</w:t>
      </w:r>
      <w:r>
        <w:rPr>
          <w:rFonts w:hint="default" w:eastAsia="仿宋_GB2312"/>
          <w:color w:val="000000"/>
          <w:kern w:val="2"/>
          <w:sz w:val="32"/>
          <w:szCs w:val="32"/>
          <w:lang w:val="en-US" w:eastAsia="zh-CN"/>
        </w:rPr>
        <w:t>7.6</w:t>
      </w:r>
      <w:r>
        <w:rPr>
          <w:rFonts w:hint="default" w:eastAsia="仿宋_GB2312"/>
          <w:color w:val="000000"/>
          <w:kern w:val="2"/>
          <w:sz w:val="32"/>
          <w:szCs w:val="32"/>
        </w:rPr>
        <w:t>%，信息传输、软件和信息技术服务业</w:t>
      </w:r>
      <w:r>
        <w:rPr>
          <w:rFonts w:hint="default" w:eastAsia="仿宋_GB2312"/>
          <w:color w:val="000000"/>
          <w:kern w:val="2"/>
          <w:sz w:val="32"/>
          <w:szCs w:val="32"/>
          <w:lang w:eastAsia="zh-CN"/>
        </w:rPr>
        <w:t>，</w:t>
      </w:r>
      <w:r>
        <w:rPr>
          <w:rFonts w:hint="default" w:eastAsia="仿宋_GB2312"/>
          <w:color w:val="000000"/>
          <w:kern w:val="2"/>
          <w:sz w:val="32"/>
          <w:szCs w:val="32"/>
        </w:rPr>
        <w:t>科学研究和技术服务业，批发和零售业</w:t>
      </w:r>
      <w:r>
        <w:rPr>
          <w:rFonts w:hint="default" w:eastAsia="仿宋_GB2312"/>
          <w:color w:val="000000"/>
          <w:kern w:val="2"/>
          <w:sz w:val="32"/>
          <w:szCs w:val="32"/>
          <w:lang w:eastAsia="zh-CN"/>
        </w:rPr>
        <w:t>，交通运输、仓储和邮政业</w:t>
      </w:r>
      <w:r>
        <w:rPr>
          <w:rFonts w:hint="default" w:eastAsia="仿宋_GB2312"/>
          <w:b w:val="0"/>
          <w:bCs w:val="0"/>
          <w:color w:val="000000"/>
          <w:kern w:val="2"/>
          <w:sz w:val="32"/>
          <w:szCs w:val="32"/>
          <w:lang w:eastAsia="zh-CN"/>
        </w:rPr>
        <w:t>，</w:t>
      </w:r>
      <w:r>
        <w:rPr>
          <w:rFonts w:hint="default" w:eastAsia="仿宋_GB2312"/>
          <w:color w:val="000000"/>
          <w:kern w:val="2"/>
          <w:sz w:val="32"/>
          <w:szCs w:val="32"/>
        </w:rPr>
        <w:t>文化、体育和娱乐业，住宿和餐饮业等</w:t>
      </w:r>
      <w:r>
        <w:rPr>
          <w:rFonts w:eastAsia="仿宋_GB2312"/>
          <w:color w:val="000000"/>
          <w:kern w:val="2"/>
          <w:sz w:val="32"/>
          <w:szCs w:val="32"/>
        </w:rPr>
        <w:t>6</w:t>
      </w:r>
      <w:r>
        <w:rPr>
          <w:rFonts w:hint="default" w:eastAsia="仿宋_GB2312"/>
          <w:color w:val="000000"/>
          <w:kern w:val="2"/>
          <w:sz w:val="32"/>
          <w:szCs w:val="32"/>
        </w:rPr>
        <w:t>个行业的全年平均</w:t>
      </w:r>
      <w:r>
        <w:rPr>
          <w:rFonts w:eastAsia="仿宋_GB2312"/>
          <w:color w:val="000000"/>
          <w:kern w:val="2"/>
          <w:sz w:val="32"/>
          <w:szCs w:val="32"/>
        </w:rPr>
        <w:t>流失率高</w:t>
      </w:r>
      <w:r>
        <w:rPr>
          <w:rFonts w:hint="default" w:eastAsia="仿宋_GB2312"/>
          <w:color w:val="000000"/>
          <w:kern w:val="2"/>
          <w:sz w:val="32"/>
          <w:szCs w:val="32"/>
        </w:rPr>
        <w:t>于全市水平</w:t>
      </w:r>
      <w:r>
        <w:rPr>
          <w:rFonts w:eastAsia="仿宋_GB2312"/>
          <w:color w:val="000000"/>
          <w:kern w:val="2"/>
          <w:sz w:val="32"/>
          <w:szCs w:val="32"/>
        </w:rPr>
        <w:t>，</w:t>
      </w:r>
      <w:r>
        <w:rPr>
          <w:rFonts w:hint="default" w:eastAsia="仿宋_GB2312"/>
          <w:color w:val="000000"/>
          <w:kern w:val="2"/>
          <w:sz w:val="32"/>
          <w:szCs w:val="32"/>
        </w:rPr>
        <w:t>其他9个行业的</w:t>
      </w:r>
      <w:r>
        <w:rPr>
          <w:rFonts w:eastAsia="仿宋_GB2312"/>
          <w:color w:val="000000"/>
          <w:kern w:val="2"/>
          <w:sz w:val="32"/>
          <w:szCs w:val="32"/>
        </w:rPr>
        <w:t>全年平均流失率</w:t>
      </w:r>
      <w:r>
        <w:rPr>
          <w:rFonts w:hint="default" w:eastAsia="仿宋_GB2312"/>
          <w:color w:val="000000"/>
          <w:kern w:val="2"/>
          <w:sz w:val="32"/>
          <w:szCs w:val="32"/>
        </w:rPr>
        <w:t>低于全市水平</w:t>
      </w:r>
      <w:r>
        <w:rPr>
          <w:rFonts w:eastAsia="仿宋_GB2312"/>
          <w:color w:val="000000"/>
          <w:kern w:val="2"/>
          <w:sz w:val="32"/>
          <w:szCs w:val="32"/>
        </w:rPr>
        <w:t>（见表</w:t>
      </w:r>
      <w:r>
        <w:rPr>
          <w:rFonts w:hint="eastAsia" w:eastAsia="仿宋_GB2312"/>
          <w:color w:val="000000"/>
          <w:kern w:val="2"/>
          <w:sz w:val="32"/>
          <w:szCs w:val="32"/>
          <w:lang w:eastAsia="zh-CN"/>
        </w:rPr>
        <w:t>8</w:t>
      </w:r>
      <w:r>
        <w:rPr>
          <w:rFonts w:eastAsia="仿宋_GB2312"/>
          <w:color w:val="000000"/>
          <w:kern w:val="2"/>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8</w:t>
      </w:r>
      <w:r>
        <w:rPr>
          <w:rFonts w:hint="eastAsia" w:eastAsia="宋体"/>
        </w:rPr>
        <w:t>：</w:t>
      </w:r>
      <w:r>
        <w:rPr>
          <w:rFonts w:hint="eastAsia" w:eastAsia="宋体"/>
          <w:lang w:eastAsia="zh-CN"/>
        </w:rPr>
        <w:t>2023年</w:t>
      </w:r>
      <w:r>
        <w:rPr>
          <w:rFonts w:eastAsia="宋体"/>
        </w:rPr>
        <w:t>样本企业分行业人员流失率</w:t>
      </w:r>
    </w:p>
    <w:p>
      <w:pPr>
        <w:jc w:val="right"/>
        <w:rPr>
          <w:b/>
          <w:sz w:val="24"/>
        </w:rPr>
      </w:pPr>
      <w:r>
        <w:rPr>
          <w:b/>
          <w:sz w:val="24"/>
        </w:rPr>
        <w:t>单位：%</w:t>
      </w:r>
    </w:p>
    <w:tbl>
      <w:tblPr>
        <w:tblStyle w:val="13"/>
        <w:tblW w:w="10003" w:type="dxa"/>
        <w:tblInd w:w="-397"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681"/>
        <w:gridCol w:w="1347"/>
        <w:gridCol w:w="1203"/>
        <w:gridCol w:w="1203"/>
        <w:gridCol w:w="1203"/>
        <w:gridCol w:w="1366"/>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18" w:hRule="atLeast"/>
          <w:tblHeader/>
        </w:trPr>
        <w:tc>
          <w:tcPr>
            <w:tcW w:w="3681" w:type="dxa"/>
            <w:shd w:val="clear" w:color="auto" w:fill="92CDDC" w:themeFill="accent5" w:themeFillTint="99"/>
            <w:noWrap w:val="0"/>
            <w:vAlign w:val="center"/>
          </w:tcPr>
          <w:p>
            <w:pPr>
              <w:widowControl/>
              <w:jc w:val="center"/>
              <w:rPr>
                <w:b/>
                <w:bCs/>
                <w:color w:val="000000"/>
                <w:kern w:val="0"/>
              </w:rPr>
            </w:pPr>
            <w:r>
              <w:rPr>
                <w:b/>
                <w:bCs/>
                <w:color w:val="000000"/>
                <w:kern w:val="0"/>
              </w:rPr>
              <w:t>行业</w:t>
            </w:r>
          </w:p>
        </w:tc>
        <w:tc>
          <w:tcPr>
            <w:tcW w:w="1347" w:type="dxa"/>
            <w:shd w:val="clear" w:color="auto" w:fill="92CDDC" w:themeFill="accent5" w:themeFillTint="99"/>
            <w:noWrap w:val="0"/>
            <w:vAlign w:val="center"/>
          </w:tcPr>
          <w:p>
            <w:pPr>
              <w:widowControl/>
              <w:jc w:val="center"/>
              <w:rPr>
                <w:b/>
                <w:bCs/>
                <w:color w:val="000000"/>
                <w:kern w:val="0"/>
              </w:rPr>
            </w:pPr>
            <w:r>
              <w:rPr>
                <w:b/>
                <w:bCs/>
                <w:color w:val="000000"/>
                <w:kern w:val="0"/>
              </w:rPr>
              <w:t>1季度</w:t>
            </w:r>
          </w:p>
        </w:tc>
        <w:tc>
          <w:tcPr>
            <w:tcW w:w="1203" w:type="dxa"/>
            <w:shd w:val="clear" w:color="auto" w:fill="92CDDC" w:themeFill="accent5" w:themeFillTint="99"/>
            <w:noWrap w:val="0"/>
            <w:vAlign w:val="center"/>
          </w:tcPr>
          <w:p>
            <w:pPr>
              <w:widowControl/>
              <w:jc w:val="center"/>
              <w:rPr>
                <w:b/>
                <w:bCs/>
                <w:color w:val="000000"/>
                <w:kern w:val="0"/>
              </w:rPr>
            </w:pPr>
            <w:r>
              <w:rPr>
                <w:b/>
                <w:bCs/>
                <w:color w:val="000000"/>
                <w:kern w:val="0"/>
              </w:rPr>
              <w:t>2季度</w:t>
            </w:r>
          </w:p>
        </w:tc>
        <w:tc>
          <w:tcPr>
            <w:tcW w:w="1203" w:type="dxa"/>
            <w:shd w:val="clear" w:color="auto" w:fill="92CDDC" w:themeFill="accent5" w:themeFillTint="99"/>
            <w:noWrap w:val="0"/>
            <w:vAlign w:val="center"/>
          </w:tcPr>
          <w:p>
            <w:pPr>
              <w:widowControl/>
              <w:jc w:val="center"/>
              <w:rPr>
                <w:b/>
                <w:bCs/>
                <w:color w:val="000000"/>
                <w:kern w:val="0"/>
              </w:rPr>
            </w:pPr>
            <w:r>
              <w:rPr>
                <w:b/>
                <w:bCs/>
                <w:color w:val="000000"/>
                <w:kern w:val="0"/>
              </w:rPr>
              <w:t>3季度</w:t>
            </w:r>
          </w:p>
        </w:tc>
        <w:tc>
          <w:tcPr>
            <w:tcW w:w="1203" w:type="dxa"/>
            <w:shd w:val="clear" w:color="auto" w:fill="92CDDC" w:themeFill="accent5" w:themeFillTint="99"/>
            <w:noWrap w:val="0"/>
            <w:vAlign w:val="center"/>
          </w:tcPr>
          <w:p>
            <w:pPr>
              <w:widowControl/>
              <w:jc w:val="center"/>
              <w:rPr>
                <w:b/>
                <w:bCs/>
                <w:color w:val="000000"/>
                <w:kern w:val="0"/>
              </w:rPr>
            </w:pPr>
            <w:r>
              <w:rPr>
                <w:b/>
                <w:bCs/>
                <w:color w:val="000000"/>
                <w:kern w:val="0"/>
              </w:rPr>
              <w:t>4季度</w:t>
            </w:r>
          </w:p>
        </w:tc>
        <w:tc>
          <w:tcPr>
            <w:tcW w:w="1366" w:type="dxa"/>
            <w:shd w:val="clear" w:color="auto" w:fill="92CDDC" w:themeFill="accent5" w:themeFillTint="99"/>
            <w:noWrap w:val="0"/>
            <w:vAlign w:val="center"/>
          </w:tcPr>
          <w:p>
            <w:pPr>
              <w:widowControl/>
              <w:jc w:val="center"/>
              <w:rPr>
                <w:b/>
                <w:bCs/>
                <w:color w:val="000000"/>
                <w:kern w:val="0"/>
              </w:rPr>
            </w:pPr>
            <w:r>
              <w:rPr>
                <w:b/>
                <w:bCs/>
                <w:color w:val="000000"/>
                <w:kern w:val="0"/>
              </w:rPr>
              <w:t>全年平均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68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134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36.0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79.2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263.4 </w:t>
            </w:r>
          </w:p>
        </w:tc>
        <w:tc>
          <w:tcPr>
            <w:tcW w:w="136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95.6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68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134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26.5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8.4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7.7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21.4 </w:t>
            </w:r>
          </w:p>
        </w:tc>
        <w:tc>
          <w:tcPr>
            <w:tcW w:w="136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68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134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9.3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18.3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24.1 </w:t>
            </w:r>
          </w:p>
        </w:tc>
        <w:tc>
          <w:tcPr>
            <w:tcW w:w="136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15.7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68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134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5.5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17.2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22.6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13.2 </w:t>
            </w:r>
          </w:p>
        </w:tc>
        <w:tc>
          <w:tcPr>
            <w:tcW w:w="136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14.6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68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134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7.7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36.4 </w:t>
            </w:r>
          </w:p>
        </w:tc>
        <w:tc>
          <w:tcPr>
            <w:tcW w:w="136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13.5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68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134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5.3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7.4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8.3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12.3 </w:t>
            </w:r>
          </w:p>
        </w:tc>
        <w:tc>
          <w:tcPr>
            <w:tcW w:w="136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8.3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68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134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6.7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6.6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8.6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6.2 </w:t>
            </w:r>
          </w:p>
        </w:tc>
        <w:tc>
          <w:tcPr>
            <w:tcW w:w="136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68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134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5.2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13.9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3.1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0.5 </w:t>
            </w:r>
          </w:p>
        </w:tc>
        <w:tc>
          <w:tcPr>
            <w:tcW w:w="136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68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134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11.9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4.8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4.8 </w:t>
            </w:r>
          </w:p>
        </w:tc>
        <w:tc>
          <w:tcPr>
            <w:tcW w:w="136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68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134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16.1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36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68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134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2.3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9.4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0.5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0.9 </w:t>
            </w:r>
          </w:p>
        </w:tc>
        <w:tc>
          <w:tcPr>
            <w:tcW w:w="136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3.3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68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134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5.4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2.6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0.4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0.8 </w:t>
            </w:r>
          </w:p>
        </w:tc>
        <w:tc>
          <w:tcPr>
            <w:tcW w:w="136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2.3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68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134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2.3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2.3 </w:t>
            </w:r>
          </w:p>
        </w:tc>
        <w:tc>
          <w:tcPr>
            <w:tcW w:w="136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1.2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68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134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0.5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0.9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0.5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36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0.5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681"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1347"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203"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366" w:type="dxa"/>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0.5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681"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平均</w:t>
            </w:r>
          </w:p>
        </w:tc>
        <w:tc>
          <w:tcPr>
            <w:tcW w:w="1347"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7.1 </w:t>
            </w:r>
          </w:p>
        </w:tc>
        <w:tc>
          <w:tcPr>
            <w:tcW w:w="1203"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6.8 </w:t>
            </w:r>
          </w:p>
        </w:tc>
        <w:tc>
          <w:tcPr>
            <w:tcW w:w="1203"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8.7 </w:t>
            </w:r>
          </w:p>
        </w:tc>
        <w:tc>
          <w:tcPr>
            <w:tcW w:w="1203"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7.9 </w:t>
            </w:r>
          </w:p>
        </w:tc>
        <w:tc>
          <w:tcPr>
            <w:tcW w:w="1366" w:type="dxa"/>
            <w:noWrap w:val="0"/>
            <w:vAlign w:val="bottom"/>
          </w:tcPr>
          <w:p>
            <w:pPr>
              <w:widowControl/>
              <w:jc w:val="center"/>
              <w:textAlignment w:val="bottom"/>
              <w:rPr>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7.6 </w:t>
            </w:r>
          </w:p>
        </w:tc>
      </w:tr>
    </w:tbl>
    <w:p>
      <w:pPr>
        <w:spacing w:before="0" w:beforeLines="0" w:after="0" w:afterLines="0"/>
        <w:ind w:firstLine="643" w:firstLineChars="200"/>
        <w:rPr>
          <w:rFonts w:hint="eastAsia" w:eastAsia="仿宋"/>
          <w:b/>
          <w:sz w:val="32"/>
          <w:szCs w:val="32"/>
        </w:rPr>
      </w:pPr>
    </w:p>
    <w:p>
      <w:pPr>
        <w:spacing w:before="0" w:beforeLines="0" w:after="0" w:afterLines="0"/>
        <w:ind w:firstLine="643" w:firstLineChars="200"/>
        <w:rPr>
          <w:rFonts w:eastAsia="仿宋"/>
          <w:b/>
          <w:sz w:val="32"/>
          <w:szCs w:val="32"/>
        </w:rPr>
      </w:pPr>
      <w:r>
        <w:rPr>
          <w:rFonts w:hint="eastAsia" w:eastAsia="仿宋"/>
          <w:b/>
          <w:sz w:val="32"/>
          <w:szCs w:val="32"/>
        </w:rPr>
        <w:t>3</w:t>
      </w:r>
      <w:r>
        <w:rPr>
          <w:rFonts w:eastAsia="仿宋"/>
          <w:b/>
          <w:sz w:val="32"/>
          <w:szCs w:val="32"/>
        </w:rPr>
        <w:t>.普工是流失人数最多的工种，占六成至八成左右</w:t>
      </w:r>
    </w:p>
    <w:p>
      <w:pPr>
        <w:spacing w:before="0" w:beforeLines="0" w:after="0" w:afterLines="0"/>
        <w:ind w:firstLine="640" w:firstLineChars="200"/>
        <w:rPr>
          <w:rFonts w:eastAsia="仿宋_GB2312"/>
          <w:color w:val="000000"/>
          <w:sz w:val="32"/>
          <w:szCs w:val="32"/>
        </w:rPr>
      </w:pPr>
      <w:r>
        <w:rPr>
          <w:rFonts w:hint="default" w:eastAsia="仿宋_GB2312"/>
          <w:color w:val="000000"/>
          <w:sz w:val="32"/>
          <w:szCs w:val="32"/>
          <w:lang w:eastAsia="zh-CN"/>
        </w:rPr>
        <w:t>2023年</w:t>
      </w:r>
      <w:r>
        <w:rPr>
          <w:rFonts w:hint="default" w:eastAsia="仿宋_GB2312"/>
          <w:color w:val="000000"/>
          <w:sz w:val="32"/>
          <w:szCs w:val="32"/>
        </w:rPr>
        <w:t>样本企业中，</w:t>
      </w:r>
      <w:r>
        <w:rPr>
          <w:rFonts w:eastAsia="仿宋_GB2312"/>
          <w:color w:val="000000"/>
          <w:sz w:val="32"/>
          <w:szCs w:val="32"/>
        </w:rPr>
        <w:t>分工种看，各季度普工的流失人数最多，分别为</w:t>
      </w:r>
      <w:r>
        <w:rPr>
          <w:rFonts w:hint="default" w:eastAsia="仿宋_GB2312"/>
          <w:color w:val="000000"/>
          <w:sz w:val="32"/>
          <w:szCs w:val="32"/>
          <w:lang w:val="en-US" w:eastAsia="zh-CN"/>
        </w:rPr>
        <w:t>265</w:t>
      </w:r>
      <w:r>
        <w:rPr>
          <w:rFonts w:eastAsia="仿宋_GB2312"/>
          <w:color w:val="000000"/>
          <w:sz w:val="32"/>
          <w:szCs w:val="32"/>
        </w:rPr>
        <w:t>人、</w:t>
      </w:r>
      <w:r>
        <w:rPr>
          <w:rFonts w:hint="default" w:eastAsia="仿宋_GB2312"/>
          <w:color w:val="000000"/>
          <w:sz w:val="32"/>
          <w:szCs w:val="32"/>
          <w:lang w:val="en-US" w:eastAsia="zh-CN"/>
        </w:rPr>
        <w:t>196</w:t>
      </w:r>
      <w:r>
        <w:rPr>
          <w:rFonts w:eastAsia="仿宋_GB2312"/>
          <w:color w:val="000000"/>
          <w:sz w:val="32"/>
          <w:szCs w:val="32"/>
        </w:rPr>
        <w:t>人、</w:t>
      </w:r>
      <w:r>
        <w:rPr>
          <w:rFonts w:hint="default" w:eastAsia="仿宋_GB2312"/>
          <w:color w:val="000000"/>
          <w:sz w:val="32"/>
          <w:szCs w:val="32"/>
          <w:lang w:val="en-US" w:eastAsia="zh-CN"/>
        </w:rPr>
        <w:t>1631</w:t>
      </w:r>
      <w:r>
        <w:rPr>
          <w:rFonts w:eastAsia="仿宋_GB2312"/>
          <w:color w:val="000000"/>
          <w:sz w:val="32"/>
          <w:szCs w:val="32"/>
        </w:rPr>
        <w:t>人和</w:t>
      </w:r>
      <w:r>
        <w:rPr>
          <w:rFonts w:hint="default" w:eastAsia="仿宋_GB2312"/>
          <w:color w:val="000000"/>
          <w:sz w:val="32"/>
          <w:szCs w:val="32"/>
          <w:lang w:val="en-US" w:eastAsia="zh-CN"/>
        </w:rPr>
        <w:t>1549</w:t>
      </w:r>
      <w:r>
        <w:rPr>
          <w:rFonts w:eastAsia="仿宋_GB2312"/>
          <w:color w:val="000000"/>
          <w:sz w:val="32"/>
          <w:szCs w:val="32"/>
        </w:rPr>
        <w:t>人，流失人数占比均</w:t>
      </w:r>
      <w:r>
        <w:rPr>
          <w:rFonts w:hint="default" w:eastAsia="仿宋_GB2312"/>
          <w:color w:val="000000"/>
          <w:sz w:val="32"/>
          <w:szCs w:val="32"/>
        </w:rPr>
        <w:t>超过</w:t>
      </w:r>
      <w:r>
        <w:rPr>
          <w:rFonts w:hint="default" w:eastAsia="仿宋_GB2312"/>
          <w:color w:val="000000"/>
          <w:sz w:val="32"/>
          <w:szCs w:val="32"/>
          <w:lang w:val="en-US" w:eastAsia="zh-CN"/>
        </w:rPr>
        <w:t>69</w:t>
      </w:r>
      <w:r>
        <w:rPr>
          <w:rFonts w:hint="default" w:eastAsia="仿宋_GB2312"/>
          <w:color w:val="000000"/>
          <w:sz w:val="32"/>
          <w:szCs w:val="32"/>
        </w:rPr>
        <w:t>%</w:t>
      </w:r>
      <w:r>
        <w:rPr>
          <w:rFonts w:eastAsia="仿宋_GB2312"/>
          <w:color w:val="000000"/>
          <w:sz w:val="32"/>
          <w:szCs w:val="32"/>
        </w:rPr>
        <w:t>；</w:t>
      </w:r>
      <w:r>
        <w:rPr>
          <w:rFonts w:hint="default" w:eastAsia="仿宋_GB2312"/>
          <w:color w:val="000000"/>
          <w:sz w:val="32"/>
          <w:szCs w:val="32"/>
        </w:rPr>
        <w:t>其次是</w:t>
      </w:r>
      <w:r>
        <w:rPr>
          <w:rFonts w:eastAsia="仿宋_GB2312"/>
          <w:color w:val="000000"/>
          <w:sz w:val="32"/>
          <w:szCs w:val="32"/>
        </w:rPr>
        <w:t>管理及其他人员，流失人数在</w:t>
      </w:r>
      <w:r>
        <w:rPr>
          <w:rFonts w:hint="default" w:eastAsia="仿宋_GB2312"/>
          <w:color w:val="000000"/>
          <w:sz w:val="32"/>
          <w:szCs w:val="32"/>
        </w:rPr>
        <w:t>2</w:t>
      </w:r>
      <w:r>
        <w:rPr>
          <w:rFonts w:eastAsia="仿宋_GB2312"/>
          <w:color w:val="000000"/>
          <w:sz w:val="32"/>
          <w:szCs w:val="32"/>
        </w:rPr>
        <w:t>0</w:t>
      </w:r>
      <w:r>
        <w:rPr>
          <w:rFonts w:hint="default" w:eastAsia="仿宋_GB2312"/>
          <w:color w:val="000000"/>
          <w:sz w:val="32"/>
          <w:szCs w:val="32"/>
        </w:rPr>
        <w:t>-</w:t>
      </w:r>
      <w:r>
        <w:rPr>
          <w:rFonts w:eastAsia="仿宋_GB2312"/>
          <w:color w:val="000000"/>
          <w:sz w:val="32"/>
          <w:szCs w:val="32"/>
        </w:rPr>
        <w:t>4</w:t>
      </w:r>
      <w:r>
        <w:rPr>
          <w:rFonts w:hint="default" w:eastAsia="仿宋_GB2312"/>
          <w:color w:val="000000"/>
          <w:sz w:val="32"/>
          <w:szCs w:val="32"/>
        </w:rPr>
        <w:t>00</w:t>
      </w:r>
      <w:r>
        <w:rPr>
          <w:rFonts w:eastAsia="仿宋_GB2312"/>
          <w:color w:val="000000"/>
          <w:sz w:val="32"/>
          <w:szCs w:val="32"/>
        </w:rPr>
        <w:t>人</w:t>
      </w:r>
      <w:r>
        <w:rPr>
          <w:rFonts w:hint="default" w:eastAsia="仿宋_GB2312"/>
          <w:color w:val="000000"/>
          <w:sz w:val="32"/>
          <w:szCs w:val="32"/>
        </w:rPr>
        <w:t>之间</w:t>
      </w:r>
      <w:r>
        <w:rPr>
          <w:rFonts w:eastAsia="仿宋_GB2312"/>
          <w:color w:val="000000"/>
          <w:sz w:val="32"/>
          <w:szCs w:val="32"/>
        </w:rPr>
        <w:t>，</w:t>
      </w:r>
      <w:r>
        <w:rPr>
          <w:rFonts w:hint="default" w:eastAsia="仿宋_GB2312"/>
          <w:color w:val="000000"/>
          <w:sz w:val="32"/>
          <w:szCs w:val="32"/>
        </w:rPr>
        <w:t>占比在</w:t>
      </w:r>
      <w:r>
        <w:rPr>
          <w:rFonts w:hint="default" w:eastAsia="仿宋_GB2312"/>
          <w:color w:val="000000"/>
          <w:sz w:val="32"/>
          <w:szCs w:val="32"/>
          <w:lang w:val="en-US" w:eastAsia="zh-CN"/>
        </w:rPr>
        <w:t>7</w:t>
      </w:r>
      <w:r>
        <w:rPr>
          <w:rFonts w:hint="default" w:eastAsia="仿宋_GB2312"/>
          <w:color w:val="000000"/>
          <w:sz w:val="32"/>
          <w:szCs w:val="32"/>
        </w:rPr>
        <w:t>%</w:t>
      </w:r>
      <w:r>
        <w:rPr>
          <w:rFonts w:eastAsia="仿宋_GB2312"/>
          <w:color w:val="000000"/>
          <w:sz w:val="32"/>
          <w:szCs w:val="32"/>
        </w:rPr>
        <w:t>左右</w:t>
      </w:r>
      <w:r>
        <w:rPr>
          <w:rFonts w:hint="default" w:eastAsia="仿宋_GB2312"/>
          <w:color w:val="000000"/>
          <w:sz w:val="32"/>
          <w:szCs w:val="32"/>
        </w:rPr>
        <w:t>；</w:t>
      </w:r>
      <w:r>
        <w:rPr>
          <w:rFonts w:eastAsia="仿宋_GB2312"/>
          <w:color w:val="000000"/>
          <w:sz w:val="32"/>
          <w:szCs w:val="32"/>
        </w:rPr>
        <w:t>专业技术人员</w:t>
      </w:r>
      <w:r>
        <w:rPr>
          <w:rFonts w:hint="default" w:eastAsia="仿宋_GB2312"/>
          <w:color w:val="000000"/>
          <w:sz w:val="32"/>
          <w:szCs w:val="32"/>
        </w:rPr>
        <w:t>和技工</w:t>
      </w:r>
      <w:r>
        <w:rPr>
          <w:rFonts w:eastAsia="仿宋_GB2312"/>
          <w:color w:val="000000"/>
          <w:sz w:val="32"/>
          <w:szCs w:val="32"/>
        </w:rPr>
        <w:t>的流失人数</w:t>
      </w:r>
      <w:r>
        <w:rPr>
          <w:rFonts w:hint="default" w:eastAsia="仿宋_GB2312"/>
          <w:color w:val="000000"/>
          <w:sz w:val="32"/>
          <w:szCs w:val="32"/>
        </w:rPr>
        <w:t>及占</w:t>
      </w:r>
      <w:r>
        <w:rPr>
          <w:rFonts w:eastAsia="仿宋_GB2312"/>
          <w:color w:val="000000"/>
          <w:sz w:val="32"/>
          <w:szCs w:val="32"/>
        </w:rPr>
        <w:t>比较</w:t>
      </w:r>
      <w:r>
        <w:rPr>
          <w:rFonts w:hint="default" w:eastAsia="仿宋_GB2312"/>
          <w:color w:val="000000"/>
          <w:sz w:val="32"/>
          <w:szCs w:val="32"/>
        </w:rPr>
        <w:t>少</w:t>
      </w:r>
      <w:r>
        <w:rPr>
          <w:rFonts w:eastAsia="仿宋_GB2312"/>
          <w:color w:val="000000"/>
          <w:sz w:val="32"/>
          <w:szCs w:val="32"/>
        </w:rPr>
        <w:t>（见表</w:t>
      </w:r>
      <w:r>
        <w:rPr>
          <w:rFonts w:hint="eastAsia" w:eastAsia="仿宋_GB2312"/>
          <w:color w:val="000000"/>
          <w:sz w:val="32"/>
          <w:szCs w:val="32"/>
          <w:lang w:eastAsia="zh-CN"/>
        </w:rPr>
        <w:t>9</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9</w:t>
      </w:r>
      <w:r>
        <w:rPr>
          <w:rFonts w:hint="eastAsia" w:eastAsia="宋体"/>
        </w:rPr>
        <w:t>：</w:t>
      </w:r>
      <w:r>
        <w:rPr>
          <w:rFonts w:hint="eastAsia" w:eastAsia="宋体"/>
          <w:lang w:eastAsia="zh-CN"/>
        </w:rPr>
        <w:t>2023年</w:t>
      </w:r>
      <w:r>
        <w:rPr>
          <w:rFonts w:eastAsia="宋体"/>
        </w:rPr>
        <w:t>样本企业分工种流失人数及</w:t>
      </w:r>
      <w:r>
        <w:rPr>
          <w:rFonts w:hint="eastAsia" w:eastAsia="宋体"/>
        </w:rPr>
        <w:t>占比情况</w:t>
      </w:r>
    </w:p>
    <w:p>
      <w:pPr>
        <w:jc w:val="right"/>
        <w:rPr>
          <w:b/>
          <w:sz w:val="24"/>
        </w:rPr>
      </w:pPr>
      <w:r>
        <w:rPr>
          <w:b/>
          <w:sz w:val="24"/>
        </w:rPr>
        <w:t>单位：人、%</w:t>
      </w:r>
    </w:p>
    <w:tbl>
      <w:tblPr>
        <w:tblStyle w:val="13"/>
        <w:tblW w:w="9466" w:type="dxa"/>
        <w:tblInd w:w="93"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990"/>
        <w:gridCol w:w="1025"/>
        <w:gridCol w:w="926"/>
        <w:gridCol w:w="915"/>
        <w:gridCol w:w="1037"/>
        <w:gridCol w:w="825"/>
        <w:gridCol w:w="907"/>
        <w:gridCol w:w="743"/>
        <w:gridCol w:w="1098"/>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990" w:type="dxa"/>
            <w:vMerge w:val="restart"/>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工种分类</w:t>
            </w:r>
          </w:p>
        </w:tc>
        <w:tc>
          <w:tcPr>
            <w:tcW w:w="1951" w:type="dxa"/>
            <w:gridSpan w:val="2"/>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1季度</w:t>
            </w:r>
          </w:p>
        </w:tc>
        <w:tc>
          <w:tcPr>
            <w:tcW w:w="1952" w:type="dxa"/>
            <w:gridSpan w:val="2"/>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2季度</w:t>
            </w:r>
          </w:p>
        </w:tc>
        <w:tc>
          <w:tcPr>
            <w:tcW w:w="1732" w:type="dxa"/>
            <w:gridSpan w:val="2"/>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3季度</w:t>
            </w:r>
          </w:p>
        </w:tc>
        <w:tc>
          <w:tcPr>
            <w:tcW w:w="1841" w:type="dxa"/>
            <w:gridSpan w:val="2"/>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4季度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990" w:type="dxa"/>
            <w:vMerge w:val="continue"/>
            <w:shd w:val="clear" w:color="auto" w:fill="92CDDC" w:themeFill="accent5" w:themeFillTint="99"/>
            <w:noWrap w:val="0"/>
            <w:vAlign w:val="center"/>
          </w:tcPr>
          <w:p>
            <w:pPr>
              <w:widowControl/>
              <w:rPr>
                <w:b/>
                <w:bCs/>
                <w:color w:val="000000"/>
                <w:kern w:val="0"/>
                <w:szCs w:val="21"/>
              </w:rPr>
            </w:pPr>
          </w:p>
        </w:tc>
        <w:tc>
          <w:tcPr>
            <w:tcW w:w="1025"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人数</w:t>
            </w:r>
          </w:p>
        </w:tc>
        <w:tc>
          <w:tcPr>
            <w:tcW w:w="926"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百分比</w:t>
            </w:r>
          </w:p>
        </w:tc>
        <w:tc>
          <w:tcPr>
            <w:tcW w:w="915"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人数</w:t>
            </w:r>
          </w:p>
        </w:tc>
        <w:tc>
          <w:tcPr>
            <w:tcW w:w="1037"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百分比</w:t>
            </w:r>
          </w:p>
        </w:tc>
        <w:tc>
          <w:tcPr>
            <w:tcW w:w="825"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人数</w:t>
            </w:r>
          </w:p>
        </w:tc>
        <w:tc>
          <w:tcPr>
            <w:tcW w:w="907"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百分比</w:t>
            </w:r>
          </w:p>
        </w:tc>
        <w:tc>
          <w:tcPr>
            <w:tcW w:w="743"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人数</w:t>
            </w:r>
          </w:p>
        </w:tc>
        <w:tc>
          <w:tcPr>
            <w:tcW w:w="1098"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百分比</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990"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普工</w:t>
            </w:r>
          </w:p>
        </w:tc>
        <w:tc>
          <w:tcPr>
            <w:tcW w:w="1025"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265</w:t>
            </w:r>
          </w:p>
        </w:tc>
        <w:tc>
          <w:tcPr>
            <w:tcW w:w="926"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73.4 </w:t>
            </w:r>
          </w:p>
        </w:tc>
        <w:tc>
          <w:tcPr>
            <w:tcW w:w="915"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196</w:t>
            </w:r>
          </w:p>
        </w:tc>
        <w:tc>
          <w:tcPr>
            <w:tcW w:w="103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69.5 </w:t>
            </w:r>
          </w:p>
        </w:tc>
        <w:tc>
          <w:tcPr>
            <w:tcW w:w="825"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1631</w:t>
            </w:r>
          </w:p>
        </w:tc>
        <w:tc>
          <w:tcPr>
            <w:tcW w:w="90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69.5 </w:t>
            </w:r>
          </w:p>
        </w:tc>
        <w:tc>
          <w:tcPr>
            <w:tcW w:w="743"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1549</w:t>
            </w:r>
          </w:p>
        </w:tc>
        <w:tc>
          <w:tcPr>
            <w:tcW w:w="1098"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74.3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990"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技工</w:t>
            </w:r>
          </w:p>
        </w:tc>
        <w:tc>
          <w:tcPr>
            <w:tcW w:w="1025"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42</w:t>
            </w:r>
          </w:p>
        </w:tc>
        <w:tc>
          <w:tcPr>
            <w:tcW w:w="926"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11.6 </w:t>
            </w:r>
          </w:p>
        </w:tc>
        <w:tc>
          <w:tcPr>
            <w:tcW w:w="915"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29</w:t>
            </w:r>
          </w:p>
        </w:tc>
        <w:tc>
          <w:tcPr>
            <w:tcW w:w="103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10.3 </w:t>
            </w:r>
          </w:p>
        </w:tc>
        <w:tc>
          <w:tcPr>
            <w:tcW w:w="825"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210</w:t>
            </w:r>
          </w:p>
        </w:tc>
        <w:tc>
          <w:tcPr>
            <w:tcW w:w="90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8.9 </w:t>
            </w:r>
          </w:p>
        </w:tc>
        <w:tc>
          <w:tcPr>
            <w:tcW w:w="743"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108</w:t>
            </w:r>
          </w:p>
        </w:tc>
        <w:tc>
          <w:tcPr>
            <w:tcW w:w="1098"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5.2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990"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专业技术人员</w:t>
            </w:r>
          </w:p>
        </w:tc>
        <w:tc>
          <w:tcPr>
            <w:tcW w:w="1025"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32</w:t>
            </w:r>
          </w:p>
        </w:tc>
        <w:tc>
          <w:tcPr>
            <w:tcW w:w="926"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8.9 </w:t>
            </w:r>
          </w:p>
        </w:tc>
        <w:tc>
          <w:tcPr>
            <w:tcW w:w="915"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32</w:t>
            </w:r>
          </w:p>
        </w:tc>
        <w:tc>
          <w:tcPr>
            <w:tcW w:w="103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11.3 </w:t>
            </w:r>
          </w:p>
        </w:tc>
        <w:tc>
          <w:tcPr>
            <w:tcW w:w="825"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205</w:t>
            </w:r>
          </w:p>
        </w:tc>
        <w:tc>
          <w:tcPr>
            <w:tcW w:w="90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8.7 </w:t>
            </w:r>
          </w:p>
        </w:tc>
        <w:tc>
          <w:tcPr>
            <w:tcW w:w="743"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206</w:t>
            </w:r>
          </w:p>
        </w:tc>
        <w:tc>
          <w:tcPr>
            <w:tcW w:w="1098"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9.9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990"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管理及其他人员</w:t>
            </w:r>
          </w:p>
        </w:tc>
        <w:tc>
          <w:tcPr>
            <w:tcW w:w="1025"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22</w:t>
            </w:r>
          </w:p>
        </w:tc>
        <w:tc>
          <w:tcPr>
            <w:tcW w:w="926"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6.1 </w:t>
            </w:r>
          </w:p>
        </w:tc>
        <w:tc>
          <w:tcPr>
            <w:tcW w:w="915"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25</w:t>
            </w:r>
          </w:p>
        </w:tc>
        <w:tc>
          <w:tcPr>
            <w:tcW w:w="103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8.9 </w:t>
            </w:r>
          </w:p>
        </w:tc>
        <w:tc>
          <w:tcPr>
            <w:tcW w:w="825"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304</w:t>
            </w:r>
          </w:p>
        </w:tc>
        <w:tc>
          <w:tcPr>
            <w:tcW w:w="907"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12.9 </w:t>
            </w:r>
          </w:p>
        </w:tc>
        <w:tc>
          <w:tcPr>
            <w:tcW w:w="743"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222</w:t>
            </w:r>
          </w:p>
        </w:tc>
        <w:tc>
          <w:tcPr>
            <w:tcW w:w="1098" w:type="dxa"/>
            <w:noWrap w:val="0"/>
            <w:vAlign w:val="center"/>
          </w:tcPr>
          <w:p>
            <w:pPr>
              <w:widowControl/>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10.6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990"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1025"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361</w:t>
            </w:r>
          </w:p>
        </w:tc>
        <w:tc>
          <w:tcPr>
            <w:tcW w:w="926"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915"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282</w:t>
            </w:r>
          </w:p>
        </w:tc>
        <w:tc>
          <w:tcPr>
            <w:tcW w:w="103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825"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2350</w:t>
            </w:r>
          </w:p>
        </w:tc>
        <w:tc>
          <w:tcPr>
            <w:tcW w:w="907"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743"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2085</w:t>
            </w:r>
          </w:p>
        </w:tc>
        <w:tc>
          <w:tcPr>
            <w:tcW w:w="1098" w:type="dxa"/>
            <w:noWrap w:val="0"/>
            <w:vAlign w:val="center"/>
          </w:tcPr>
          <w:p>
            <w:pPr>
              <w:widowControl/>
              <w:jc w:val="center"/>
              <w:textAlignment w:val="center"/>
              <w:rPr>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r>
    </w:tbl>
    <w:p>
      <w:pPr>
        <w:numPr>
          <w:ilvl w:val="0"/>
          <w:numId w:val="0"/>
        </w:numPr>
        <w:spacing w:before="156"/>
        <w:ind w:firstLine="420" w:firstLineChars="200"/>
        <w:rPr>
          <w:rFonts w:hint="eastAsia"/>
        </w:rPr>
      </w:pPr>
    </w:p>
    <w:p>
      <w:pPr>
        <w:pStyle w:val="37"/>
        <w:numPr>
          <w:ilvl w:val="0"/>
          <w:numId w:val="0"/>
        </w:numPr>
        <w:spacing w:before="156"/>
        <w:ind w:firstLine="640" w:firstLineChars="200"/>
        <w:rPr>
          <w:rFonts w:hint="eastAsia" w:ascii="楷体_GB2312" w:hAnsi="楷体_GB2312" w:eastAsia="楷体_GB2312" w:cs="楷体_GB2312"/>
          <w:b w:val="0"/>
          <w:bCs w:val="0"/>
        </w:rPr>
      </w:pPr>
      <w:bookmarkStart w:id="8" w:name="_Toc14385"/>
      <w:r>
        <w:rPr>
          <w:rFonts w:hint="eastAsia" w:ascii="楷体_GB2312" w:hAnsi="楷体_GB2312" w:eastAsia="楷体_GB2312" w:cs="楷体_GB2312"/>
          <w:b w:val="0"/>
          <w:bCs w:val="0"/>
        </w:rPr>
        <w:t>（四）人员招聘情况</w:t>
      </w:r>
      <w:bookmarkEnd w:id="8"/>
    </w:p>
    <w:p>
      <w:pPr>
        <w:spacing w:before="0" w:beforeLines="0"/>
        <w:ind w:firstLine="643" w:firstLineChars="200"/>
        <w:rPr>
          <w:rFonts w:hint="eastAsia" w:eastAsia="仿宋"/>
          <w:b/>
          <w:bCs/>
          <w:sz w:val="32"/>
          <w:szCs w:val="32"/>
        </w:rPr>
      </w:pPr>
      <w:r>
        <w:rPr>
          <w:rFonts w:eastAsia="仿宋"/>
          <w:b/>
          <w:bCs/>
          <w:sz w:val="32"/>
          <w:szCs w:val="32"/>
        </w:rPr>
        <w:t>1.制造业企业实际招聘人数最多</w:t>
      </w:r>
      <w:r>
        <w:rPr>
          <w:rFonts w:hint="eastAsia" w:eastAsia="仿宋"/>
          <w:b/>
          <w:bCs/>
          <w:sz w:val="32"/>
          <w:szCs w:val="32"/>
        </w:rPr>
        <w:t>，</w:t>
      </w:r>
      <w:r>
        <w:rPr>
          <w:rFonts w:eastAsia="仿宋"/>
          <w:b/>
          <w:bCs/>
          <w:color w:val="000000"/>
          <w:sz w:val="32"/>
          <w:szCs w:val="32"/>
        </w:rPr>
        <w:t>占比最高</w:t>
      </w:r>
    </w:p>
    <w:p>
      <w:pPr>
        <w:spacing w:line="240" w:lineRule="auto"/>
        <w:ind w:firstLine="640" w:firstLineChars="200"/>
        <w:rPr>
          <w:rFonts w:eastAsia="仿宋_GB2312"/>
          <w:color w:val="000000"/>
          <w:sz w:val="32"/>
          <w:szCs w:val="32"/>
        </w:rPr>
      </w:pPr>
      <w:r>
        <w:rPr>
          <w:rFonts w:hint="default" w:eastAsia="仿宋_GB2312"/>
          <w:color w:val="000000"/>
          <w:sz w:val="32"/>
          <w:szCs w:val="32"/>
          <w:lang w:eastAsia="zh-CN"/>
        </w:rPr>
        <w:t>2023年</w:t>
      </w:r>
      <w:r>
        <w:rPr>
          <w:rFonts w:hint="default" w:eastAsia="仿宋_GB2312"/>
          <w:color w:val="000000"/>
          <w:sz w:val="32"/>
          <w:szCs w:val="32"/>
        </w:rPr>
        <w:t>样本企业中</w:t>
      </w:r>
      <w:r>
        <w:rPr>
          <w:rFonts w:eastAsia="仿宋_GB2312"/>
          <w:color w:val="000000"/>
          <w:sz w:val="32"/>
          <w:szCs w:val="32"/>
        </w:rPr>
        <w:t>，</w:t>
      </w:r>
      <w:r>
        <w:rPr>
          <w:rFonts w:hint="default" w:eastAsia="仿宋_GB2312"/>
          <w:color w:val="000000"/>
          <w:sz w:val="32"/>
          <w:szCs w:val="32"/>
          <w:lang w:val="en-US" w:eastAsia="zh-CN"/>
        </w:rPr>
        <w:t>3</w:t>
      </w:r>
      <w:r>
        <w:rPr>
          <w:rFonts w:hint="default" w:eastAsia="仿宋_GB2312"/>
          <w:color w:val="000000"/>
          <w:sz w:val="32"/>
          <w:szCs w:val="32"/>
        </w:rPr>
        <w:t>季度</w:t>
      </w:r>
      <w:r>
        <w:rPr>
          <w:rFonts w:eastAsia="仿宋_GB2312"/>
          <w:color w:val="000000"/>
          <w:sz w:val="32"/>
          <w:szCs w:val="32"/>
        </w:rPr>
        <w:t>实际招聘人数</w:t>
      </w:r>
      <w:r>
        <w:rPr>
          <w:rFonts w:hint="default" w:eastAsia="仿宋_GB2312"/>
          <w:color w:val="000000"/>
          <w:sz w:val="32"/>
          <w:szCs w:val="32"/>
          <w:lang w:val="en-US" w:eastAsia="zh-CN"/>
        </w:rPr>
        <w:t>2208</w:t>
      </w:r>
      <w:r>
        <w:rPr>
          <w:rFonts w:eastAsia="仿宋_GB2312"/>
          <w:color w:val="000000"/>
          <w:sz w:val="32"/>
          <w:szCs w:val="32"/>
        </w:rPr>
        <w:t>人最多，</w:t>
      </w:r>
      <w:r>
        <w:rPr>
          <w:rFonts w:hint="default" w:eastAsia="仿宋_GB2312"/>
          <w:color w:val="000000"/>
          <w:sz w:val="32"/>
          <w:szCs w:val="32"/>
          <w:lang w:val="en-US" w:eastAsia="zh-CN"/>
        </w:rPr>
        <w:t>2</w:t>
      </w:r>
      <w:r>
        <w:rPr>
          <w:rFonts w:hint="default" w:eastAsia="仿宋_GB2312"/>
          <w:color w:val="000000"/>
          <w:sz w:val="32"/>
          <w:szCs w:val="32"/>
        </w:rPr>
        <w:t>季度</w:t>
      </w:r>
      <w:r>
        <w:rPr>
          <w:rFonts w:eastAsia="仿宋_GB2312"/>
          <w:color w:val="000000"/>
          <w:sz w:val="32"/>
          <w:szCs w:val="32"/>
        </w:rPr>
        <w:t>实际招聘人数</w:t>
      </w:r>
      <w:r>
        <w:rPr>
          <w:rFonts w:hint="default" w:eastAsia="仿宋_GB2312"/>
          <w:color w:val="000000"/>
          <w:sz w:val="32"/>
          <w:szCs w:val="32"/>
        </w:rPr>
        <w:t>16</w:t>
      </w:r>
      <w:r>
        <w:rPr>
          <w:rFonts w:hint="default" w:eastAsia="仿宋_GB2312"/>
          <w:color w:val="000000"/>
          <w:sz w:val="32"/>
          <w:szCs w:val="32"/>
          <w:lang w:val="en-US" w:eastAsia="zh-CN"/>
        </w:rPr>
        <w:t>34</w:t>
      </w:r>
      <w:r>
        <w:rPr>
          <w:rFonts w:hint="default" w:eastAsia="仿宋_GB2312"/>
          <w:color w:val="000000"/>
          <w:sz w:val="32"/>
          <w:szCs w:val="32"/>
        </w:rPr>
        <w:t>人</w:t>
      </w:r>
      <w:r>
        <w:rPr>
          <w:rFonts w:eastAsia="仿宋_GB2312"/>
          <w:color w:val="000000"/>
          <w:sz w:val="32"/>
          <w:szCs w:val="32"/>
        </w:rPr>
        <w:t>最少</w:t>
      </w:r>
      <w:r>
        <w:rPr>
          <w:rFonts w:hint="default" w:eastAsia="仿宋_GB2312"/>
          <w:color w:val="000000"/>
          <w:sz w:val="32"/>
          <w:szCs w:val="32"/>
        </w:rPr>
        <w:t>，季度间实际招聘人数差异较大，人员招聘存在季节性差异</w:t>
      </w:r>
      <w:r>
        <w:rPr>
          <w:rFonts w:eastAsia="仿宋_GB2312"/>
          <w:color w:val="000000"/>
          <w:sz w:val="32"/>
          <w:szCs w:val="32"/>
        </w:rPr>
        <w:t>。分行业来看，制造业实际招聘人数均在</w:t>
      </w:r>
      <w:r>
        <w:rPr>
          <w:rFonts w:hint="default" w:eastAsia="仿宋_GB2312"/>
          <w:color w:val="000000"/>
          <w:sz w:val="32"/>
          <w:szCs w:val="32"/>
          <w:lang w:val="en-US" w:eastAsia="zh-CN"/>
        </w:rPr>
        <w:t>1000</w:t>
      </w:r>
      <w:r>
        <w:rPr>
          <w:rFonts w:eastAsia="仿宋_GB2312"/>
          <w:color w:val="000000"/>
          <w:sz w:val="32"/>
          <w:szCs w:val="32"/>
        </w:rPr>
        <w:t>人以上</w:t>
      </w:r>
      <w:r>
        <w:rPr>
          <w:rFonts w:hint="default" w:eastAsia="仿宋_GB2312"/>
          <w:color w:val="000000"/>
          <w:sz w:val="32"/>
          <w:szCs w:val="32"/>
        </w:rPr>
        <w:t>，占比超过</w:t>
      </w:r>
      <w:r>
        <w:rPr>
          <w:rFonts w:hint="default" w:eastAsia="仿宋_GB2312"/>
          <w:color w:val="000000"/>
          <w:sz w:val="32"/>
          <w:szCs w:val="32"/>
          <w:lang w:val="en-US" w:eastAsia="zh-CN"/>
        </w:rPr>
        <w:t>61</w:t>
      </w:r>
      <w:r>
        <w:rPr>
          <w:rFonts w:hint="default" w:eastAsia="仿宋_GB2312"/>
          <w:color w:val="000000"/>
          <w:sz w:val="32"/>
          <w:szCs w:val="32"/>
        </w:rPr>
        <w:t>%。</w:t>
      </w:r>
      <w:r>
        <w:rPr>
          <w:rFonts w:eastAsia="仿宋_GB2312"/>
          <w:color w:val="000000"/>
          <w:sz w:val="32"/>
          <w:szCs w:val="32"/>
        </w:rPr>
        <w:t>其次是</w:t>
      </w:r>
      <w:r>
        <w:rPr>
          <w:rFonts w:hint="default" w:eastAsia="仿宋_GB2312"/>
          <w:color w:val="000000"/>
          <w:sz w:val="32"/>
          <w:szCs w:val="32"/>
        </w:rPr>
        <w:t>批发和零售业、科学研究和技术服务业</w:t>
      </w:r>
      <w:r>
        <w:rPr>
          <w:rFonts w:hint="default" w:eastAsia="仿宋_GB2312"/>
          <w:color w:val="000000"/>
          <w:sz w:val="32"/>
          <w:szCs w:val="32"/>
          <w:lang w:eastAsia="zh-CN"/>
        </w:rPr>
        <w:t>、</w:t>
      </w:r>
      <w:r>
        <w:rPr>
          <w:rFonts w:hint="default" w:eastAsia="仿宋_GB2312"/>
          <w:color w:val="000000"/>
          <w:sz w:val="32"/>
          <w:szCs w:val="32"/>
        </w:rPr>
        <w:t>住宿和餐饮业、交通运输、仓储和邮政业，</w:t>
      </w:r>
      <w:r>
        <w:rPr>
          <w:rFonts w:eastAsia="仿宋_GB2312"/>
          <w:color w:val="000000"/>
          <w:sz w:val="32"/>
          <w:szCs w:val="32"/>
        </w:rPr>
        <w:t>实际招聘人数较多，其他行业实际招聘</w:t>
      </w:r>
      <w:r>
        <w:rPr>
          <w:rFonts w:hint="default" w:eastAsia="仿宋_GB2312"/>
          <w:color w:val="000000"/>
          <w:sz w:val="32"/>
          <w:szCs w:val="32"/>
        </w:rPr>
        <w:t>人数</w:t>
      </w:r>
      <w:r>
        <w:rPr>
          <w:rFonts w:eastAsia="仿宋_GB2312"/>
          <w:color w:val="000000"/>
          <w:sz w:val="32"/>
          <w:szCs w:val="32"/>
        </w:rPr>
        <w:t>较少</w:t>
      </w:r>
      <w:r>
        <w:rPr>
          <w:rFonts w:hint="default" w:eastAsia="仿宋_GB2312"/>
          <w:color w:val="000000"/>
          <w:sz w:val="32"/>
          <w:szCs w:val="32"/>
        </w:rPr>
        <w:t>，占比较低</w:t>
      </w:r>
      <w:r>
        <w:rPr>
          <w:rFonts w:eastAsia="仿宋_GB2312"/>
          <w:color w:val="000000"/>
          <w:sz w:val="32"/>
          <w:szCs w:val="32"/>
        </w:rPr>
        <w:t>（见表</w:t>
      </w:r>
      <w:r>
        <w:rPr>
          <w:rFonts w:hint="eastAsia" w:eastAsia="仿宋_GB2312"/>
          <w:color w:val="000000"/>
          <w:sz w:val="32"/>
          <w:szCs w:val="32"/>
          <w:lang w:eastAsia="zh-CN"/>
        </w:rPr>
        <w:t>1</w:t>
      </w:r>
      <w:r>
        <w:rPr>
          <w:rFonts w:hint="eastAsia" w:eastAsia="仿宋_GB2312"/>
          <w:color w:val="000000"/>
          <w:sz w:val="32"/>
          <w:szCs w:val="32"/>
          <w:lang w:val="en-US" w:eastAsia="zh-CN"/>
        </w:rPr>
        <w:t>0</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eastAsia="宋体"/>
        </w:rPr>
        <w:t>1</w:t>
      </w:r>
      <w:r>
        <w:rPr>
          <w:rFonts w:hint="eastAsia" w:eastAsia="宋体"/>
          <w:lang w:val="en-US" w:eastAsia="zh-CN"/>
        </w:rPr>
        <w:t>0</w:t>
      </w:r>
      <w:r>
        <w:rPr>
          <w:rFonts w:hint="eastAsia" w:eastAsia="宋体"/>
        </w:rPr>
        <w:t>：</w:t>
      </w:r>
      <w:r>
        <w:rPr>
          <w:rFonts w:hint="eastAsia" w:eastAsia="宋体"/>
          <w:lang w:eastAsia="zh-CN"/>
        </w:rPr>
        <w:t>2023年</w:t>
      </w:r>
      <w:r>
        <w:rPr>
          <w:rFonts w:eastAsia="宋体"/>
        </w:rPr>
        <w:t>样本企业分行业实际招聘人数</w:t>
      </w:r>
      <w:r>
        <w:rPr>
          <w:rFonts w:hint="eastAsia" w:eastAsia="宋体"/>
        </w:rPr>
        <w:t>及</w:t>
      </w:r>
      <w:r>
        <w:rPr>
          <w:rFonts w:eastAsia="宋体"/>
        </w:rPr>
        <w:t>占比情况</w:t>
      </w:r>
    </w:p>
    <w:p>
      <w:pPr>
        <w:jc w:val="right"/>
        <w:rPr>
          <w:b/>
          <w:sz w:val="24"/>
        </w:rPr>
      </w:pPr>
      <w:r>
        <w:rPr>
          <w:b/>
          <w:sz w:val="24"/>
        </w:rPr>
        <w:t>单位：%</w:t>
      </w:r>
    </w:p>
    <w:tbl>
      <w:tblPr>
        <w:tblStyle w:val="13"/>
        <w:tblW w:w="9739"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723"/>
        <w:gridCol w:w="733"/>
        <w:gridCol w:w="771"/>
        <w:gridCol w:w="733"/>
        <w:gridCol w:w="771"/>
        <w:gridCol w:w="733"/>
        <w:gridCol w:w="771"/>
        <w:gridCol w:w="733"/>
        <w:gridCol w:w="771"/>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38" w:hRule="atLeast"/>
          <w:tblHeader/>
          <w:jc w:val="center"/>
        </w:trPr>
        <w:tc>
          <w:tcPr>
            <w:tcW w:w="3723" w:type="dxa"/>
            <w:shd w:val="clear" w:color="auto" w:fill="92CDDC" w:themeFill="accent5" w:themeFillTint="99"/>
            <w:noWrap w:val="0"/>
            <w:vAlign w:val="center"/>
          </w:tcPr>
          <w:p>
            <w:pPr>
              <w:jc w:val="center"/>
              <w:rPr>
                <w:b/>
                <w:bCs/>
                <w:color w:val="000000"/>
              </w:rPr>
            </w:pPr>
            <w:r>
              <w:rPr>
                <w:b/>
                <w:bCs/>
                <w:color w:val="000000"/>
              </w:rPr>
              <w:t>行业</w:t>
            </w:r>
          </w:p>
        </w:tc>
        <w:tc>
          <w:tcPr>
            <w:tcW w:w="1504" w:type="dxa"/>
            <w:gridSpan w:val="2"/>
            <w:shd w:val="clear" w:color="auto" w:fill="92CDDC" w:themeFill="accent5" w:themeFillTint="99"/>
            <w:noWrap w:val="0"/>
            <w:vAlign w:val="center"/>
          </w:tcPr>
          <w:p>
            <w:pPr>
              <w:jc w:val="center"/>
              <w:rPr>
                <w:b/>
                <w:bCs/>
                <w:color w:val="000000"/>
              </w:rPr>
            </w:pPr>
            <w:r>
              <w:rPr>
                <w:rFonts w:hint="default"/>
                <w:b/>
                <w:bCs/>
                <w:color w:val="000000"/>
              </w:rPr>
              <w:t>1季度</w:t>
            </w:r>
          </w:p>
        </w:tc>
        <w:tc>
          <w:tcPr>
            <w:tcW w:w="1504" w:type="dxa"/>
            <w:gridSpan w:val="2"/>
            <w:shd w:val="clear" w:color="auto" w:fill="92CDDC" w:themeFill="accent5" w:themeFillTint="99"/>
            <w:noWrap w:val="0"/>
            <w:vAlign w:val="center"/>
          </w:tcPr>
          <w:p>
            <w:pPr>
              <w:jc w:val="center"/>
              <w:rPr>
                <w:b/>
                <w:bCs/>
                <w:color w:val="000000"/>
              </w:rPr>
            </w:pPr>
            <w:r>
              <w:rPr>
                <w:rFonts w:hint="default"/>
                <w:b/>
                <w:bCs/>
                <w:color w:val="000000"/>
              </w:rPr>
              <w:t>2季度</w:t>
            </w:r>
          </w:p>
        </w:tc>
        <w:tc>
          <w:tcPr>
            <w:tcW w:w="1504" w:type="dxa"/>
            <w:gridSpan w:val="2"/>
            <w:shd w:val="clear" w:color="auto" w:fill="92CDDC" w:themeFill="accent5" w:themeFillTint="99"/>
            <w:noWrap w:val="0"/>
            <w:vAlign w:val="center"/>
          </w:tcPr>
          <w:p>
            <w:pPr>
              <w:jc w:val="center"/>
              <w:rPr>
                <w:b/>
                <w:bCs/>
                <w:color w:val="000000"/>
              </w:rPr>
            </w:pPr>
            <w:r>
              <w:rPr>
                <w:rFonts w:hint="default"/>
                <w:b/>
                <w:bCs/>
                <w:color w:val="000000"/>
              </w:rPr>
              <w:t>3季度</w:t>
            </w:r>
          </w:p>
        </w:tc>
        <w:tc>
          <w:tcPr>
            <w:tcW w:w="1504" w:type="dxa"/>
            <w:gridSpan w:val="2"/>
            <w:shd w:val="clear" w:color="auto" w:fill="92CDDC" w:themeFill="accent5" w:themeFillTint="99"/>
            <w:noWrap w:val="0"/>
            <w:vAlign w:val="center"/>
          </w:tcPr>
          <w:p>
            <w:pPr>
              <w:jc w:val="center"/>
              <w:rPr>
                <w:b/>
                <w:bCs/>
                <w:color w:val="000000"/>
              </w:rPr>
            </w:pPr>
            <w:r>
              <w:rPr>
                <w:rFonts w:hint="default"/>
                <w:b/>
                <w:bCs/>
                <w:color w:val="000000"/>
              </w:rPr>
              <w:t>4季度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1341</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65.4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1121</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68.6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1505</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68.1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1088</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61.7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401</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19.5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191</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11.7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382</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17.3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238</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13.5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128</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6.2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60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3.7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39</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1.8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200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11.4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120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5.8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87</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5.3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133</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6.0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66</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3.7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5</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0.2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59</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3.4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49</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2.4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115</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38</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1.7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42</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2.4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3</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6</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0.4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82</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3.7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43</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2.4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3</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28</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1.7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8</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0.4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12</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0.7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3</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16</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8</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0.4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0.6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2</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6</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0.3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3</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0.2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金融业</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3</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0.2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教育</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2</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2</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4</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0.2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5</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0.3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2</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公共管理、社会保障和社会组织</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733"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771"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733"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2057</w:t>
            </w:r>
          </w:p>
        </w:tc>
        <w:tc>
          <w:tcPr>
            <w:tcW w:w="771"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c>
          <w:tcPr>
            <w:tcW w:w="733"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1634</w:t>
            </w:r>
          </w:p>
        </w:tc>
        <w:tc>
          <w:tcPr>
            <w:tcW w:w="771"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c>
          <w:tcPr>
            <w:tcW w:w="733"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2208</w:t>
            </w:r>
          </w:p>
        </w:tc>
        <w:tc>
          <w:tcPr>
            <w:tcW w:w="771"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c>
          <w:tcPr>
            <w:tcW w:w="733" w:type="dxa"/>
            <w:noWrap w:val="0"/>
            <w:vAlign w:val="bottom"/>
          </w:tcPr>
          <w:p>
            <w:pPr>
              <w:widowControl/>
              <w:jc w:val="center"/>
              <w:textAlignment w:val="bottom"/>
              <w:rPr>
                <w:rFonts w:hint="default"/>
                <w:b/>
                <w:bCs/>
              </w:rPr>
            </w:pPr>
            <w:r>
              <w:rPr>
                <w:rFonts w:hint="default" w:ascii="Times New Roman" w:hAnsi="Times New Roman" w:eastAsia="宋体" w:cs="Times New Roman"/>
                <w:b/>
                <w:bCs/>
                <w:i w:val="0"/>
                <w:iCs w:val="0"/>
                <w:color w:val="000000"/>
                <w:kern w:val="0"/>
                <w:sz w:val="22"/>
                <w:szCs w:val="22"/>
                <w:u w:val="none"/>
                <w:lang w:val="en-US" w:eastAsia="zh-CN" w:bidi="ar"/>
              </w:rPr>
              <w:t>1761</w:t>
            </w:r>
          </w:p>
        </w:tc>
        <w:tc>
          <w:tcPr>
            <w:tcW w:w="771" w:type="dxa"/>
            <w:noWrap w:val="0"/>
            <w:vAlign w:val="bottom"/>
          </w:tcPr>
          <w:p>
            <w:pPr>
              <w:widowControl/>
              <w:jc w:val="center"/>
              <w:textAlignment w:val="bottom"/>
              <w:rPr>
                <w:b/>
                <w:bCs/>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r>
    </w:tbl>
    <w:p>
      <w:pPr>
        <w:jc w:val="right"/>
        <w:rPr>
          <w:b/>
          <w:sz w:val="24"/>
        </w:rPr>
      </w:pPr>
    </w:p>
    <w:p>
      <w:pPr>
        <w:spacing w:before="156" w:beforeLines="50"/>
        <w:ind w:firstLine="643" w:firstLineChars="200"/>
        <w:rPr>
          <w:rFonts w:hint="default" w:eastAsia="仿宋"/>
          <w:b/>
          <w:sz w:val="32"/>
          <w:szCs w:val="32"/>
          <w:lang w:val="en-US" w:eastAsia="zh-CN"/>
        </w:rPr>
      </w:pPr>
      <w:r>
        <w:rPr>
          <w:rFonts w:hint="eastAsia" w:eastAsia="仿宋"/>
          <w:b/>
          <w:sz w:val="32"/>
          <w:szCs w:val="32"/>
        </w:rPr>
        <w:t>2</w:t>
      </w:r>
      <w:r>
        <w:rPr>
          <w:rFonts w:eastAsia="仿宋"/>
          <w:b/>
          <w:sz w:val="32"/>
          <w:szCs w:val="32"/>
        </w:rPr>
        <w:t>.</w:t>
      </w:r>
      <w:r>
        <w:rPr>
          <w:rFonts w:hint="eastAsia" w:eastAsia="仿宋"/>
          <w:b/>
          <w:sz w:val="32"/>
          <w:szCs w:val="32"/>
          <w:lang w:val="en-US" w:eastAsia="zh-CN"/>
        </w:rPr>
        <w:t>三</w:t>
      </w:r>
      <w:r>
        <w:rPr>
          <w:rFonts w:hint="eastAsia" w:eastAsia="仿宋"/>
          <w:b/>
          <w:sz w:val="32"/>
          <w:szCs w:val="32"/>
        </w:rPr>
        <w:t>季度</w:t>
      </w:r>
      <w:r>
        <w:rPr>
          <w:rFonts w:eastAsia="仿宋"/>
          <w:b/>
          <w:sz w:val="32"/>
          <w:szCs w:val="32"/>
        </w:rPr>
        <w:t>人员</w:t>
      </w:r>
      <w:r>
        <w:rPr>
          <w:rFonts w:eastAsia="仿宋"/>
          <w:b/>
          <w:kern w:val="0"/>
          <w:sz w:val="32"/>
          <w:szCs w:val="32"/>
        </w:rPr>
        <w:t>新招率</w:t>
      </w:r>
      <w:r>
        <w:rPr>
          <w:rStyle w:val="20"/>
          <w:rFonts w:eastAsia="仿宋"/>
          <w:b/>
          <w:kern w:val="0"/>
          <w:sz w:val="32"/>
          <w:szCs w:val="32"/>
        </w:rPr>
        <w:footnoteReference w:id="2"/>
      </w:r>
      <w:r>
        <w:rPr>
          <w:rFonts w:eastAsia="仿宋"/>
          <w:b/>
          <w:sz w:val="32"/>
          <w:szCs w:val="32"/>
        </w:rPr>
        <w:t>最高</w:t>
      </w:r>
      <w:r>
        <w:rPr>
          <w:rFonts w:hint="eastAsia" w:eastAsia="仿宋"/>
          <w:b/>
          <w:bCs/>
          <w:sz w:val="32"/>
          <w:szCs w:val="32"/>
        </w:rPr>
        <w:t>，人员招聘</w:t>
      </w:r>
      <w:r>
        <w:rPr>
          <w:rFonts w:hint="eastAsia" w:eastAsia="仿宋"/>
          <w:b/>
          <w:bCs/>
          <w:sz w:val="32"/>
          <w:szCs w:val="32"/>
          <w:lang w:val="en-US" w:eastAsia="zh-CN"/>
        </w:rPr>
        <w:t>变化明显</w:t>
      </w:r>
    </w:p>
    <w:p>
      <w:pPr>
        <w:spacing w:before="0" w:beforeLines="-2147483648"/>
        <w:ind w:firstLine="640" w:firstLineChars="200"/>
        <w:rPr>
          <w:rFonts w:eastAsia="仿宋_GB2312"/>
          <w:b w:val="0"/>
          <w:color w:val="000000"/>
          <w:kern w:val="2"/>
          <w:sz w:val="32"/>
          <w:szCs w:val="32"/>
        </w:rPr>
      </w:pPr>
      <w:r>
        <w:rPr>
          <w:rFonts w:hint="default" w:eastAsia="仿宋_GB2312"/>
          <w:color w:val="000000"/>
          <w:sz w:val="32"/>
          <w:szCs w:val="32"/>
          <w:lang w:eastAsia="zh-CN"/>
        </w:rPr>
        <w:t>2023年</w:t>
      </w:r>
      <w:r>
        <w:rPr>
          <w:rFonts w:hint="default" w:eastAsia="仿宋_GB2312"/>
          <w:color w:val="000000"/>
          <w:sz w:val="32"/>
          <w:szCs w:val="32"/>
        </w:rPr>
        <w:t>样本企业中，</w:t>
      </w:r>
      <w:r>
        <w:rPr>
          <w:rFonts w:hint="default" w:eastAsia="仿宋_GB2312"/>
          <w:color w:val="000000"/>
          <w:sz w:val="32"/>
          <w:szCs w:val="32"/>
          <w:lang w:val="en-US" w:eastAsia="zh-CN"/>
        </w:rPr>
        <w:t>3</w:t>
      </w:r>
      <w:r>
        <w:rPr>
          <w:rFonts w:hint="default" w:eastAsia="仿宋_GB2312"/>
          <w:color w:val="000000"/>
          <w:sz w:val="32"/>
          <w:szCs w:val="32"/>
        </w:rPr>
        <w:t>季度</w:t>
      </w:r>
      <w:r>
        <w:rPr>
          <w:rFonts w:eastAsia="仿宋_GB2312"/>
          <w:color w:val="000000"/>
          <w:sz w:val="32"/>
          <w:szCs w:val="32"/>
        </w:rPr>
        <w:t>人员新招率</w:t>
      </w:r>
      <w:r>
        <w:rPr>
          <w:rFonts w:hint="default" w:eastAsia="仿宋_GB2312"/>
          <w:color w:val="000000"/>
          <w:sz w:val="32"/>
          <w:szCs w:val="32"/>
          <w:lang w:val="en-US" w:eastAsia="zh-CN"/>
        </w:rPr>
        <w:t>8.2</w:t>
      </w:r>
      <w:r>
        <w:rPr>
          <w:rFonts w:eastAsia="仿宋_GB2312"/>
          <w:color w:val="000000"/>
          <w:sz w:val="32"/>
          <w:szCs w:val="32"/>
        </w:rPr>
        <w:t>%最高；</w:t>
      </w:r>
      <w:r>
        <w:rPr>
          <w:rFonts w:hint="default" w:eastAsia="仿宋_GB2312"/>
          <w:color w:val="000000"/>
          <w:sz w:val="32"/>
          <w:szCs w:val="32"/>
          <w:lang w:val="en-US" w:eastAsia="zh-CN"/>
        </w:rPr>
        <w:t>2</w:t>
      </w:r>
      <w:r>
        <w:rPr>
          <w:rFonts w:hint="default" w:eastAsia="仿宋_GB2312"/>
          <w:color w:val="000000"/>
          <w:sz w:val="32"/>
          <w:szCs w:val="32"/>
        </w:rPr>
        <w:t>季度人员</w:t>
      </w:r>
      <w:r>
        <w:rPr>
          <w:rFonts w:eastAsia="仿宋_GB2312"/>
          <w:color w:val="000000"/>
          <w:sz w:val="32"/>
          <w:szCs w:val="32"/>
        </w:rPr>
        <w:t>新招率</w:t>
      </w:r>
      <w:r>
        <w:rPr>
          <w:rFonts w:hint="default" w:eastAsia="仿宋_GB2312"/>
          <w:color w:val="000000"/>
          <w:sz w:val="32"/>
          <w:szCs w:val="32"/>
        </w:rPr>
        <w:t>6.</w:t>
      </w:r>
      <w:r>
        <w:rPr>
          <w:rFonts w:hint="default" w:eastAsia="仿宋_GB2312"/>
          <w:color w:val="000000"/>
          <w:sz w:val="32"/>
          <w:szCs w:val="32"/>
          <w:lang w:val="en-US" w:eastAsia="zh-CN"/>
        </w:rPr>
        <w:t>0</w:t>
      </w:r>
      <w:r>
        <w:rPr>
          <w:rFonts w:eastAsia="仿宋_GB2312"/>
          <w:color w:val="000000"/>
          <w:sz w:val="32"/>
          <w:szCs w:val="32"/>
        </w:rPr>
        <w:t>%最低</w:t>
      </w:r>
      <w:r>
        <w:rPr>
          <w:rFonts w:hint="default" w:eastAsia="仿宋_GB2312"/>
          <w:color w:val="000000"/>
          <w:sz w:val="32"/>
          <w:szCs w:val="32"/>
        </w:rPr>
        <w:t>，季度</w:t>
      </w:r>
      <w:r>
        <w:rPr>
          <w:rFonts w:hint="eastAsia" w:eastAsia="仿宋_GB2312"/>
          <w:color w:val="000000"/>
          <w:sz w:val="32"/>
          <w:szCs w:val="32"/>
          <w:lang w:val="en-US" w:eastAsia="zh-CN"/>
        </w:rPr>
        <w:t>之</w:t>
      </w:r>
      <w:r>
        <w:rPr>
          <w:rFonts w:hint="default" w:eastAsia="仿宋_GB2312"/>
          <w:color w:val="000000"/>
          <w:sz w:val="32"/>
          <w:szCs w:val="32"/>
        </w:rPr>
        <w:t>间人员新招率</w:t>
      </w:r>
      <w:r>
        <w:rPr>
          <w:rFonts w:hint="eastAsia" w:eastAsia="仿宋_GB2312"/>
          <w:color w:val="000000"/>
          <w:sz w:val="32"/>
          <w:szCs w:val="32"/>
          <w:lang w:val="en-US" w:eastAsia="zh-CN"/>
        </w:rPr>
        <w:t>差异较为明显</w:t>
      </w:r>
      <w:r>
        <w:rPr>
          <w:rFonts w:eastAsia="仿宋_GB2312"/>
          <w:color w:val="000000"/>
          <w:sz w:val="32"/>
          <w:szCs w:val="32"/>
        </w:rPr>
        <w:t>。分行业</w:t>
      </w:r>
      <w:r>
        <w:rPr>
          <w:rFonts w:hint="default" w:eastAsia="仿宋_GB2312"/>
          <w:color w:val="000000"/>
          <w:sz w:val="32"/>
          <w:szCs w:val="32"/>
        </w:rPr>
        <w:t>来</w:t>
      </w:r>
      <w:r>
        <w:rPr>
          <w:rFonts w:eastAsia="仿宋_GB2312"/>
          <w:color w:val="000000"/>
          <w:sz w:val="32"/>
          <w:szCs w:val="32"/>
        </w:rPr>
        <w:t>看，</w:t>
      </w:r>
      <w:r>
        <w:rPr>
          <w:rFonts w:hint="default" w:eastAsia="仿宋_GB2312"/>
          <w:color w:val="000000"/>
          <w:sz w:val="32"/>
          <w:szCs w:val="32"/>
        </w:rPr>
        <w:t>信息传输、软件和信息技术服务业</w:t>
      </w:r>
      <w:r>
        <w:rPr>
          <w:rFonts w:eastAsia="仿宋_GB2312"/>
          <w:color w:val="000000"/>
          <w:sz w:val="32"/>
          <w:szCs w:val="32"/>
        </w:rPr>
        <w:t>人员新招率最高</w:t>
      </w:r>
      <w:r>
        <w:rPr>
          <w:rFonts w:hint="default" w:eastAsia="仿宋_GB2312"/>
          <w:color w:val="000000"/>
          <w:sz w:val="32"/>
          <w:szCs w:val="32"/>
        </w:rPr>
        <w:t>，全年平均为</w:t>
      </w:r>
      <w:r>
        <w:rPr>
          <w:rFonts w:hint="default" w:eastAsia="仿宋_GB2312"/>
          <w:color w:val="000000"/>
          <w:sz w:val="32"/>
          <w:szCs w:val="32"/>
          <w:lang w:val="en-US" w:eastAsia="zh-CN"/>
        </w:rPr>
        <w:t>54.3</w:t>
      </w:r>
      <w:r>
        <w:rPr>
          <w:rFonts w:hint="default" w:eastAsia="仿宋_GB2312"/>
          <w:color w:val="000000"/>
          <w:sz w:val="32"/>
          <w:szCs w:val="32"/>
        </w:rPr>
        <w:t>%。其次为租赁和商务服务业、科学研究和技术服务业、批发和零售业</w:t>
      </w:r>
      <w:r>
        <w:rPr>
          <w:rFonts w:eastAsia="仿宋_GB2312"/>
          <w:color w:val="000000"/>
          <w:sz w:val="32"/>
          <w:szCs w:val="32"/>
        </w:rPr>
        <w:t>等行业</w:t>
      </w:r>
      <w:r>
        <w:rPr>
          <w:rFonts w:hint="default" w:eastAsia="仿宋_GB2312"/>
          <w:color w:val="000000"/>
          <w:sz w:val="32"/>
          <w:szCs w:val="32"/>
        </w:rPr>
        <w:t>，全年平均</w:t>
      </w:r>
      <w:r>
        <w:rPr>
          <w:rFonts w:eastAsia="仿宋_GB2312"/>
          <w:color w:val="000000"/>
          <w:sz w:val="32"/>
          <w:szCs w:val="32"/>
        </w:rPr>
        <w:t>新招率</w:t>
      </w:r>
      <w:r>
        <w:rPr>
          <w:rFonts w:hint="default" w:eastAsia="仿宋_GB2312"/>
          <w:color w:val="000000"/>
          <w:sz w:val="32"/>
          <w:szCs w:val="32"/>
        </w:rPr>
        <w:t>超过10%</w:t>
      </w:r>
      <w:r>
        <w:rPr>
          <w:rFonts w:eastAsia="仿宋_GB2312"/>
          <w:color w:val="000000"/>
          <w:sz w:val="32"/>
          <w:szCs w:val="32"/>
        </w:rPr>
        <w:t>，其他行业</w:t>
      </w:r>
      <w:r>
        <w:rPr>
          <w:rFonts w:hint="default" w:eastAsia="仿宋_GB2312"/>
          <w:color w:val="000000"/>
          <w:sz w:val="32"/>
          <w:szCs w:val="32"/>
        </w:rPr>
        <w:t>人员</w:t>
      </w:r>
      <w:r>
        <w:rPr>
          <w:rFonts w:eastAsia="仿宋_GB2312"/>
          <w:color w:val="000000"/>
          <w:sz w:val="32"/>
          <w:szCs w:val="32"/>
        </w:rPr>
        <w:t>新招率</w:t>
      </w:r>
      <w:r>
        <w:rPr>
          <w:rFonts w:hint="default" w:eastAsia="仿宋_GB2312"/>
          <w:color w:val="000000"/>
          <w:sz w:val="32"/>
          <w:szCs w:val="32"/>
        </w:rPr>
        <w:t>低于10%</w:t>
      </w:r>
      <w:r>
        <w:rPr>
          <w:rFonts w:eastAsia="仿宋_GB2312"/>
          <w:color w:val="000000"/>
          <w:sz w:val="32"/>
          <w:szCs w:val="32"/>
        </w:rPr>
        <w:t>。</w:t>
      </w:r>
      <w:r>
        <w:rPr>
          <w:rFonts w:hint="default" w:eastAsia="仿宋_GB2312"/>
          <w:color w:val="000000"/>
          <w:sz w:val="32"/>
          <w:szCs w:val="32"/>
        </w:rPr>
        <w:t>全年平均新招率为</w:t>
      </w:r>
      <w:r>
        <w:rPr>
          <w:rFonts w:hint="default" w:eastAsia="仿宋_GB2312"/>
          <w:color w:val="000000"/>
          <w:sz w:val="32"/>
          <w:szCs w:val="32"/>
          <w:lang w:val="en-US" w:eastAsia="zh-CN"/>
        </w:rPr>
        <w:t>7.1</w:t>
      </w:r>
      <w:r>
        <w:rPr>
          <w:rFonts w:hint="default" w:eastAsia="仿宋_GB2312"/>
          <w:color w:val="000000"/>
          <w:sz w:val="32"/>
          <w:szCs w:val="32"/>
        </w:rPr>
        <w:t>%，</w:t>
      </w:r>
      <w:r>
        <w:rPr>
          <w:rFonts w:hint="default" w:eastAsia="仿宋_GB2312"/>
          <w:color w:val="000000"/>
          <w:kern w:val="2"/>
          <w:sz w:val="32"/>
          <w:szCs w:val="32"/>
          <w:lang w:val="en-US" w:eastAsia="zh-CN"/>
        </w:rPr>
        <w:t>5</w:t>
      </w:r>
      <w:r>
        <w:rPr>
          <w:rFonts w:hint="default" w:eastAsia="仿宋_GB2312"/>
          <w:color w:val="000000"/>
          <w:kern w:val="2"/>
          <w:sz w:val="32"/>
          <w:szCs w:val="32"/>
        </w:rPr>
        <w:t>个行业的</w:t>
      </w:r>
      <w:r>
        <w:rPr>
          <w:rFonts w:eastAsia="仿宋_GB2312"/>
          <w:color w:val="000000"/>
          <w:kern w:val="2"/>
          <w:sz w:val="32"/>
          <w:szCs w:val="32"/>
        </w:rPr>
        <w:t>全年平均新招率</w:t>
      </w:r>
      <w:r>
        <w:rPr>
          <w:rFonts w:hint="default" w:eastAsia="仿宋_GB2312"/>
          <w:color w:val="000000"/>
          <w:kern w:val="2"/>
          <w:sz w:val="32"/>
          <w:szCs w:val="32"/>
        </w:rPr>
        <w:t>高于全市水平，</w:t>
      </w:r>
      <w:r>
        <w:rPr>
          <w:rFonts w:hint="default" w:eastAsia="仿宋_GB2312"/>
          <w:color w:val="000000"/>
          <w:kern w:val="2"/>
          <w:sz w:val="32"/>
          <w:szCs w:val="32"/>
          <w:lang w:val="en-US" w:eastAsia="zh-CN"/>
        </w:rPr>
        <w:t>10</w:t>
      </w:r>
      <w:r>
        <w:rPr>
          <w:rFonts w:hint="default" w:eastAsia="仿宋_GB2312"/>
          <w:color w:val="000000"/>
          <w:kern w:val="2"/>
          <w:sz w:val="32"/>
          <w:szCs w:val="32"/>
        </w:rPr>
        <w:t>个行业的全年平均</w:t>
      </w:r>
      <w:r>
        <w:rPr>
          <w:rFonts w:eastAsia="仿宋_GB2312"/>
          <w:color w:val="000000"/>
          <w:kern w:val="2"/>
          <w:sz w:val="32"/>
          <w:szCs w:val="32"/>
        </w:rPr>
        <w:t>新招率</w:t>
      </w:r>
      <w:r>
        <w:rPr>
          <w:rFonts w:hint="default" w:eastAsia="仿宋_GB2312"/>
          <w:color w:val="000000"/>
          <w:kern w:val="2"/>
          <w:sz w:val="32"/>
          <w:szCs w:val="32"/>
        </w:rPr>
        <w:t>低于全市水平</w:t>
      </w:r>
      <w:r>
        <w:rPr>
          <w:rFonts w:eastAsia="仿宋_GB2312"/>
          <w:color w:val="000000"/>
          <w:sz w:val="32"/>
          <w:szCs w:val="32"/>
        </w:rPr>
        <w:t>（见表</w:t>
      </w:r>
      <w:r>
        <w:rPr>
          <w:rFonts w:hint="eastAsia" w:eastAsia="仿宋_GB2312"/>
          <w:color w:val="000000"/>
          <w:sz w:val="32"/>
          <w:szCs w:val="32"/>
          <w:lang w:val="en-US" w:eastAsia="zh-CN"/>
        </w:rPr>
        <w:t>11</w:t>
      </w:r>
      <w:r>
        <w:rPr>
          <w:rFonts w:eastAsia="仿宋_GB2312"/>
          <w:color w:val="000000"/>
          <w:sz w:val="32"/>
          <w:szCs w:val="32"/>
        </w:rPr>
        <w:t>）</w:t>
      </w:r>
      <w:r>
        <w:rPr>
          <w:rFonts w:eastAsia="仿宋_GB2312"/>
          <w:color w:val="000000"/>
          <w:kern w:val="2"/>
          <w:sz w:val="32"/>
          <w:szCs w:val="32"/>
        </w:rPr>
        <w:t>。</w:t>
      </w:r>
    </w:p>
    <w:p>
      <w:pPr>
        <w:pStyle w:val="39"/>
        <w:numPr>
          <w:ilvl w:val="0"/>
          <w:numId w:val="0"/>
        </w:numPr>
        <w:rPr>
          <w:rFonts w:eastAsia="宋体"/>
        </w:rPr>
      </w:pPr>
      <w:r>
        <w:rPr>
          <w:rFonts w:hint="eastAsia" w:eastAsia="宋体"/>
        </w:rPr>
        <w:t>表</w:t>
      </w:r>
      <w:r>
        <w:rPr>
          <w:rFonts w:hint="eastAsia" w:eastAsia="宋体"/>
          <w:lang w:val="en-US" w:eastAsia="zh-CN"/>
        </w:rPr>
        <w:t>11</w:t>
      </w:r>
      <w:r>
        <w:rPr>
          <w:rFonts w:hint="eastAsia" w:eastAsia="宋体"/>
        </w:rPr>
        <w:t>：</w:t>
      </w:r>
      <w:r>
        <w:rPr>
          <w:rFonts w:hint="eastAsia" w:eastAsia="宋体"/>
          <w:lang w:eastAsia="zh-CN"/>
        </w:rPr>
        <w:t>2023年</w:t>
      </w:r>
      <w:r>
        <w:rPr>
          <w:rFonts w:eastAsia="宋体"/>
        </w:rPr>
        <w:t>样本企业分行业人员新招率</w:t>
      </w:r>
    </w:p>
    <w:p>
      <w:pPr>
        <w:jc w:val="right"/>
        <w:rPr>
          <w:b/>
          <w:sz w:val="24"/>
        </w:rPr>
      </w:pPr>
      <w:r>
        <w:rPr>
          <w:b/>
          <w:sz w:val="24"/>
        </w:rPr>
        <w:t>单位：%</w:t>
      </w:r>
    </w:p>
    <w:tbl>
      <w:tblPr>
        <w:tblStyle w:val="13"/>
        <w:tblW w:w="10121"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684"/>
        <w:gridCol w:w="1273"/>
        <w:gridCol w:w="1192"/>
        <w:gridCol w:w="1192"/>
        <w:gridCol w:w="1191"/>
        <w:gridCol w:w="1589"/>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55" w:hRule="atLeast"/>
          <w:tblHeader/>
          <w:jc w:val="center"/>
        </w:trPr>
        <w:tc>
          <w:tcPr>
            <w:tcW w:w="3684" w:type="dxa"/>
            <w:shd w:val="clear" w:color="auto" w:fill="92CDDC" w:themeFill="accent5" w:themeFillTint="99"/>
            <w:noWrap w:val="0"/>
            <w:vAlign w:val="center"/>
          </w:tcPr>
          <w:p>
            <w:pPr>
              <w:widowControl/>
              <w:jc w:val="center"/>
              <w:rPr>
                <w:b/>
                <w:bCs/>
                <w:color w:val="000000"/>
                <w:kern w:val="0"/>
              </w:rPr>
            </w:pPr>
            <w:r>
              <w:rPr>
                <w:b/>
                <w:bCs/>
                <w:color w:val="000000"/>
                <w:kern w:val="0"/>
              </w:rPr>
              <w:t>行业</w:t>
            </w:r>
          </w:p>
        </w:tc>
        <w:tc>
          <w:tcPr>
            <w:tcW w:w="1273" w:type="dxa"/>
            <w:shd w:val="clear" w:color="auto" w:fill="92CDDC" w:themeFill="accent5" w:themeFillTint="99"/>
            <w:noWrap w:val="0"/>
            <w:vAlign w:val="center"/>
          </w:tcPr>
          <w:p>
            <w:pPr>
              <w:widowControl/>
              <w:jc w:val="center"/>
              <w:rPr>
                <w:b/>
                <w:bCs/>
                <w:color w:val="000000"/>
                <w:kern w:val="0"/>
              </w:rPr>
            </w:pPr>
            <w:r>
              <w:rPr>
                <w:b/>
                <w:bCs/>
                <w:color w:val="000000"/>
                <w:kern w:val="0"/>
              </w:rPr>
              <w:t>1季度</w:t>
            </w:r>
          </w:p>
        </w:tc>
        <w:tc>
          <w:tcPr>
            <w:tcW w:w="1192" w:type="dxa"/>
            <w:shd w:val="clear" w:color="auto" w:fill="92CDDC" w:themeFill="accent5" w:themeFillTint="99"/>
            <w:noWrap w:val="0"/>
            <w:vAlign w:val="center"/>
          </w:tcPr>
          <w:p>
            <w:pPr>
              <w:widowControl/>
              <w:jc w:val="center"/>
              <w:rPr>
                <w:b/>
                <w:bCs/>
                <w:color w:val="000000"/>
                <w:kern w:val="0"/>
              </w:rPr>
            </w:pPr>
            <w:r>
              <w:rPr>
                <w:b/>
                <w:bCs/>
                <w:color w:val="000000"/>
                <w:kern w:val="0"/>
              </w:rPr>
              <w:t>2季度</w:t>
            </w:r>
          </w:p>
        </w:tc>
        <w:tc>
          <w:tcPr>
            <w:tcW w:w="1192" w:type="dxa"/>
            <w:shd w:val="clear" w:color="auto" w:fill="92CDDC" w:themeFill="accent5" w:themeFillTint="99"/>
            <w:noWrap w:val="0"/>
            <w:vAlign w:val="center"/>
          </w:tcPr>
          <w:p>
            <w:pPr>
              <w:widowControl/>
              <w:jc w:val="center"/>
              <w:rPr>
                <w:b/>
                <w:bCs/>
                <w:color w:val="000000"/>
                <w:kern w:val="0"/>
              </w:rPr>
            </w:pPr>
            <w:r>
              <w:rPr>
                <w:b/>
                <w:bCs/>
                <w:color w:val="000000"/>
                <w:kern w:val="0"/>
              </w:rPr>
              <w:t>3季度</w:t>
            </w:r>
          </w:p>
        </w:tc>
        <w:tc>
          <w:tcPr>
            <w:tcW w:w="1191" w:type="dxa"/>
            <w:shd w:val="clear" w:color="auto" w:fill="92CDDC" w:themeFill="accent5" w:themeFillTint="99"/>
            <w:noWrap w:val="0"/>
            <w:vAlign w:val="center"/>
          </w:tcPr>
          <w:p>
            <w:pPr>
              <w:widowControl/>
              <w:jc w:val="center"/>
              <w:rPr>
                <w:b/>
                <w:bCs/>
                <w:color w:val="000000"/>
                <w:kern w:val="0"/>
              </w:rPr>
            </w:pPr>
            <w:r>
              <w:rPr>
                <w:b/>
                <w:bCs/>
                <w:color w:val="000000"/>
                <w:kern w:val="0"/>
              </w:rPr>
              <w:t>4季度</w:t>
            </w:r>
          </w:p>
        </w:tc>
        <w:tc>
          <w:tcPr>
            <w:tcW w:w="1589" w:type="dxa"/>
            <w:shd w:val="clear" w:color="auto" w:fill="92CDDC" w:themeFill="accent5" w:themeFillTint="99"/>
            <w:noWrap w:val="0"/>
            <w:vAlign w:val="center"/>
          </w:tcPr>
          <w:p>
            <w:pPr>
              <w:widowControl/>
              <w:jc w:val="center"/>
              <w:rPr>
                <w:b/>
                <w:bCs/>
                <w:color w:val="000000"/>
                <w:kern w:val="0"/>
              </w:rPr>
            </w:pPr>
            <w:r>
              <w:rPr>
                <w:b/>
                <w:bCs/>
                <w:color w:val="000000"/>
                <w:kern w:val="0"/>
              </w:rPr>
              <w:t>全年平均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127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10.7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24.0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77.4 </w:t>
            </w:r>
          </w:p>
        </w:tc>
        <w:tc>
          <w:tcPr>
            <w:tcW w:w="1191"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104.9 </w:t>
            </w:r>
          </w:p>
        </w:tc>
        <w:tc>
          <w:tcPr>
            <w:tcW w:w="15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54.3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127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8.9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191"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65.6 </w:t>
            </w:r>
          </w:p>
        </w:tc>
        <w:tc>
          <w:tcPr>
            <w:tcW w:w="15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18.6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127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21.3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9.8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6.6 </w:t>
            </w:r>
          </w:p>
        </w:tc>
        <w:tc>
          <w:tcPr>
            <w:tcW w:w="1191"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30.5 </w:t>
            </w:r>
          </w:p>
        </w:tc>
        <w:tc>
          <w:tcPr>
            <w:tcW w:w="15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17.1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127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15.9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7.7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20.3 </w:t>
            </w:r>
          </w:p>
        </w:tc>
        <w:tc>
          <w:tcPr>
            <w:tcW w:w="1191"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13.9 </w:t>
            </w:r>
          </w:p>
        </w:tc>
        <w:tc>
          <w:tcPr>
            <w:tcW w:w="15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14.5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127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7.3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17.2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6.6 </w:t>
            </w:r>
          </w:p>
        </w:tc>
        <w:tc>
          <w:tcPr>
            <w:tcW w:w="1191"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7.7 </w:t>
            </w:r>
          </w:p>
        </w:tc>
        <w:tc>
          <w:tcPr>
            <w:tcW w:w="15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9.7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127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7.3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6.1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8.1 </w:t>
            </w:r>
          </w:p>
        </w:tc>
        <w:tc>
          <w:tcPr>
            <w:tcW w:w="1191"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5.9 </w:t>
            </w:r>
          </w:p>
        </w:tc>
        <w:tc>
          <w:tcPr>
            <w:tcW w:w="15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6.9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127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1.6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14.4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4.1 </w:t>
            </w:r>
          </w:p>
        </w:tc>
        <w:tc>
          <w:tcPr>
            <w:tcW w:w="1191"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5.8 </w:t>
            </w:r>
          </w:p>
        </w:tc>
        <w:tc>
          <w:tcPr>
            <w:tcW w:w="15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6.5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127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5.9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6.1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8.9 </w:t>
            </w:r>
          </w:p>
        </w:tc>
        <w:tc>
          <w:tcPr>
            <w:tcW w:w="1191"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4.8 </w:t>
            </w:r>
          </w:p>
        </w:tc>
        <w:tc>
          <w:tcPr>
            <w:tcW w:w="15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127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16.1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6.7 </w:t>
            </w:r>
          </w:p>
        </w:tc>
        <w:tc>
          <w:tcPr>
            <w:tcW w:w="1191"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5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127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4.8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4.8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9.1 </w:t>
            </w:r>
          </w:p>
        </w:tc>
        <w:tc>
          <w:tcPr>
            <w:tcW w:w="1191"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5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4.7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127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7.5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0.4 </w:t>
            </w:r>
          </w:p>
        </w:tc>
        <w:tc>
          <w:tcPr>
            <w:tcW w:w="1191"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0.5 </w:t>
            </w:r>
          </w:p>
        </w:tc>
        <w:tc>
          <w:tcPr>
            <w:tcW w:w="15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2.5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127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3.0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191"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5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127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0.1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0.6 </w:t>
            </w:r>
          </w:p>
        </w:tc>
        <w:tc>
          <w:tcPr>
            <w:tcW w:w="1191"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0.3 </w:t>
            </w:r>
          </w:p>
        </w:tc>
        <w:tc>
          <w:tcPr>
            <w:tcW w:w="15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0.3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127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191"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5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127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19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191"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5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b/>
                <w:color w:val="000000"/>
                <w:szCs w:val="22"/>
              </w:rPr>
            </w:pPr>
            <w:r>
              <w:rPr>
                <w:rFonts w:hint="default" w:ascii="Times New Roman" w:hAnsi="Times New Roman" w:eastAsia="宋体" w:cs="Times New Roman"/>
                <w:b/>
                <w:bCs/>
                <w:i w:val="0"/>
                <w:iCs w:val="0"/>
                <w:color w:val="000000"/>
                <w:kern w:val="0"/>
                <w:sz w:val="22"/>
                <w:szCs w:val="22"/>
                <w:u w:val="none"/>
                <w:lang w:val="en-US" w:eastAsia="zh-CN" w:bidi="ar"/>
              </w:rPr>
              <w:t>平均</w:t>
            </w:r>
          </w:p>
        </w:tc>
        <w:tc>
          <w:tcPr>
            <w:tcW w:w="1273" w:type="dxa"/>
            <w:noWrap w:val="0"/>
            <w:vAlign w:val="bottom"/>
          </w:tcPr>
          <w:p>
            <w:pPr>
              <w:widowControl/>
              <w:jc w:val="center"/>
              <w:textAlignment w:val="bottom"/>
              <w:rPr>
                <w:b/>
                <w:color w:val="000000"/>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7.4 </w:t>
            </w:r>
          </w:p>
        </w:tc>
        <w:tc>
          <w:tcPr>
            <w:tcW w:w="1192" w:type="dxa"/>
            <w:noWrap w:val="0"/>
            <w:vAlign w:val="bottom"/>
          </w:tcPr>
          <w:p>
            <w:pPr>
              <w:widowControl/>
              <w:jc w:val="center"/>
              <w:textAlignment w:val="bottom"/>
              <w:rPr>
                <w:b/>
                <w:color w:val="000000"/>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6.0 </w:t>
            </w:r>
          </w:p>
        </w:tc>
        <w:tc>
          <w:tcPr>
            <w:tcW w:w="1192" w:type="dxa"/>
            <w:noWrap w:val="0"/>
            <w:vAlign w:val="bottom"/>
          </w:tcPr>
          <w:p>
            <w:pPr>
              <w:widowControl/>
              <w:jc w:val="center"/>
              <w:textAlignment w:val="bottom"/>
              <w:rPr>
                <w:b/>
                <w:color w:val="000000"/>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8.2 </w:t>
            </w:r>
          </w:p>
        </w:tc>
        <w:tc>
          <w:tcPr>
            <w:tcW w:w="1191" w:type="dxa"/>
            <w:noWrap w:val="0"/>
            <w:vAlign w:val="bottom"/>
          </w:tcPr>
          <w:p>
            <w:pPr>
              <w:widowControl/>
              <w:jc w:val="center"/>
              <w:textAlignment w:val="bottom"/>
              <w:rPr>
                <w:b/>
                <w:color w:val="000000"/>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6.6 </w:t>
            </w:r>
          </w:p>
        </w:tc>
        <w:tc>
          <w:tcPr>
            <w:tcW w:w="1589" w:type="dxa"/>
            <w:noWrap w:val="0"/>
            <w:vAlign w:val="bottom"/>
          </w:tcPr>
          <w:p>
            <w:pPr>
              <w:widowControl/>
              <w:jc w:val="center"/>
              <w:textAlignment w:val="bottom"/>
              <w:rPr>
                <w:b/>
                <w:color w:val="000000"/>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7.1 </w:t>
            </w:r>
          </w:p>
        </w:tc>
      </w:tr>
    </w:tbl>
    <w:p>
      <w:pPr>
        <w:spacing w:before="156" w:beforeLines="50"/>
        <w:ind w:firstLine="643" w:firstLineChars="200"/>
        <w:rPr>
          <w:rFonts w:eastAsia="仿宋"/>
          <w:b/>
          <w:kern w:val="0"/>
          <w:sz w:val="32"/>
          <w:szCs w:val="32"/>
        </w:rPr>
      </w:pPr>
      <w:r>
        <w:rPr>
          <w:rFonts w:hint="eastAsia" w:eastAsia="仿宋"/>
          <w:b/>
          <w:kern w:val="0"/>
          <w:sz w:val="32"/>
          <w:szCs w:val="32"/>
        </w:rPr>
        <w:t>3</w:t>
      </w:r>
      <w:r>
        <w:rPr>
          <w:rFonts w:eastAsia="仿宋"/>
          <w:b/>
          <w:kern w:val="0"/>
          <w:sz w:val="32"/>
          <w:szCs w:val="32"/>
        </w:rPr>
        <w:t>.普工的招聘人数最多</w:t>
      </w:r>
    </w:p>
    <w:p>
      <w:pPr>
        <w:spacing w:before="0" w:beforeLines="-2147483648"/>
        <w:ind w:firstLine="640" w:firstLineChars="200"/>
        <w:rPr>
          <w:rFonts w:eastAsia="仿宋_GB2312"/>
          <w:color w:val="000000"/>
          <w:kern w:val="2"/>
          <w:sz w:val="32"/>
          <w:szCs w:val="32"/>
        </w:rPr>
      </w:pPr>
      <w:r>
        <w:rPr>
          <w:rFonts w:hint="default" w:eastAsia="仿宋_GB2312"/>
          <w:color w:val="000000"/>
          <w:kern w:val="2"/>
          <w:sz w:val="32"/>
          <w:szCs w:val="32"/>
          <w:lang w:eastAsia="zh-CN"/>
        </w:rPr>
        <w:t>2023年</w:t>
      </w:r>
      <w:r>
        <w:rPr>
          <w:rFonts w:hint="default" w:eastAsia="仿宋_GB2312"/>
          <w:color w:val="000000"/>
          <w:kern w:val="2"/>
          <w:sz w:val="32"/>
          <w:szCs w:val="32"/>
        </w:rPr>
        <w:t>样本企业中，</w:t>
      </w:r>
      <w:r>
        <w:rPr>
          <w:rFonts w:eastAsia="仿宋_GB2312"/>
          <w:color w:val="000000"/>
          <w:kern w:val="2"/>
          <w:sz w:val="32"/>
          <w:szCs w:val="32"/>
        </w:rPr>
        <w:t>从工种来看，普工的招聘人数最多，分别为</w:t>
      </w:r>
      <w:r>
        <w:rPr>
          <w:rFonts w:hint="default" w:eastAsia="仿宋_GB2312"/>
          <w:color w:val="000000"/>
          <w:kern w:val="2"/>
          <w:sz w:val="32"/>
          <w:szCs w:val="32"/>
          <w:lang w:val="en-US" w:eastAsia="zh-CN"/>
        </w:rPr>
        <w:t>1500</w:t>
      </w:r>
      <w:r>
        <w:rPr>
          <w:rFonts w:eastAsia="仿宋_GB2312"/>
          <w:color w:val="000000"/>
          <w:kern w:val="2"/>
          <w:sz w:val="32"/>
          <w:szCs w:val="32"/>
        </w:rPr>
        <w:t>人、</w:t>
      </w:r>
      <w:r>
        <w:rPr>
          <w:rFonts w:hint="default" w:eastAsia="仿宋_GB2312"/>
          <w:color w:val="000000"/>
          <w:kern w:val="2"/>
          <w:sz w:val="32"/>
          <w:szCs w:val="32"/>
          <w:lang w:val="en-US" w:eastAsia="zh-CN"/>
        </w:rPr>
        <w:t>1560</w:t>
      </w:r>
      <w:r>
        <w:rPr>
          <w:rFonts w:eastAsia="仿宋_GB2312"/>
          <w:color w:val="000000"/>
          <w:kern w:val="2"/>
          <w:sz w:val="32"/>
          <w:szCs w:val="32"/>
        </w:rPr>
        <w:t>人、</w:t>
      </w:r>
      <w:r>
        <w:rPr>
          <w:rFonts w:hint="default" w:eastAsia="仿宋_GB2312"/>
          <w:color w:val="000000"/>
          <w:kern w:val="2"/>
          <w:sz w:val="32"/>
          <w:szCs w:val="32"/>
          <w:lang w:val="en-US" w:eastAsia="zh-CN"/>
        </w:rPr>
        <w:t>1610</w:t>
      </w:r>
      <w:r>
        <w:rPr>
          <w:rFonts w:eastAsia="仿宋_GB2312"/>
          <w:color w:val="000000"/>
          <w:kern w:val="2"/>
          <w:sz w:val="32"/>
          <w:szCs w:val="32"/>
        </w:rPr>
        <w:t>人和</w:t>
      </w:r>
      <w:r>
        <w:rPr>
          <w:rFonts w:hint="default" w:eastAsia="仿宋_GB2312"/>
          <w:color w:val="000000"/>
          <w:kern w:val="2"/>
          <w:sz w:val="32"/>
          <w:szCs w:val="32"/>
          <w:lang w:val="en-US" w:eastAsia="zh-CN"/>
        </w:rPr>
        <w:t>1425</w:t>
      </w:r>
      <w:r>
        <w:rPr>
          <w:rFonts w:eastAsia="仿宋_GB2312"/>
          <w:color w:val="000000"/>
          <w:kern w:val="2"/>
          <w:sz w:val="32"/>
          <w:szCs w:val="32"/>
        </w:rPr>
        <w:t>人，占比均超过</w:t>
      </w:r>
      <w:r>
        <w:rPr>
          <w:rFonts w:hint="default" w:eastAsia="仿宋_GB2312"/>
          <w:color w:val="000000"/>
          <w:kern w:val="2"/>
          <w:sz w:val="32"/>
          <w:szCs w:val="32"/>
        </w:rPr>
        <w:t>7</w:t>
      </w:r>
      <w:r>
        <w:rPr>
          <w:rFonts w:hint="default" w:eastAsia="仿宋_GB2312"/>
          <w:color w:val="000000"/>
          <w:kern w:val="2"/>
          <w:sz w:val="32"/>
          <w:szCs w:val="32"/>
          <w:lang w:val="en-US" w:eastAsia="zh-CN"/>
        </w:rPr>
        <w:t>3</w:t>
      </w:r>
      <w:r>
        <w:rPr>
          <w:rFonts w:hint="default" w:eastAsia="仿宋_GB2312"/>
          <w:color w:val="000000"/>
          <w:kern w:val="2"/>
          <w:sz w:val="32"/>
          <w:szCs w:val="32"/>
        </w:rPr>
        <w:t>%。</w:t>
      </w:r>
      <w:r>
        <w:rPr>
          <w:rFonts w:eastAsia="仿宋_GB2312"/>
          <w:color w:val="000000"/>
          <w:kern w:val="2"/>
          <w:sz w:val="32"/>
          <w:szCs w:val="32"/>
        </w:rPr>
        <w:t>专业技术人员招聘人数及占比</w:t>
      </w:r>
      <w:r>
        <w:rPr>
          <w:rFonts w:hint="default" w:eastAsia="仿宋_GB2312"/>
          <w:color w:val="000000"/>
          <w:kern w:val="2"/>
          <w:sz w:val="32"/>
          <w:szCs w:val="32"/>
        </w:rPr>
        <w:t>高于</w:t>
      </w:r>
      <w:r>
        <w:rPr>
          <w:rFonts w:eastAsia="仿宋_GB2312"/>
          <w:color w:val="000000"/>
          <w:kern w:val="2"/>
          <w:sz w:val="32"/>
          <w:szCs w:val="32"/>
        </w:rPr>
        <w:t>技工</w:t>
      </w:r>
      <w:r>
        <w:rPr>
          <w:rFonts w:hint="default" w:eastAsia="仿宋_GB2312"/>
          <w:color w:val="000000"/>
          <w:kern w:val="2"/>
          <w:sz w:val="32"/>
          <w:szCs w:val="32"/>
        </w:rPr>
        <w:t>；管理及其他人员1</w:t>
      </w:r>
      <w:r>
        <w:rPr>
          <w:rFonts w:eastAsia="仿宋_GB2312"/>
          <w:color w:val="000000"/>
          <w:kern w:val="2"/>
          <w:sz w:val="32"/>
          <w:szCs w:val="32"/>
        </w:rPr>
        <w:t>季度</w:t>
      </w:r>
      <w:r>
        <w:rPr>
          <w:rFonts w:hint="default" w:eastAsia="仿宋_GB2312"/>
          <w:color w:val="000000"/>
          <w:kern w:val="2"/>
          <w:sz w:val="32"/>
          <w:szCs w:val="32"/>
          <w:lang w:eastAsia="zh-CN"/>
        </w:rPr>
        <w:t>、</w:t>
      </w:r>
      <w:r>
        <w:rPr>
          <w:rFonts w:hint="default" w:eastAsia="仿宋_GB2312"/>
          <w:color w:val="000000"/>
          <w:kern w:val="2"/>
          <w:sz w:val="32"/>
          <w:szCs w:val="32"/>
          <w:lang w:val="en-US" w:eastAsia="zh-CN"/>
        </w:rPr>
        <w:t>3季度</w:t>
      </w:r>
      <w:r>
        <w:rPr>
          <w:rFonts w:hint="default" w:eastAsia="仿宋_GB2312"/>
          <w:color w:val="000000"/>
          <w:kern w:val="2"/>
          <w:sz w:val="32"/>
          <w:szCs w:val="32"/>
        </w:rPr>
        <w:t>和</w:t>
      </w:r>
      <w:r>
        <w:rPr>
          <w:rFonts w:hint="default" w:eastAsia="仿宋_GB2312"/>
          <w:color w:val="000000"/>
          <w:kern w:val="2"/>
          <w:sz w:val="32"/>
          <w:szCs w:val="32"/>
          <w:lang w:val="en-US" w:eastAsia="zh-CN"/>
        </w:rPr>
        <w:t>4</w:t>
      </w:r>
      <w:r>
        <w:rPr>
          <w:rFonts w:hint="default" w:eastAsia="仿宋_GB2312"/>
          <w:color w:val="000000"/>
          <w:kern w:val="2"/>
          <w:sz w:val="32"/>
          <w:szCs w:val="32"/>
        </w:rPr>
        <w:t>季度</w:t>
      </w:r>
      <w:r>
        <w:rPr>
          <w:rFonts w:eastAsia="仿宋_GB2312"/>
          <w:color w:val="000000"/>
          <w:kern w:val="2"/>
          <w:sz w:val="32"/>
          <w:szCs w:val="32"/>
        </w:rPr>
        <w:t>招聘人数</w:t>
      </w:r>
      <w:r>
        <w:rPr>
          <w:rFonts w:hint="default" w:eastAsia="仿宋_GB2312"/>
          <w:color w:val="000000"/>
          <w:kern w:val="2"/>
          <w:sz w:val="32"/>
          <w:szCs w:val="32"/>
        </w:rPr>
        <w:t>及</w:t>
      </w:r>
      <w:r>
        <w:rPr>
          <w:rFonts w:eastAsia="仿宋_GB2312"/>
          <w:color w:val="000000"/>
          <w:kern w:val="2"/>
          <w:sz w:val="32"/>
          <w:szCs w:val="32"/>
        </w:rPr>
        <w:t>占比</w:t>
      </w:r>
      <w:r>
        <w:rPr>
          <w:rFonts w:hint="default" w:eastAsia="仿宋_GB2312"/>
          <w:color w:val="000000"/>
          <w:kern w:val="2"/>
          <w:sz w:val="32"/>
          <w:szCs w:val="32"/>
        </w:rPr>
        <w:t>高于技工</w:t>
      </w:r>
      <w:r>
        <w:rPr>
          <w:rFonts w:hint="default" w:eastAsia="仿宋_GB2312"/>
          <w:color w:val="000000"/>
          <w:kern w:val="2"/>
          <w:sz w:val="32"/>
          <w:szCs w:val="32"/>
          <w:lang w:val="en-US" w:eastAsia="zh-CN"/>
        </w:rPr>
        <w:t>和</w:t>
      </w:r>
      <w:r>
        <w:rPr>
          <w:rFonts w:hint="default" w:eastAsia="仿宋_GB2312"/>
          <w:color w:val="000000"/>
          <w:kern w:val="2"/>
          <w:sz w:val="32"/>
          <w:szCs w:val="32"/>
        </w:rPr>
        <w:t>专业技术人员，专业技术人员</w:t>
      </w:r>
      <w:r>
        <w:rPr>
          <w:rFonts w:hint="default" w:eastAsia="仿宋_GB2312"/>
          <w:color w:val="000000"/>
          <w:kern w:val="2"/>
          <w:sz w:val="32"/>
          <w:szCs w:val="32"/>
          <w:lang w:val="en-US" w:eastAsia="zh-CN"/>
        </w:rPr>
        <w:t>2</w:t>
      </w:r>
      <w:r>
        <w:rPr>
          <w:rFonts w:hint="default" w:eastAsia="仿宋_GB2312"/>
          <w:color w:val="000000"/>
          <w:kern w:val="2"/>
          <w:sz w:val="32"/>
          <w:szCs w:val="32"/>
        </w:rPr>
        <w:t>季度招聘人数及占比高于技工</w:t>
      </w:r>
      <w:r>
        <w:rPr>
          <w:rFonts w:hint="default" w:eastAsia="仿宋_GB2312"/>
          <w:color w:val="000000"/>
          <w:kern w:val="2"/>
          <w:sz w:val="32"/>
          <w:szCs w:val="32"/>
          <w:lang w:val="en-US" w:eastAsia="zh-CN"/>
        </w:rPr>
        <w:t>和</w:t>
      </w:r>
      <w:r>
        <w:rPr>
          <w:rFonts w:hint="default" w:eastAsia="仿宋_GB2312"/>
          <w:color w:val="000000"/>
          <w:kern w:val="2"/>
          <w:sz w:val="32"/>
          <w:szCs w:val="32"/>
        </w:rPr>
        <w:t>管理及其他人员</w:t>
      </w:r>
      <w:r>
        <w:rPr>
          <w:rFonts w:eastAsia="仿宋_GB2312"/>
          <w:color w:val="000000"/>
          <w:sz w:val="32"/>
          <w:szCs w:val="32"/>
        </w:rPr>
        <w:t>（见表</w:t>
      </w:r>
      <w:r>
        <w:rPr>
          <w:rFonts w:hint="default" w:eastAsia="仿宋_GB2312"/>
          <w:color w:val="000000"/>
          <w:sz w:val="32"/>
          <w:szCs w:val="32"/>
          <w:lang w:val="en-US" w:eastAsia="zh-CN"/>
        </w:rPr>
        <w:t>1</w:t>
      </w:r>
      <w:r>
        <w:rPr>
          <w:rFonts w:hint="eastAsia" w:eastAsia="仿宋_GB2312"/>
          <w:color w:val="000000"/>
          <w:sz w:val="32"/>
          <w:szCs w:val="32"/>
          <w:lang w:val="en-US" w:eastAsia="zh-CN"/>
        </w:rPr>
        <w:t>2</w:t>
      </w:r>
      <w:r>
        <w:rPr>
          <w:rFonts w:eastAsia="仿宋_GB2312"/>
          <w:color w:val="000000"/>
          <w:sz w:val="32"/>
          <w:szCs w:val="32"/>
        </w:rPr>
        <w:t>）</w:t>
      </w:r>
      <w:r>
        <w:rPr>
          <w:rFonts w:eastAsia="仿宋_GB2312"/>
          <w:color w:val="000000"/>
          <w:kern w:val="2"/>
          <w:sz w:val="32"/>
          <w:szCs w:val="32"/>
        </w:rPr>
        <w:t>。</w:t>
      </w:r>
    </w:p>
    <w:p>
      <w:pPr>
        <w:spacing w:before="0" w:beforeLines="-2147483648"/>
        <w:ind w:firstLine="640" w:firstLineChars="200"/>
        <w:rPr>
          <w:rFonts w:eastAsia="仿宋_GB2312"/>
          <w:color w:val="000000"/>
          <w:kern w:val="2"/>
          <w:sz w:val="32"/>
          <w:szCs w:val="32"/>
        </w:rPr>
      </w:pPr>
    </w:p>
    <w:p>
      <w:pPr>
        <w:spacing w:before="0" w:beforeLines="-2147483648"/>
        <w:ind w:firstLine="640" w:firstLineChars="200"/>
        <w:rPr>
          <w:rFonts w:eastAsia="仿宋_GB2312"/>
          <w:color w:val="000000"/>
          <w:kern w:val="2"/>
          <w:sz w:val="32"/>
          <w:szCs w:val="32"/>
        </w:rPr>
      </w:pPr>
    </w:p>
    <w:p>
      <w:pPr>
        <w:pStyle w:val="39"/>
        <w:numPr>
          <w:ilvl w:val="0"/>
          <w:numId w:val="0"/>
        </w:numPr>
        <w:rPr>
          <w:rFonts w:eastAsia="宋体"/>
        </w:rPr>
      </w:pPr>
      <w:r>
        <w:rPr>
          <w:rFonts w:hint="eastAsia" w:eastAsia="宋体"/>
        </w:rPr>
        <w:t>表</w:t>
      </w:r>
      <w:r>
        <w:rPr>
          <w:rFonts w:hint="eastAsia" w:eastAsia="宋体"/>
          <w:lang w:val="en-US" w:eastAsia="zh-CN"/>
        </w:rPr>
        <w:t>12</w:t>
      </w:r>
      <w:r>
        <w:rPr>
          <w:rFonts w:hint="eastAsia" w:eastAsia="宋体"/>
        </w:rPr>
        <w:t>：</w:t>
      </w:r>
      <w:r>
        <w:rPr>
          <w:rFonts w:hint="eastAsia" w:eastAsia="宋体"/>
          <w:lang w:eastAsia="zh-CN"/>
        </w:rPr>
        <w:t>2023年</w:t>
      </w:r>
      <w:r>
        <w:rPr>
          <w:rFonts w:eastAsia="宋体"/>
        </w:rPr>
        <w:t>样本企业分工种招聘人数及比例</w:t>
      </w:r>
    </w:p>
    <w:p>
      <w:pPr>
        <w:jc w:val="right"/>
        <w:rPr>
          <w:b/>
          <w:sz w:val="24"/>
        </w:rPr>
      </w:pPr>
      <w:r>
        <w:rPr>
          <w:b/>
          <w:sz w:val="24"/>
        </w:rPr>
        <w:t>单位：人、%</w:t>
      </w:r>
    </w:p>
    <w:tbl>
      <w:tblPr>
        <w:tblStyle w:val="13"/>
        <w:tblW w:w="9722"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780"/>
        <w:gridCol w:w="1033"/>
        <w:gridCol w:w="973"/>
        <w:gridCol w:w="1056"/>
        <w:gridCol w:w="932"/>
        <w:gridCol w:w="1056"/>
        <w:gridCol w:w="918"/>
        <w:gridCol w:w="1056"/>
        <w:gridCol w:w="918"/>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780" w:type="dxa"/>
            <w:vMerge w:val="restart"/>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工种分类</w:t>
            </w:r>
          </w:p>
        </w:tc>
        <w:tc>
          <w:tcPr>
            <w:tcW w:w="2006" w:type="dxa"/>
            <w:gridSpan w:val="2"/>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1季度</w:t>
            </w:r>
          </w:p>
        </w:tc>
        <w:tc>
          <w:tcPr>
            <w:tcW w:w="1988" w:type="dxa"/>
            <w:gridSpan w:val="2"/>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2季度</w:t>
            </w:r>
          </w:p>
        </w:tc>
        <w:tc>
          <w:tcPr>
            <w:tcW w:w="1974" w:type="dxa"/>
            <w:gridSpan w:val="2"/>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3季度</w:t>
            </w:r>
          </w:p>
        </w:tc>
        <w:tc>
          <w:tcPr>
            <w:tcW w:w="1974" w:type="dxa"/>
            <w:gridSpan w:val="2"/>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4季度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780" w:type="dxa"/>
            <w:vMerge w:val="continue"/>
            <w:shd w:val="clear" w:color="auto" w:fill="92CDDC" w:themeFill="accent5" w:themeFillTint="99"/>
            <w:noWrap w:val="0"/>
            <w:vAlign w:val="center"/>
          </w:tcPr>
          <w:p>
            <w:pPr>
              <w:widowControl/>
              <w:jc w:val="center"/>
              <w:rPr>
                <w:b/>
                <w:bCs/>
                <w:color w:val="000000"/>
                <w:kern w:val="0"/>
                <w:szCs w:val="21"/>
              </w:rPr>
            </w:pPr>
          </w:p>
        </w:tc>
        <w:tc>
          <w:tcPr>
            <w:tcW w:w="1033"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人数</w:t>
            </w:r>
          </w:p>
        </w:tc>
        <w:tc>
          <w:tcPr>
            <w:tcW w:w="973"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百分比</w:t>
            </w:r>
          </w:p>
        </w:tc>
        <w:tc>
          <w:tcPr>
            <w:tcW w:w="1056"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人数</w:t>
            </w:r>
          </w:p>
        </w:tc>
        <w:tc>
          <w:tcPr>
            <w:tcW w:w="932"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百分比</w:t>
            </w:r>
          </w:p>
        </w:tc>
        <w:tc>
          <w:tcPr>
            <w:tcW w:w="1056"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人数</w:t>
            </w:r>
          </w:p>
        </w:tc>
        <w:tc>
          <w:tcPr>
            <w:tcW w:w="918"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百分比</w:t>
            </w:r>
          </w:p>
        </w:tc>
        <w:tc>
          <w:tcPr>
            <w:tcW w:w="1056"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人数</w:t>
            </w:r>
          </w:p>
        </w:tc>
        <w:tc>
          <w:tcPr>
            <w:tcW w:w="918"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百分比</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780"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普工</w:t>
            </w:r>
          </w:p>
        </w:tc>
        <w:tc>
          <w:tcPr>
            <w:tcW w:w="1033"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1500</w:t>
            </w:r>
          </w:p>
        </w:tc>
        <w:tc>
          <w:tcPr>
            <w:tcW w:w="973"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75.4 </w:t>
            </w:r>
          </w:p>
        </w:tc>
        <w:tc>
          <w:tcPr>
            <w:tcW w:w="105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1560</w:t>
            </w:r>
          </w:p>
        </w:tc>
        <w:tc>
          <w:tcPr>
            <w:tcW w:w="93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84.6 </w:t>
            </w:r>
          </w:p>
        </w:tc>
        <w:tc>
          <w:tcPr>
            <w:tcW w:w="105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1610</w:t>
            </w:r>
          </w:p>
        </w:tc>
        <w:tc>
          <w:tcPr>
            <w:tcW w:w="91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73.0 </w:t>
            </w:r>
          </w:p>
        </w:tc>
        <w:tc>
          <w:tcPr>
            <w:tcW w:w="105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1425</w:t>
            </w:r>
          </w:p>
        </w:tc>
        <w:tc>
          <w:tcPr>
            <w:tcW w:w="91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80.9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780"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技工</w:t>
            </w:r>
          </w:p>
        </w:tc>
        <w:tc>
          <w:tcPr>
            <w:tcW w:w="1033"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973"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5.5 </w:t>
            </w:r>
          </w:p>
        </w:tc>
        <w:tc>
          <w:tcPr>
            <w:tcW w:w="105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93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5.0 </w:t>
            </w:r>
          </w:p>
        </w:tc>
        <w:tc>
          <w:tcPr>
            <w:tcW w:w="105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91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7.7 </w:t>
            </w:r>
          </w:p>
        </w:tc>
        <w:tc>
          <w:tcPr>
            <w:tcW w:w="105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91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780"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专业技术人员</w:t>
            </w:r>
          </w:p>
        </w:tc>
        <w:tc>
          <w:tcPr>
            <w:tcW w:w="1033"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144</w:t>
            </w:r>
          </w:p>
        </w:tc>
        <w:tc>
          <w:tcPr>
            <w:tcW w:w="973"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7.2 </w:t>
            </w:r>
          </w:p>
        </w:tc>
        <w:tc>
          <w:tcPr>
            <w:tcW w:w="105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93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8.1 </w:t>
            </w:r>
          </w:p>
        </w:tc>
        <w:tc>
          <w:tcPr>
            <w:tcW w:w="105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171</w:t>
            </w:r>
          </w:p>
        </w:tc>
        <w:tc>
          <w:tcPr>
            <w:tcW w:w="91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7.7 </w:t>
            </w:r>
          </w:p>
        </w:tc>
        <w:tc>
          <w:tcPr>
            <w:tcW w:w="105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91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5.9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780"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管理及其他人员</w:t>
            </w:r>
          </w:p>
        </w:tc>
        <w:tc>
          <w:tcPr>
            <w:tcW w:w="1033"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236</w:t>
            </w:r>
          </w:p>
        </w:tc>
        <w:tc>
          <w:tcPr>
            <w:tcW w:w="973"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11.9 </w:t>
            </w:r>
          </w:p>
        </w:tc>
        <w:tc>
          <w:tcPr>
            <w:tcW w:w="105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93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2.3 </w:t>
            </w:r>
          </w:p>
        </w:tc>
        <w:tc>
          <w:tcPr>
            <w:tcW w:w="105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257</w:t>
            </w:r>
          </w:p>
        </w:tc>
        <w:tc>
          <w:tcPr>
            <w:tcW w:w="91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11.6 </w:t>
            </w:r>
          </w:p>
        </w:tc>
        <w:tc>
          <w:tcPr>
            <w:tcW w:w="105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137</w:t>
            </w:r>
          </w:p>
        </w:tc>
        <w:tc>
          <w:tcPr>
            <w:tcW w:w="918"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7.8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780"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1033"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1990</w:t>
            </w:r>
          </w:p>
        </w:tc>
        <w:tc>
          <w:tcPr>
            <w:tcW w:w="973"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056"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1846</w:t>
            </w:r>
          </w:p>
        </w:tc>
        <w:tc>
          <w:tcPr>
            <w:tcW w:w="932"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056"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2208</w:t>
            </w:r>
          </w:p>
        </w:tc>
        <w:tc>
          <w:tcPr>
            <w:tcW w:w="918"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056"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1761</w:t>
            </w:r>
          </w:p>
        </w:tc>
        <w:tc>
          <w:tcPr>
            <w:tcW w:w="918"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r>
    </w:tbl>
    <w:p>
      <w:pPr>
        <w:numPr>
          <w:ilvl w:val="0"/>
          <w:numId w:val="0"/>
        </w:numPr>
        <w:spacing w:before="156"/>
        <w:ind w:firstLine="420" w:firstLineChars="200"/>
        <w:rPr>
          <w:rFonts w:hint="eastAsia"/>
        </w:rPr>
      </w:pPr>
    </w:p>
    <w:p>
      <w:pPr>
        <w:pStyle w:val="37"/>
        <w:numPr>
          <w:ilvl w:val="0"/>
          <w:numId w:val="0"/>
        </w:numPr>
        <w:spacing w:before="156"/>
        <w:ind w:firstLine="640" w:firstLineChars="200"/>
        <w:rPr>
          <w:rFonts w:hint="eastAsia" w:ascii="楷体_GB2312" w:hAnsi="楷体_GB2312" w:eastAsia="楷体_GB2312" w:cs="楷体_GB2312"/>
          <w:b w:val="0"/>
          <w:bCs w:val="0"/>
        </w:rPr>
      </w:pPr>
      <w:bookmarkStart w:id="9" w:name="_Toc19712"/>
      <w:r>
        <w:rPr>
          <w:rFonts w:hint="eastAsia" w:ascii="楷体_GB2312" w:hAnsi="楷体_GB2312" w:eastAsia="楷体_GB2312" w:cs="楷体_GB2312"/>
          <w:b w:val="0"/>
          <w:bCs w:val="0"/>
        </w:rPr>
        <w:t>（五）月平均工资情况</w:t>
      </w:r>
      <w:bookmarkEnd w:id="9"/>
    </w:p>
    <w:p>
      <w:pPr>
        <w:ind w:firstLine="643" w:firstLineChars="200"/>
        <w:rPr>
          <w:rFonts w:eastAsia="仿宋"/>
          <w:b/>
          <w:bCs/>
          <w:color w:val="000000"/>
          <w:sz w:val="32"/>
          <w:szCs w:val="32"/>
        </w:rPr>
      </w:pPr>
      <w:r>
        <w:rPr>
          <w:rFonts w:eastAsia="仿宋"/>
          <w:b/>
          <w:bCs/>
          <w:color w:val="000000"/>
          <w:sz w:val="32"/>
          <w:szCs w:val="32"/>
        </w:rPr>
        <w:t>1.</w:t>
      </w:r>
      <w:r>
        <w:rPr>
          <w:rFonts w:hint="eastAsia" w:eastAsia="仿宋"/>
          <w:b/>
          <w:bCs/>
          <w:color w:val="000000"/>
          <w:sz w:val="32"/>
          <w:szCs w:val="32"/>
        </w:rPr>
        <w:t>农、林、牧、渔业</w:t>
      </w:r>
      <w:r>
        <w:rPr>
          <w:rFonts w:eastAsia="仿宋"/>
          <w:b/>
          <w:bCs/>
          <w:color w:val="000000"/>
          <w:sz w:val="32"/>
          <w:szCs w:val="32"/>
        </w:rPr>
        <w:t>企业月平均工资最高</w:t>
      </w:r>
    </w:p>
    <w:p>
      <w:pPr>
        <w:ind w:firstLine="640" w:firstLineChars="200"/>
        <w:rPr>
          <w:rFonts w:eastAsia="仿宋"/>
          <w:color w:val="000000"/>
          <w:sz w:val="32"/>
          <w:szCs w:val="32"/>
        </w:rPr>
      </w:pPr>
      <w:r>
        <w:rPr>
          <w:rFonts w:hint="default" w:eastAsia="仿宋_GB2312"/>
          <w:color w:val="000000"/>
          <w:sz w:val="32"/>
          <w:szCs w:val="32"/>
          <w:lang w:eastAsia="zh-CN"/>
        </w:rPr>
        <w:t>2023年</w:t>
      </w:r>
      <w:r>
        <w:rPr>
          <w:rFonts w:hint="default" w:eastAsia="仿宋_GB2312"/>
          <w:color w:val="000000"/>
          <w:sz w:val="32"/>
          <w:szCs w:val="32"/>
        </w:rPr>
        <w:t>样本企业中</w:t>
      </w:r>
      <w:r>
        <w:rPr>
          <w:rFonts w:eastAsia="仿宋_GB2312"/>
          <w:color w:val="000000"/>
          <w:sz w:val="32"/>
          <w:szCs w:val="32"/>
        </w:rPr>
        <w:t>，月平均工资为</w:t>
      </w:r>
      <w:r>
        <w:rPr>
          <w:rFonts w:hint="default" w:eastAsia="仿宋_GB2312"/>
          <w:color w:val="000000"/>
          <w:sz w:val="32"/>
          <w:szCs w:val="32"/>
          <w:lang w:val="en-US" w:eastAsia="zh-CN"/>
        </w:rPr>
        <w:t>5635</w:t>
      </w:r>
      <w:r>
        <w:rPr>
          <w:rFonts w:eastAsia="仿宋_GB2312"/>
          <w:color w:val="000000"/>
          <w:sz w:val="32"/>
          <w:szCs w:val="32"/>
        </w:rPr>
        <w:t>元，其中，</w:t>
      </w:r>
      <w:r>
        <w:rPr>
          <w:rFonts w:hint="default" w:eastAsia="仿宋_GB2312"/>
          <w:color w:val="000000"/>
          <w:sz w:val="32"/>
          <w:szCs w:val="32"/>
          <w:lang w:val="en-US" w:eastAsia="zh-CN"/>
        </w:rPr>
        <w:t>12月</w:t>
      </w:r>
      <w:r>
        <w:rPr>
          <w:rFonts w:hint="default" w:eastAsia="仿宋_GB2312"/>
          <w:color w:val="000000"/>
          <w:sz w:val="32"/>
          <w:szCs w:val="32"/>
        </w:rPr>
        <w:t>的</w:t>
      </w:r>
      <w:r>
        <w:rPr>
          <w:rFonts w:eastAsia="仿宋_GB2312"/>
          <w:color w:val="000000"/>
          <w:sz w:val="32"/>
          <w:szCs w:val="32"/>
        </w:rPr>
        <w:t>月平均工资</w:t>
      </w:r>
      <w:r>
        <w:rPr>
          <w:rFonts w:hint="default" w:eastAsia="仿宋_GB2312"/>
          <w:color w:val="000000"/>
          <w:sz w:val="32"/>
          <w:szCs w:val="32"/>
          <w:lang w:val="en-US" w:eastAsia="zh-CN"/>
        </w:rPr>
        <w:t>5988</w:t>
      </w:r>
      <w:r>
        <w:rPr>
          <w:rFonts w:eastAsia="仿宋_GB2312"/>
          <w:color w:val="000000"/>
          <w:sz w:val="32"/>
          <w:szCs w:val="32"/>
        </w:rPr>
        <w:t>元最高，</w:t>
      </w:r>
      <w:r>
        <w:rPr>
          <w:rFonts w:hint="default" w:eastAsia="仿宋_GB2312"/>
          <w:color w:val="000000"/>
          <w:sz w:val="32"/>
          <w:szCs w:val="32"/>
          <w:lang w:val="en-US" w:eastAsia="zh-CN"/>
        </w:rPr>
        <w:t>3月</w:t>
      </w:r>
      <w:r>
        <w:rPr>
          <w:rFonts w:hint="default" w:eastAsia="仿宋_GB2312"/>
          <w:color w:val="000000"/>
          <w:sz w:val="32"/>
          <w:szCs w:val="32"/>
        </w:rPr>
        <w:t>的</w:t>
      </w:r>
      <w:r>
        <w:rPr>
          <w:rFonts w:eastAsia="仿宋_GB2312"/>
          <w:color w:val="000000"/>
          <w:sz w:val="32"/>
          <w:szCs w:val="32"/>
        </w:rPr>
        <w:t>月平均工资</w:t>
      </w:r>
      <w:r>
        <w:rPr>
          <w:rFonts w:hint="default" w:eastAsia="仿宋_GB2312"/>
          <w:color w:val="000000"/>
          <w:sz w:val="32"/>
          <w:szCs w:val="32"/>
          <w:lang w:val="en-US" w:eastAsia="zh-CN"/>
        </w:rPr>
        <w:t>5249</w:t>
      </w:r>
      <w:r>
        <w:rPr>
          <w:rFonts w:eastAsia="仿宋_GB2312"/>
          <w:color w:val="000000"/>
          <w:sz w:val="32"/>
          <w:szCs w:val="32"/>
        </w:rPr>
        <w:t>元最低</w:t>
      </w:r>
      <w:r>
        <w:rPr>
          <w:rFonts w:hint="default" w:eastAsia="仿宋_GB2312"/>
          <w:color w:val="000000"/>
          <w:sz w:val="32"/>
          <w:szCs w:val="32"/>
        </w:rPr>
        <w:t>，两者相差了</w:t>
      </w:r>
      <w:r>
        <w:rPr>
          <w:rFonts w:hint="default" w:eastAsia="仿宋_GB2312"/>
          <w:color w:val="000000"/>
          <w:sz w:val="32"/>
          <w:szCs w:val="32"/>
          <w:lang w:val="en-US" w:eastAsia="zh-CN"/>
        </w:rPr>
        <w:t>739</w:t>
      </w:r>
      <w:r>
        <w:rPr>
          <w:rFonts w:hint="default" w:eastAsia="仿宋_GB2312"/>
          <w:color w:val="000000"/>
          <w:sz w:val="32"/>
          <w:szCs w:val="32"/>
        </w:rPr>
        <w:t>元</w:t>
      </w:r>
      <w:r>
        <w:rPr>
          <w:rFonts w:eastAsia="仿宋_GB2312"/>
          <w:color w:val="000000"/>
          <w:sz w:val="32"/>
          <w:szCs w:val="32"/>
        </w:rPr>
        <w:t>。分行业来看，</w:t>
      </w:r>
      <w:r>
        <w:rPr>
          <w:rFonts w:hint="default" w:eastAsia="仿宋_GB2312"/>
          <w:color w:val="000000"/>
          <w:sz w:val="32"/>
          <w:szCs w:val="32"/>
          <w:lang w:val="en-US" w:eastAsia="zh-CN"/>
        </w:rPr>
        <w:t>6</w:t>
      </w:r>
      <w:r>
        <w:rPr>
          <w:rFonts w:eastAsia="仿宋_GB2312"/>
          <w:color w:val="000000"/>
          <w:sz w:val="32"/>
          <w:szCs w:val="32"/>
        </w:rPr>
        <w:t>个行业的月平均工资高于全区水平，</w:t>
      </w:r>
      <w:r>
        <w:rPr>
          <w:rFonts w:hint="default" w:eastAsia="仿宋_GB2312"/>
          <w:color w:val="000000"/>
          <w:sz w:val="32"/>
          <w:szCs w:val="32"/>
          <w:lang w:val="en-US" w:eastAsia="zh-CN"/>
        </w:rPr>
        <w:t>9</w:t>
      </w:r>
      <w:r>
        <w:rPr>
          <w:rFonts w:eastAsia="仿宋_GB2312"/>
          <w:color w:val="000000"/>
          <w:sz w:val="32"/>
          <w:szCs w:val="32"/>
        </w:rPr>
        <w:t>个行业的月平均工资低于全区水平，其中，</w:t>
      </w:r>
      <w:r>
        <w:rPr>
          <w:rFonts w:hint="default" w:eastAsia="仿宋_GB2312"/>
          <w:color w:val="000000"/>
          <w:sz w:val="32"/>
          <w:szCs w:val="32"/>
        </w:rPr>
        <w:t>农、林、牧、渔业</w:t>
      </w:r>
      <w:r>
        <w:rPr>
          <w:rFonts w:eastAsia="仿宋_GB2312"/>
          <w:color w:val="000000"/>
          <w:sz w:val="32"/>
          <w:szCs w:val="32"/>
        </w:rPr>
        <w:t>月平均工资</w:t>
      </w:r>
      <w:r>
        <w:rPr>
          <w:rFonts w:hint="default" w:eastAsia="仿宋_GB2312"/>
          <w:color w:val="000000"/>
          <w:sz w:val="32"/>
          <w:szCs w:val="32"/>
          <w:lang w:val="en-US" w:eastAsia="zh-CN"/>
        </w:rPr>
        <w:t>11345</w:t>
      </w:r>
      <w:r>
        <w:rPr>
          <w:rFonts w:eastAsia="仿宋_GB2312"/>
          <w:color w:val="000000"/>
          <w:sz w:val="32"/>
          <w:szCs w:val="32"/>
        </w:rPr>
        <w:t>元最高，</w:t>
      </w:r>
      <w:r>
        <w:rPr>
          <w:rFonts w:hint="default" w:eastAsia="仿宋_GB2312"/>
          <w:color w:val="000000"/>
          <w:sz w:val="32"/>
          <w:szCs w:val="32"/>
        </w:rPr>
        <w:t>居民服务、修理和其他服务业</w:t>
      </w:r>
      <w:r>
        <w:rPr>
          <w:rFonts w:eastAsia="仿宋_GB2312"/>
          <w:color w:val="000000"/>
          <w:sz w:val="32"/>
          <w:szCs w:val="32"/>
        </w:rPr>
        <w:t>月平均工资</w:t>
      </w:r>
      <w:r>
        <w:rPr>
          <w:rFonts w:hint="default" w:eastAsia="仿宋_GB2312"/>
          <w:color w:val="000000"/>
          <w:sz w:val="32"/>
          <w:szCs w:val="32"/>
          <w:lang w:val="en-US" w:eastAsia="zh-CN"/>
        </w:rPr>
        <w:t>3894</w:t>
      </w:r>
      <w:r>
        <w:rPr>
          <w:rFonts w:eastAsia="仿宋_GB2312"/>
          <w:color w:val="000000"/>
          <w:sz w:val="32"/>
          <w:szCs w:val="32"/>
        </w:rPr>
        <w:t>元</w:t>
      </w:r>
      <w:r>
        <w:rPr>
          <w:rFonts w:hint="default" w:eastAsia="仿宋_GB2312"/>
          <w:color w:val="000000"/>
          <w:sz w:val="32"/>
          <w:szCs w:val="32"/>
        </w:rPr>
        <w:t>最</w:t>
      </w:r>
      <w:r>
        <w:rPr>
          <w:rFonts w:eastAsia="仿宋_GB2312"/>
          <w:color w:val="000000"/>
          <w:sz w:val="32"/>
          <w:szCs w:val="32"/>
        </w:rPr>
        <w:t>低，</w:t>
      </w:r>
      <w:r>
        <w:rPr>
          <w:rFonts w:hint="default" w:eastAsia="仿宋_GB2312"/>
          <w:color w:val="000000"/>
          <w:sz w:val="32"/>
          <w:szCs w:val="32"/>
        </w:rPr>
        <w:t>两者相差了</w:t>
      </w:r>
      <w:r>
        <w:rPr>
          <w:rFonts w:hint="default" w:eastAsia="仿宋_GB2312"/>
          <w:color w:val="000000"/>
          <w:sz w:val="32"/>
          <w:szCs w:val="32"/>
          <w:lang w:val="en-US" w:eastAsia="zh-CN"/>
        </w:rPr>
        <w:t>7451</w:t>
      </w:r>
      <w:r>
        <w:rPr>
          <w:rFonts w:hint="default" w:eastAsia="仿宋_GB2312"/>
          <w:color w:val="000000"/>
          <w:sz w:val="32"/>
          <w:szCs w:val="32"/>
        </w:rPr>
        <w:t>元</w:t>
      </w:r>
      <w:r>
        <w:rPr>
          <w:rFonts w:eastAsia="仿宋_GB2312"/>
          <w:color w:val="000000"/>
          <w:sz w:val="32"/>
          <w:szCs w:val="32"/>
        </w:rPr>
        <w:t>（见表</w:t>
      </w:r>
      <w:r>
        <w:rPr>
          <w:rFonts w:hint="eastAsia" w:eastAsia="仿宋_GB2312"/>
          <w:color w:val="000000"/>
          <w:sz w:val="32"/>
          <w:szCs w:val="32"/>
          <w:lang w:eastAsia="zh-CN"/>
        </w:rPr>
        <w:t>1</w:t>
      </w:r>
      <w:r>
        <w:rPr>
          <w:rFonts w:hint="eastAsia" w:eastAsia="仿宋_GB2312"/>
          <w:color w:val="000000"/>
          <w:sz w:val="32"/>
          <w:szCs w:val="32"/>
          <w:lang w:val="en-US" w:eastAsia="zh-CN"/>
        </w:rPr>
        <w:t>3</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13</w:t>
      </w:r>
      <w:r>
        <w:rPr>
          <w:rFonts w:hint="eastAsia" w:eastAsia="宋体"/>
        </w:rPr>
        <w:t>：</w:t>
      </w:r>
      <w:r>
        <w:rPr>
          <w:rFonts w:hint="eastAsia" w:eastAsia="宋体"/>
          <w:lang w:eastAsia="zh-CN"/>
        </w:rPr>
        <w:t>2023年</w:t>
      </w:r>
      <w:r>
        <w:rPr>
          <w:rFonts w:eastAsia="宋体"/>
        </w:rPr>
        <w:t>样本企业分行业工资水平情况</w:t>
      </w:r>
    </w:p>
    <w:tbl>
      <w:tblPr>
        <w:tblStyle w:val="13"/>
        <w:tblW w:w="11126"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158"/>
        <w:gridCol w:w="776"/>
        <w:gridCol w:w="766"/>
        <w:gridCol w:w="766"/>
        <w:gridCol w:w="766"/>
        <w:gridCol w:w="766"/>
        <w:gridCol w:w="766"/>
        <w:gridCol w:w="766"/>
        <w:gridCol w:w="766"/>
        <w:gridCol w:w="766"/>
        <w:gridCol w:w="766"/>
        <w:gridCol w:w="766"/>
        <w:gridCol w:w="766"/>
        <w:gridCol w:w="766"/>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788" w:hRule="atLeast"/>
          <w:tblHeader/>
          <w:jc w:val="center"/>
        </w:trPr>
        <w:tc>
          <w:tcPr>
            <w:tcW w:w="1158" w:type="dxa"/>
            <w:shd w:val="clear" w:color="auto" w:fill="92CDDC" w:themeFill="accent5" w:themeFillTint="99"/>
            <w:noWrap w:val="0"/>
            <w:vAlign w:val="center"/>
          </w:tcPr>
          <w:p>
            <w:pPr>
              <w:jc w:val="center"/>
              <w:rPr>
                <w:b/>
                <w:bCs/>
                <w:color w:val="000000"/>
              </w:rPr>
            </w:pPr>
            <w:r>
              <w:rPr>
                <w:b/>
                <w:bCs/>
                <w:color w:val="000000"/>
              </w:rPr>
              <w:t>行业</w:t>
            </w:r>
          </w:p>
        </w:tc>
        <w:tc>
          <w:tcPr>
            <w:tcW w:w="776" w:type="dxa"/>
            <w:shd w:val="clear" w:color="auto" w:fill="92CDDC" w:themeFill="accent5" w:themeFillTint="99"/>
            <w:noWrap w:val="0"/>
            <w:vAlign w:val="center"/>
          </w:tcPr>
          <w:p>
            <w:pPr>
              <w:jc w:val="center"/>
              <w:rPr>
                <w:b/>
                <w:bCs/>
                <w:color w:val="000000"/>
              </w:rPr>
            </w:pPr>
            <w:r>
              <w:rPr>
                <w:b/>
                <w:bCs/>
                <w:color w:val="000000"/>
              </w:rPr>
              <w:t>1月</w:t>
            </w:r>
          </w:p>
        </w:tc>
        <w:tc>
          <w:tcPr>
            <w:tcW w:w="766" w:type="dxa"/>
            <w:shd w:val="clear" w:color="auto" w:fill="92CDDC" w:themeFill="accent5" w:themeFillTint="99"/>
            <w:noWrap w:val="0"/>
            <w:vAlign w:val="center"/>
          </w:tcPr>
          <w:p>
            <w:pPr>
              <w:jc w:val="center"/>
              <w:rPr>
                <w:b/>
                <w:bCs/>
                <w:color w:val="000000"/>
              </w:rPr>
            </w:pPr>
            <w:r>
              <w:rPr>
                <w:b/>
                <w:bCs/>
                <w:color w:val="000000"/>
              </w:rPr>
              <w:t>2月</w:t>
            </w:r>
          </w:p>
        </w:tc>
        <w:tc>
          <w:tcPr>
            <w:tcW w:w="766" w:type="dxa"/>
            <w:shd w:val="clear" w:color="auto" w:fill="92CDDC" w:themeFill="accent5" w:themeFillTint="99"/>
            <w:noWrap w:val="0"/>
            <w:vAlign w:val="center"/>
          </w:tcPr>
          <w:p>
            <w:pPr>
              <w:jc w:val="center"/>
              <w:rPr>
                <w:b/>
                <w:bCs/>
                <w:color w:val="000000"/>
              </w:rPr>
            </w:pPr>
            <w:r>
              <w:rPr>
                <w:b/>
                <w:bCs/>
                <w:color w:val="000000"/>
              </w:rPr>
              <w:t>3月</w:t>
            </w:r>
          </w:p>
        </w:tc>
        <w:tc>
          <w:tcPr>
            <w:tcW w:w="766" w:type="dxa"/>
            <w:shd w:val="clear" w:color="auto" w:fill="92CDDC" w:themeFill="accent5" w:themeFillTint="99"/>
            <w:noWrap w:val="0"/>
            <w:vAlign w:val="center"/>
          </w:tcPr>
          <w:p>
            <w:pPr>
              <w:jc w:val="center"/>
              <w:rPr>
                <w:b/>
                <w:bCs/>
                <w:color w:val="000000"/>
              </w:rPr>
            </w:pPr>
            <w:r>
              <w:rPr>
                <w:b/>
                <w:bCs/>
                <w:color w:val="000000"/>
              </w:rPr>
              <w:t>4月</w:t>
            </w:r>
          </w:p>
        </w:tc>
        <w:tc>
          <w:tcPr>
            <w:tcW w:w="766" w:type="dxa"/>
            <w:shd w:val="clear" w:color="auto" w:fill="92CDDC" w:themeFill="accent5" w:themeFillTint="99"/>
            <w:noWrap w:val="0"/>
            <w:vAlign w:val="center"/>
          </w:tcPr>
          <w:p>
            <w:pPr>
              <w:jc w:val="center"/>
              <w:rPr>
                <w:b/>
                <w:bCs/>
                <w:color w:val="000000"/>
              </w:rPr>
            </w:pPr>
            <w:r>
              <w:rPr>
                <w:b/>
                <w:bCs/>
                <w:color w:val="000000"/>
              </w:rPr>
              <w:t>5月</w:t>
            </w:r>
          </w:p>
        </w:tc>
        <w:tc>
          <w:tcPr>
            <w:tcW w:w="766" w:type="dxa"/>
            <w:shd w:val="clear" w:color="auto" w:fill="92CDDC" w:themeFill="accent5" w:themeFillTint="99"/>
            <w:noWrap w:val="0"/>
            <w:vAlign w:val="center"/>
          </w:tcPr>
          <w:p>
            <w:pPr>
              <w:jc w:val="center"/>
              <w:rPr>
                <w:b/>
                <w:bCs/>
                <w:color w:val="000000"/>
              </w:rPr>
            </w:pPr>
            <w:r>
              <w:rPr>
                <w:b/>
                <w:bCs/>
                <w:color w:val="000000"/>
              </w:rPr>
              <w:t>6月</w:t>
            </w:r>
          </w:p>
        </w:tc>
        <w:tc>
          <w:tcPr>
            <w:tcW w:w="766" w:type="dxa"/>
            <w:shd w:val="clear" w:color="auto" w:fill="92CDDC" w:themeFill="accent5" w:themeFillTint="99"/>
            <w:noWrap w:val="0"/>
            <w:vAlign w:val="center"/>
          </w:tcPr>
          <w:p>
            <w:pPr>
              <w:jc w:val="center"/>
              <w:rPr>
                <w:b/>
                <w:bCs/>
                <w:color w:val="000000"/>
              </w:rPr>
            </w:pPr>
            <w:r>
              <w:rPr>
                <w:b/>
                <w:bCs/>
                <w:color w:val="000000"/>
              </w:rPr>
              <w:t>7月</w:t>
            </w:r>
          </w:p>
        </w:tc>
        <w:tc>
          <w:tcPr>
            <w:tcW w:w="766" w:type="dxa"/>
            <w:shd w:val="clear" w:color="auto" w:fill="92CDDC" w:themeFill="accent5" w:themeFillTint="99"/>
            <w:noWrap w:val="0"/>
            <w:vAlign w:val="center"/>
          </w:tcPr>
          <w:p>
            <w:pPr>
              <w:jc w:val="center"/>
              <w:rPr>
                <w:b/>
                <w:bCs/>
                <w:color w:val="000000"/>
              </w:rPr>
            </w:pPr>
            <w:r>
              <w:rPr>
                <w:b/>
                <w:bCs/>
                <w:color w:val="000000"/>
              </w:rPr>
              <w:t>8月</w:t>
            </w:r>
          </w:p>
        </w:tc>
        <w:tc>
          <w:tcPr>
            <w:tcW w:w="766" w:type="dxa"/>
            <w:shd w:val="clear" w:color="auto" w:fill="92CDDC" w:themeFill="accent5" w:themeFillTint="99"/>
            <w:noWrap w:val="0"/>
            <w:vAlign w:val="center"/>
          </w:tcPr>
          <w:p>
            <w:pPr>
              <w:jc w:val="center"/>
              <w:rPr>
                <w:b/>
                <w:bCs/>
                <w:color w:val="000000"/>
              </w:rPr>
            </w:pPr>
            <w:r>
              <w:rPr>
                <w:b/>
                <w:bCs/>
                <w:color w:val="000000"/>
              </w:rPr>
              <w:t>9月</w:t>
            </w:r>
          </w:p>
        </w:tc>
        <w:tc>
          <w:tcPr>
            <w:tcW w:w="766" w:type="dxa"/>
            <w:shd w:val="clear" w:color="auto" w:fill="92CDDC" w:themeFill="accent5" w:themeFillTint="99"/>
            <w:noWrap w:val="0"/>
            <w:vAlign w:val="center"/>
          </w:tcPr>
          <w:p>
            <w:pPr>
              <w:jc w:val="center"/>
              <w:rPr>
                <w:b/>
                <w:bCs/>
                <w:color w:val="000000"/>
              </w:rPr>
            </w:pPr>
            <w:r>
              <w:rPr>
                <w:b/>
                <w:bCs/>
                <w:color w:val="000000"/>
              </w:rPr>
              <w:t>10月</w:t>
            </w:r>
          </w:p>
        </w:tc>
        <w:tc>
          <w:tcPr>
            <w:tcW w:w="766" w:type="dxa"/>
            <w:shd w:val="clear" w:color="auto" w:fill="92CDDC" w:themeFill="accent5" w:themeFillTint="99"/>
            <w:noWrap w:val="0"/>
            <w:vAlign w:val="center"/>
          </w:tcPr>
          <w:p>
            <w:pPr>
              <w:jc w:val="center"/>
              <w:rPr>
                <w:b/>
                <w:bCs/>
                <w:color w:val="000000"/>
              </w:rPr>
            </w:pPr>
            <w:r>
              <w:rPr>
                <w:b/>
                <w:bCs/>
                <w:color w:val="000000"/>
              </w:rPr>
              <w:t>11月</w:t>
            </w:r>
          </w:p>
        </w:tc>
        <w:tc>
          <w:tcPr>
            <w:tcW w:w="766" w:type="dxa"/>
            <w:shd w:val="clear" w:color="auto" w:fill="92CDDC" w:themeFill="accent5" w:themeFillTint="99"/>
            <w:noWrap w:val="0"/>
            <w:vAlign w:val="center"/>
          </w:tcPr>
          <w:p>
            <w:pPr>
              <w:jc w:val="center"/>
              <w:rPr>
                <w:b/>
                <w:bCs/>
                <w:color w:val="000000"/>
              </w:rPr>
            </w:pPr>
            <w:r>
              <w:rPr>
                <w:b/>
                <w:bCs/>
                <w:color w:val="000000"/>
              </w:rPr>
              <w:t>12月</w:t>
            </w:r>
          </w:p>
        </w:tc>
        <w:tc>
          <w:tcPr>
            <w:tcW w:w="766" w:type="dxa"/>
            <w:shd w:val="clear" w:color="auto" w:fill="92CDDC" w:themeFill="accent5" w:themeFillTint="99"/>
            <w:noWrap w:val="0"/>
            <w:vAlign w:val="center"/>
          </w:tcPr>
          <w:p>
            <w:pPr>
              <w:jc w:val="center"/>
              <w:rPr>
                <w:b/>
                <w:bCs/>
                <w:color w:val="000000"/>
              </w:rPr>
            </w:pPr>
            <w:r>
              <w:rPr>
                <w:b/>
                <w:bCs/>
                <w:color w:val="000000"/>
              </w:rPr>
              <w:t>平均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158" w:type="dxa"/>
            <w:noWrap w:val="0"/>
            <w:vAlign w:val="center"/>
          </w:tcPr>
          <w:p>
            <w:pPr>
              <w:widowControl/>
              <w:jc w:val="center"/>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77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12500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12500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12500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12500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12500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12500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10063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10153</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10147</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10156</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10308</w:t>
            </w:r>
          </w:p>
        </w:tc>
        <w:tc>
          <w:tcPr>
            <w:tcW w:w="766" w:type="dxa"/>
            <w:noWrap w:val="0"/>
            <w:vAlign w:val="center"/>
          </w:tcPr>
          <w:p>
            <w:pPr>
              <w:widowControl/>
              <w:jc w:val="right"/>
              <w:textAlignment w:val="bottom"/>
              <w:rPr>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10308</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11345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158" w:type="dxa"/>
            <w:noWrap w:val="0"/>
            <w:vAlign w:val="center"/>
          </w:tcPr>
          <w:p>
            <w:pPr>
              <w:widowControl/>
              <w:jc w:val="center"/>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77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10902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9136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9362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8902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9098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9135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9276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9057</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9116</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9744</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9252</w:t>
            </w:r>
          </w:p>
        </w:tc>
        <w:tc>
          <w:tcPr>
            <w:tcW w:w="766" w:type="dxa"/>
            <w:noWrap w:val="0"/>
            <w:vAlign w:val="center"/>
          </w:tcPr>
          <w:p>
            <w:pPr>
              <w:widowControl/>
              <w:jc w:val="right"/>
              <w:textAlignment w:val="bottom"/>
              <w:rPr>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9236</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9351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158" w:type="dxa"/>
            <w:noWrap w:val="0"/>
            <w:vAlign w:val="center"/>
          </w:tcPr>
          <w:p>
            <w:pPr>
              <w:widowControl/>
              <w:jc w:val="center"/>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77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6917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6908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6344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6981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6985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6772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7302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7417</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7304</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7646</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7537</w:t>
            </w:r>
          </w:p>
        </w:tc>
        <w:tc>
          <w:tcPr>
            <w:tcW w:w="766" w:type="dxa"/>
            <w:noWrap w:val="0"/>
            <w:vAlign w:val="center"/>
          </w:tcPr>
          <w:p>
            <w:pPr>
              <w:widowControl/>
              <w:jc w:val="right"/>
              <w:textAlignment w:val="bottom"/>
              <w:rPr>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7142</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7105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158" w:type="dxa"/>
            <w:noWrap w:val="0"/>
            <w:vAlign w:val="center"/>
          </w:tcPr>
          <w:p>
            <w:pPr>
              <w:widowControl/>
              <w:jc w:val="center"/>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77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6668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6728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6666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6748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7078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6410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6831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6881</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9566</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6812</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6970</w:t>
            </w:r>
          </w:p>
        </w:tc>
        <w:tc>
          <w:tcPr>
            <w:tcW w:w="766" w:type="dxa"/>
            <w:noWrap w:val="0"/>
            <w:vAlign w:val="center"/>
          </w:tcPr>
          <w:p>
            <w:pPr>
              <w:widowControl/>
              <w:jc w:val="right"/>
              <w:textAlignment w:val="bottom"/>
              <w:rPr>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7490</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7071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158" w:type="dxa"/>
            <w:noWrap w:val="0"/>
            <w:vAlign w:val="center"/>
          </w:tcPr>
          <w:p>
            <w:pPr>
              <w:widowControl/>
              <w:jc w:val="center"/>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77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7084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5665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5954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6805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6876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6779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6035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8349</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6781</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7781</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7748</w:t>
            </w:r>
          </w:p>
        </w:tc>
        <w:tc>
          <w:tcPr>
            <w:tcW w:w="766" w:type="dxa"/>
            <w:noWrap w:val="0"/>
            <w:vAlign w:val="center"/>
          </w:tcPr>
          <w:p>
            <w:pPr>
              <w:widowControl/>
              <w:jc w:val="right"/>
              <w:textAlignment w:val="bottom"/>
              <w:rPr>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8786</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7054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158" w:type="dxa"/>
            <w:noWrap w:val="0"/>
            <w:vAlign w:val="center"/>
          </w:tcPr>
          <w:p>
            <w:pPr>
              <w:widowControl/>
              <w:jc w:val="center"/>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77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5237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5075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4805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5936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5946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5779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5965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6055</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6074</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6078</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5935</w:t>
            </w:r>
          </w:p>
        </w:tc>
        <w:tc>
          <w:tcPr>
            <w:tcW w:w="766" w:type="dxa"/>
            <w:noWrap w:val="0"/>
            <w:vAlign w:val="center"/>
          </w:tcPr>
          <w:p>
            <w:pPr>
              <w:widowControl/>
              <w:jc w:val="right"/>
              <w:textAlignment w:val="bottom"/>
              <w:rPr>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5576</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5705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158" w:type="dxa"/>
            <w:noWrap w:val="0"/>
            <w:vAlign w:val="center"/>
          </w:tcPr>
          <w:p>
            <w:pPr>
              <w:widowControl/>
              <w:jc w:val="center"/>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77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5813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5819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5704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5704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5700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5700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5433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5100</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5267</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5267</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5267</w:t>
            </w:r>
          </w:p>
        </w:tc>
        <w:tc>
          <w:tcPr>
            <w:tcW w:w="766" w:type="dxa"/>
            <w:noWrap w:val="0"/>
            <w:vAlign w:val="center"/>
          </w:tcPr>
          <w:p>
            <w:pPr>
              <w:widowControl/>
              <w:jc w:val="right"/>
              <w:textAlignment w:val="bottom"/>
              <w:rPr>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5267</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5503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158" w:type="dxa"/>
            <w:noWrap w:val="0"/>
            <w:vAlign w:val="center"/>
          </w:tcPr>
          <w:p>
            <w:pPr>
              <w:widowControl/>
              <w:jc w:val="center"/>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77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5434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5189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5061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5232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5411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5400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5541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5553</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5569</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5588</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5624</w:t>
            </w:r>
          </w:p>
        </w:tc>
        <w:tc>
          <w:tcPr>
            <w:tcW w:w="766" w:type="dxa"/>
            <w:noWrap w:val="0"/>
            <w:vAlign w:val="center"/>
          </w:tcPr>
          <w:p>
            <w:pPr>
              <w:widowControl/>
              <w:jc w:val="right"/>
              <w:textAlignment w:val="bottom"/>
              <w:rPr>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5958</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5463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158" w:type="dxa"/>
            <w:noWrap w:val="0"/>
            <w:vAlign w:val="center"/>
          </w:tcPr>
          <w:p>
            <w:pPr>
              <w:widowControl/>
              <w:jc w:val="center"/>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77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5131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5386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5807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5283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5398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5365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5599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5135</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4846</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5013</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5590</w:t>
            </w:r>
          </w:p>
        </w:tc>
        <w:tc>
          <w:tcPr>
            <w:tcW w:w="766" w:type="dxa"/>
            <w:noWrap w:val="0"/>
            <w:vAlign w:val="center"/>
          </w:tcPr>
          <w:p>
            <w:pPr>
              <w:widowControl/>
              <w:jc w:val="right"/>
              <w:textAlignment w:val="bottom"/>
              <w:rPr>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4871</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5285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158" w:type="dxa"/>
            <w:noWrap w:val="0"/>
            <w:vAlign w:val="center"/>
          </w:tcPr>
          <w:p>
            <w:pPr>
              <w:widowControl/>
              <w:jc w:val="center"/>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77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4869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5189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4846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4742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5057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4929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5303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5293</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5051</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5135</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5415</w:t>
            </w:r>
          </w:p>
        </w:tc>
        <w:tc>
          <w:tcPr>
            <w:tcW w:w="766" w:type="dxa"/>
            <w:noWrap w:val="0"/>
            <w:vAlign w:val="center"/>
          </w:tcPr>
          <w:p>
            <w:pPr>
              <w:widowControl/>
              <w:jc w:val="right"/>
              <w:textAlignment w:val="bottom"/>
              <w:rPr>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5112</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5078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158" w:type="dxa"/>
            <w:noWrap w:val="0"/>
            <w:vAlign w:val="center"/>
          </w:tcPr>
          <w:p>
            <w:pPr>
              <w:widowControl/>
              <w:jc w:val="center"/>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77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4634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4657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4600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4307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4386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4350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4458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4408</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5012</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4379</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4893</w:t>
            </w:r>
          </w:p>
        </w:tc>
        <w:tc>
          <w:tcPr>
            <w:tcW w:w="766" w:type="dxa"/>
            <w:noWrap w:val="0"/>
            <w:vAlign w:val="center"/>
          </w:tcPr>
          <w:p>
            <w:pPr>
              <w:widowControl/>
              <w:jc w:val="right"/>
              <w:textAlignment w:val="bottom"/>
              <w:rPr>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5300</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4615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158" w:type="dxa"/>
            <w:noWrap w:val="0"/>
            <w:vAlign w:val="center"/>
          </w:tcPr>
          <w:p>
            <w:pPr>
              <w:widowControl/>
              <w:jc w:val="center"/>
              <w:textAlignment w:val="bottom"/>
              <w:rPr>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77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4629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4098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4126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4031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4377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4262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4165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4145</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4138</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4165</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4353</w:t>
            </w:r>
          </w:p>
        </w:tc>
        <w:tc>
          <w:tcPr>
            <w:tcW w:w="766" w:type="dxa"/>
            <w:noWrap w:val="0"/>
            <w:vAlign w:val="center"/>
          </w:tcPr>
          <w:p>
            <w:pPr>
              <w:widowControl/>
              <w:jc w:val="right"/>
              <w:textAlignment w:val="bottom"/>
              <w:rPr>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4327</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4235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158" w:type="dxa"/>
            <w:noWrap w:val="0"/>
            <w:vAlign w:val="center"/>
          </w:tcPr>
          <w:p>
            <w:pPr>
              <w:widowControl/>
              <w:jc w:val="center"/>
              <w:textAlignment w:val="bottom"/>
              <w:rPr>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77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3667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4350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3600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4350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4350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4250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4250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4250</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4200</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4375</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4350</w:t>
            </w:r>
          </w:p>
        </w:tc>
        <w:tc>
          <w:tcPr>
            <w:tcW w:w="766" w:type="dxa"/>
            <w:noWrap w:val="0"/>
            <w:vAlign w:val="center"/>
          </w:tcPr>
          <w:p>
            <w:pPr>
              <w:widowControl/>
              <w:jc w:val="right"/>
              <w:textAlignment w:val="bottom"/>
              <w:rPr>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4350</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4195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158" w:type="dxa"/>
            <w:noWrap w:val="0"/>
            <w:vAlign w:val="center"/>
          </w:tcPr>
          <w:p>
            <w:pPr>
              <w:widowControl/>
              <w:jc w:val="center"/>
              <w:textAlignment w:val="bottom"/>
              <w:rPr>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77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3500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3500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3500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3500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3000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3500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4750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4909</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4500</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4750</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4501</w:t>
            </w:r>
          </w:p>
        </w:tc>
        <w:tc>
          <w:tcPr>
            <w:tcW w:w="766" w:type="dxa"/>
            <w:noWrap w:val="0"/>
            <w:vAlign w:val="center"/>
          </w:tcPr>
          <w:p>
            <w:pPr>
              <w:widowControl/>
              <w:jc w:val="right"/>
              <w:textAlignment w:val="bottom"/>
              <w:rPr>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4250</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4013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158" w:type="dxa"/>
            <w:noWrap w:val="0"/>
            <w:vAlign w:val="center"/>
          </w:tcPr>
          <w:p>
            <w:pPr>
              <w:widowControl/>
              <w:jc w:val="center"/>
              <w:textAlignment w:val="bottom"/>
              <w:rPr>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77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3951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3853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3769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3771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3839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3906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3951 </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3929</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3897</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3926</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3981</w:t>
            </w:r>
          </w:p>
        </w:tc>
        <w:tc>
          <w:tcPr>
            <w:tcW w:w="766" w:type="dxa"/>
            <w:noWrap w:val="0"/>
            <w:vAlign w:val="center"/>
          </w:tcPr>
          <w:p>
            <w:pPr>
              <w:widowControl/>
              <w:jc w:val="right"/>
              <w:textAlignment w:val="bottom"/>
              <w:rPr>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3957</w:t>
            </w:r>
          </w:p>
        </w:tc>
        <w:tc>
          <w:tcPr>
            <w:tcW w:w="766" w:type="dxa"/>
            <w:noWrap w:val="0"/>
            <w:vAlign w:val="center"/>
          </w:tcPr>
          <w:p>
            <w:pPr>
              <w:widowControl/>
              <w:jc w:val="right"/>
              <w:textAlignment w:val="bottom"/>
              <w:rPr>
                <w:color w:val="000000"/>
                <w:w w:val="90"/>
                <w:szCs w:val="22"/>
              </w:rPr>
            </w:pPr>
            <w:r>
              <w:rPr>
                <w:rFonts w:hint="default" w:ascii="Times New Roman" w:hAnsi="Times New Roman" w:eastAsia="宋体" w:cs="Times New Roman"/>
                <w:i w:val="0"/>
                <w:iCs w:val="0"/>
                <w:color w:val="000000"/>
                <w:kern w:val="0"/>
                <w:sz w:val="22"/>
                <w:szCs w:val="22"/>
                <w:u w:val="none"/>
                <w:lang w:val="en-US" w:eastAsia="zh-CN" w:bidi="ar"/>
              </w:rPr>
              <w:t>3894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158" w:type="dxa"/>
            <w:noWrap w:val="0"/>
            <w:vAlign w:val="center"/>
          </w:tcPr>
          <w:p>
            <w:pPr>
              <w:widowControl/>
              <w:jc w:val="center"/>
              <w:textAlignment w:val="bottom"/>
              <w:rPr>
                <w:b/>
                <w:bCs/>
                <w:color w:val="000000"/>
              </w:rPr>
            </w:pPr>
            <w:r>
              <w:rPr>
                <w:b/>
                <w:bCs/>
                <w:color w:val="000000"/>
                <w:kern w:val="0"/>
                <w:sz w:val="22"/>
                <w:szCs w:val="22"/>
                <w:lang w:bidi="ar"/>
              </w:rPr>
              <w:t>平均</w:t>
            </w:r>
          </w:p>
        </w:tc>
        <w:tc>
          <w:tcPr>
            <w:tcW w:w="776" w:type="dxa"/>
            <w:noWrap w:val="0"/>
            <w:vAlign w:val="center"/>
          </w:tcPr>
          <w:p>
            <w:pPr>
              <w:widowControl/>
              <w:jc w:val="right"/>
              <w:textAlignment w:val="bottom"/>
              <w:rPr>
                <w:b/>
                <w:bCs/>
                <w:color w:val="000000"/>
              </w:rPr>
            </w:pPr>
            <w:r>
              <w:rPr>
                <w:rFonts w:hint="default" w:ascii="Times New Roman" w:hAnsi="Times New Roman" w:eastAsia="宋体" w:cs="Times New Roman"/>
                <w:b/>
                <w:bCs/>
                <w:i w:val="0"/>
                <w:iCs w:val="0"/>
                <w:color w:val="000000"/>
                <w:kern w:val="0"/>
                <w:sz w:val="22"/>
                <w:szCs w:val="22"/>
                <w:u w:val="none"/>
                <w:lang w:val="en-US" w:eastAsia="zh-CN" w:bidi="ar"/>
              </w:rPr>
              <w:t xml:space="preserve">5565 </w:t>
            </w:r>
          </w:p>
        </w:tc>
        <w:tc>
          <w:tcPr>
            <w:tcW w:w="766" w:type="dxa"/>
            <w:noWrap w:val="0"/>
            <w:vAlign w:val="center"/>
          </w:tcPr>
          <w:p>
            <w:pPr>
              <w:widowControl/>
              <w:jc w:val="right"/>
              <w:textAlignment w:val="bottom"/>
              <w:rPr>
                <w:b/>
                <w:bCs/>
                <w:color w:val="000000"/>
              </w:rPr>
            </w:pPr>
            <w:r>
              <w:rPr>
                <w:rFonts w:hint="default" w:ascii="Times New Roman" w:hAnsi="Times New Roman" w:eastAsia="宋体" w:cs="Times New Roman"/>
                <w:b/>
                <w:bCs/>
                <w:i w:val="0"/>
                <w:iCs w:val="0"/>
                <w:color w:val="000000"/>
                <w:kern w:val="0"/>
                <w:sz w:val="22"/>
                <w:szCs w:val="22"/>
                <w:u w:val="none"/>
                <w:lang w:val="en-US" w:eastAsia="zh-CN" w:bidi="ar"/>
              </w:rPr>
              <w:t xml:space="preserve">5384 </w:t>
            </w:r>
          </w:p>
        </w:tc>
        <w:tc>
          <w:tcPr>
            <w:tcW w:w="766" w:type="dxa"/>
            <w:noWrap w:val="0"/>
            <w:vAlign w:val="center"/>
          </w:tcPr>
          <w:p>
            <w:pPr>
              <w:widowControl/>
              <w:jc w:val="right"/>
              <w:textAlignment w:val="bottom"/>
              <w:rPr>
                <w:b/>
                <w:bCs/>
                <w:color w:val="000000"/>
              </w:rPr>
            </w:pPr>
            <w:r>
              <w:rPr>
                <w:rFonts w:hint="default" w:ascii="Times New Roman" w:hAnsi="Times New Roman" w:eastAsia="宋体" w:cs="Times New Roman"/>
                <w:b/>
                <w:bCs/>
                <w:i w:val="0"/>
                <w:iCs w:val="0"/>
                <w:color w:val="000000"/>
                <w:kern w:val="0"/>
                <w:sz w:val="22"/>
                <w:szCs w:val="22"/>
                <w:u w:val="none"/>
                <w:lang w:val="en-US" w:eastAsia="zh-CN" w:bidi="ar"/>
              </w:rPr>
              <w:t xml:space="preserve">5249 </w:t>
            </w:r>
          </w:p>
        </w:tc>
        <w:tc>
          <w:tcPr>
            <w:tcW w:w="766" w:type="dxa"/>
            <w:noWrap w:val="0"/>
            <w:vAlign w:val="center"/>
          </w:tcPr>
          <w:p>
            <w:pPr>
              <w:widowControl/>
              <w:jc w:val="right"/>
              <w:textAlignment w:val="bottom"/>
              <w:rPr>
                <w:b/>
                <w:bCs/>
                <w:color w:val="000000"/>
              </w:rPr>
            </w:pPr>
            <w:r>
              <w:rPr>
                <w:rFonts w:hint="default" w:ascii="Times New Roman" w:hAnsi="Times New Roman" w:eastAsia="宋体" w:cs="Times New Roman"/>
                <w:b/>
                <w:bCs/>
                <w:i w:val="0"/>
                <w:iCs w:val="0"/>
                <w:color w:val="000000"/>
                <w:kern w:val="0"/>
                <w:sz w:val="22"/>
                <w:szCs w:val="22"/>
                <w:u w:val="none"/>
                <w:lang w:val="en-US" w:eastAsia="zh-CN" w:bidi="ar"/>
              </w:rPr>
              <w:t xml:space="preserve">5439 </w:t>
            </w:r>
          </w:p>
        </w:tc>
        <w:tc>
          <w:tcPr>
            <w:tcW w:w="766" w:type="dxa"/>
            <w:noWrap w:val="0"/>
            <w:vAlign w:val="center"/>
          </w:tcPr>
          <w:p>
            <w:pPr>
              <w:widowControl/>
              <w:jc w:val="right"/>
              <w:textAlignment w:val="bottom"/>
              <w:rPr>
                <w:b/>
                <w:bCs/>
                <w:color w:val="000000"/>
              </w:rPr>
            </w:pPr>
            <w:r>
              <w:rPr>
                <w:rFonts w:hint="default" w:ascii="Times New Roman" w:hAnsi="Times New Roman" w:eastAsia="宋体" w:cs="Times New Roman"/>
                <w:b/>
                <w:bCs/>
                <w:i w:val="0"/>
                <w:iCs w:val="0"/>
                <w:color w:val="000000"/>
                <w:kern w:val="0"/>
                <w:sz w:val="22"/>
                <w:szCs w:val="22"/>
                <w:u w:val="none"/>
                <w:lang w:val="en-US" w:eastAsia="zh-CN" w:bidi="ar"/>
              </w:rPr>
              <w:t xml:space="preserve">5603 </w:t>
            </w:r>
          </w:p>
        </w:tc>
        <w:tc>
          <w:tcPr>
            <w:tcW w:w="766" w:type="dxa"/>
            <w:noWrap w:val="0"/>
            <w:vAlign w:val="center"/>
          </w:tcPr>
          <w:p>
            <w:pPr>
              <w:widowControl/>
              <w:jc w:val="right"/>
              <w:textAlignment w:val="bottom"/>
              <w:rPr>
                <w:b/>
                <w:bCs/>
                <w:color w:val="000000"/>
              </w:rPr>
            </w:pPr>
            <w:r>
              <w:rPr>
                <w:rFonts w:hint="default" w:ascii="Times New Roman" w:hAnsi="Times New Roman" w:eastAsia="宋体" w:cs="Times New Roman"/>
                <w:b/>
                <w:bCs/>
                <w:i w:val="0"/>
                <w:iCs w:val="0"/>
                <w:color w:val="000000"/>
                <w:kern w:val="0"/>
                <w:sz w:val="22"/>
                <w:szCs w:val="22"/>
                <w:u w:val="none"/>
                <w:lang w:val="en-US" w:eastAsia="zh-CN" w:bidi="ar"/>
              </w:rPr>
              <w:t xml:space="preserve">5516 </w:t>
            </w:r>
          </w:p>
        </w:tc>
        <w:tc>
          <w:tcPr>
            <w:tcW w:w="766" w:type="dxa"/>
            <w:noWrap w:val="0"/>
            <w:vAlign w:val="center"/>
          </w:tcPr>
          <w:p>
            <w:pPr>
              <w:widowControl/>
              <w:jc w:val="right"/>
              <w:textAlignment w:val="bottom"/>
              <w:rPr>
                <w:b/>
                <w:bCs/>
                <w:color w:val="000000"/>
              </w:rPr>
            </w:pPr>
            <w:r>
              <w:rPr>
                <w:rFonts w:hint="default" w:ascii="Times New Roman" w:hAnsi="Times New Roman" w:eastAsia="宋体" w:cs="Times New Roman"/>
                <w:b/>
                <w:bCs/>
                <w:i w:val="0"/>
                <w:iCs w:val="0"/>
                <w:color w:val="000000"/>
                <w:kern w:val="0"/>
                <w:sz w:val="22"/>
                <w:szCs w:val="22"/>
                <w:u w:val="none"/>
                <w:lang w:val="en-US" w:eastAsia="zh-CN" w:bidi="ar"/>
              </w:rPr>
              <w:t xml:space="preserve">5679 </w:t>
            </w:r>
          </w:p>
        </w:tc>
        <w:tc>
          <w:tcPr>
            <w:tcW w:w="766" w:type="dxa"/>
            <w:noWrap w:val="0"/>
            <w:vAlign w:val="center"/>
          </w:tcPr>
          <w:p>
            <w:pPr>
              <w:widowControl/>
              <w:jc w:val="right"/>
              <w:textAlignment w:val="bottom"/>
              <w:rPr>
                <w:b/>
                <w:bCs/>
                <w:color w:val="000000"/>
              </w:rPr>
            </w:pPr>
            <w:r>
              <w:rPr>
                <w:rFonts w:hint="default" w:ascii="Times New Roman" w:hAnsi="Times New Roman" w:eastAsia="宋体" w:cs="Times New Roman"/>
                <w:b/>
                <w:bCs/>
                <w:i w:val="0"/>
                <w:iCs w:val="0"/>
                <w:color w:val="000000"/>
                <w:kern w:val="0"/>
                <w:sz w:val="22"/>
                <w:szCs w:val="22"/>
                <w:u w:val="none"/>
                <w:lang w:val="en-US" w:eastAsia="zh-CN" w:bidi="ar"/>
              </w:rPr>
              <w:t>5704</w:t>
            </w:r>
          </w:p>
        </w:tc>
        <w:tc>
          <w:tcPr>
            <w:tcW w:w="766" w:type="dxa"/>
            <w:noWrap w:val="0"/>
            <w:vAlign w:val="center"/>
          </w:tcPr>
          <w:p>
            <w:pPr>
              <w:widowControl/>
              <w:jc w:val="right"/>
              <w:textAlignment w:val="bottom"/>
              <w:rPr>
                <w:b/>
                <w:bCs/>
                <w:color w:val="000000"/>
              </w:rPr>
            </w:pPr>
            <w:r>
              <w:rPr>
                <w:rFonts w:hint="default" w:ascii="Times New Roman" w:hAnsi="Times New Roman" w:eastAsia="宋体" w:cs="Times New Roman"/>
                <w:b/>
                <w:bCs/>
                <w:i w:val="0"/>
                <w:iCs w:val="0"/>
                <w:color w:val="000000"/>
                <w:kern w:val="0"/>
                <w:sz w:val="22"/>
                <w:szCs w:val="22"/>
                <w:u w:val="none"/>
                <w:lang w:val="en-US" w:eastAsia="zh-CN" w:bidi="ar"/>
              </w:rPr>
              <w:t>5980</w:t>
            </w:r>
          </w:p>
        </w:tc>
        <w:tc>
          <w:tcPr>
            <w:tcW w:w="766" w:type="dxa"/>
            <w:noWrap w:val="0"/>
            <w:vAlign w:val="center"/>
          </w:tcPr>
          <w:p>
            <w:pPr>
              <w:widowControl/>
              <w:jc w:val="right"/>
              <w:textAlignment w:val="bottom"/>
              <w:rPr>
                <w:b/>
                <w:bCs/>
                <w:color w:val="000000"/>
              </w:rPr>
            </w:pPr>
            <w:r>
              <w:rPr>
                <w:rFonts w:hint="default" w:ascii="Times New Roman" w:hAnsi="Times New Roman" w:eastAsia="宋体" w:cs="Times New Roman"/>
                <w:b/>
                <w:bCs/>
                <w:i w:val="0"/>
                <w:iCs w:val="0"/>
                <w:color w:val="000000"/>
                <w:kern w:val="0"/>
                <w:sz w:val="22"/>
                <w:szCs w:val="22"/>
                <w:u w:val="none"/>
                <w:lang w:val="en-US" w:eastAsia="zh-CN" w:bidi="ar"/>
              </w:rPr>
              <w:t>5727</w:t>
            </w:r>
          </w:p>
        </w:tc>
        <w:tc>
          <w:tcPr>
            <w:tcW w:w="766" w:type="dxa"/>
            <w:noWrap w:val="0"/>
            <w:vAlign w:val="center"/>
          </w:tcPr>
          <w:p>
            <w:pPr>
              <w:widowControl/>
              <w:jc w:val="right"/>
              <w:textAlignment w:val="bottom"/>
              <w:rPr>
                <w:b/>
                <w:bCs/>
                <w:color w:val="000000"/>
              </w:rPr>
            </w:pPr>
            <w:r>
              <w:rPr>
                <w:rFonts w:hint="default" w:ascii="Times New Roman" w:hAnsi="Times New Roman" w:eastAsia="宋体" w:cs="Times New Roman"/>
                <w:b/>
                <w:bCs/>
                <w:i w:val="0"/>
                <w:iCs w:val="0"/>
                <w:color w:val="000000"/>
                <w:kern w:val="0"/>
                <w:sz w:val="22"/>
                <w:szCs w:val="22"/>
                <w:u w:val="none"/>
                <w:lang w:val="en-US" w:eastAsia="zh-CN" w:bidi="ar"/>
              </w:rPr>
              <w:t>5781</w:t>
            </w:r>
          </w:p>
        </w:tc>
        <w:tc>
          <w:tcPr>
            <w:tcW w:w="766" w:type="dxa"/>
            <w:noWrap w:val="0"/>
            <w:vAlign w:val="center"/>
          </w:tcPr>
          <w:p>
            <w:pPr>
              <w:widowControl/>
              <w:jc w:val="right"/>
              <w:textAlignment w:val="bottom"/>
              <w:rPr>
                <w:b/>
                <w:bCs/>
                <w:color w:val="000000"/>
              </w:rPr>
            </w:pPr>
            <w:r>
              <w:rPr>
                <w:rFonts w:hint="default" w:ascii="Times New Roman" w:hAnsi="Times New Roman" w:eastAsia="宋体" w:cs="Times New Roman"/>
                <w:b/>
                <w:bCs/>
                <w:i w:val="0"/>
                <w:iCs w:val="0"/>
                <w:color w:val="000000"/>
                <w:kern w:val="0"/>
                <w:sz w:val="22"/>
                <w:szCs w:val="22"/>
                <w:u w:val="none"/>
                <w:lang w:val="en-US" w:eastAsia="zh-CN" w:bidi="ar"/>
              </w:rPr>
              <w:t>5988</w:t>
            </w:r>
          </w:p>
        </w:tc>
        <w:tc>
          <w:tcPr>
            <w:tcW w:w="766" w:type="dxa"/>
            <w:noWrap w:val="0"/>
            <w:vAlign w:val="center"/>
          </w:tcPr>
          <w:p>
            <w:pPr>
              <w:widowControl/>
              <w:jc w:val="right"/>
              <w:textAlignment w:val="bottom"/>
              <w:rPr>
                <w:b/>
                <w:bCs/>
                <w:color w:val="000000"/>
              </w:rPr>
            </w:pPr>
            <w:r>
              <w:rPr>
                <w:rFonts w:hint="default" w:ascii="Times New Roman" w:hAnsi="Times New Roman" w:eastAsia="宋体" w:cs="Times New Roman"/>
                <w:b/>
                <w:bCs/>
                <w:i w:val="0"/>
                <w:iCs w:val="0"/>
                <w:color w:val="000000"/>
                <w:kern w:val="0"/>
                <w:sz w:val="22"/>
                <w:szCs w:val="22"/>
                <w:u w:val="none"/>
                <w:lang w:val="en-US" w:eastAsia="zh-CN" w:bidi="ar"/>
              </w:rPr>
              <w:t>5635</w:t>
            </w:r>
          </w:p>
        </w:tc>
      </w:tr>
    </w:tbl>
    <w:p>
      <w:pPr>
        <w:numPr>
          <w:ilvl w:val="0"/>
          <w:numId w:val="0"/>
        </w:numPr>
        <w:spacing w:before="156"/>
        <w:ind w:firstLine="420" w:firstLineChars="200"/>
        <w:rPr>
          <w:rFonts w:hint="eastAsia"/>
        </w:rPr>
      </w:pPr>
    </w:p>
    <w:p>
      <w:pPr>
        <w:pStyle w:val="37"/>
        <w:numPr>
          <w:ilvl w:val="0"/>
          <w:numId w:val="0"/>
        </w:numPr>
        <w:spacing w:before="156"/>
        <w:ind w:firstLine="640" w:firstLineChars="200"/>
        <w:rPr>
          <w:rFonts w:hint="eastAsia" w:ascii="楷体_GB2312" w:hAnsi="楷体_GB2312" w:eastAsia="楷体_GB2312" w:cs="楷体_GB2312"/>
          <w:b w:val="0"/>
          <w:bCs w:val="0"/>
        </w:rPr>
      </w:pPr>
      <w:bookmarkStart w:id="10" w:name="_Toc31355"/>
      <w:r>
        <w:rPr>
          <w:rFonts w:hint="eastAsia" w:ascii="楷体_GB2312" w:hAnsi="楷体_GB2312" w:eastAsia="楷体_GB2312" w:cs="楷体_GB2312"/>
          <w:b w:val="0"/>
          <w:bCs w:val="0"/>
        </w:rPr>
        <w:t>（六）管理人员的工资最高，普工最低</w:t>
      </w:r>
      <w:bookmarkEnd w:id="10"/>
    </w:p>
    <w:p>
      <w:pPr>
        <w:spacing w:before="0" w:beforeLines="-2147483648"/>
        <w:ind w:firstLine="640" w:firstLineChars="200"/>
        <w:rPr>
          <w:rFonts w:eastAsia="仿宋_GB2312"/>
          <w:color w:val="000000"/>
          <w:sz w:val="32"/>
          <w:szCs w:val="32"/>
        </w:rPr>
      </w:pPr>
      <w:r>
        <w:rPr>
          <w:rFonts w:hint="default" w:eastAsia="仿宋_GB2312"/>
          <w:color w:val="000000"/>
          <w:kern w:val="2"/>
          <w:sz w:val="32"/>
          <w:szCs w:val="32"/>
          <w:lang w:eastAsia="zh-CN"/>
        </w:rPr>
        <w:t>2023年</w:t>
      </w:r>
      <w:r>
        <w:rPr>
          <w:rFonts w:hint="default" w:eastAsia="仿宋_GB2312"/>
          <w:color w:val="000000"/>
          <w:kern w:val="2"/>
          <w:sz w:val="32"/>
          <w:szCs w:val="32"/>
        </w:rPr>
        <w:t>样本企业中</w:t>
      </w:r>
      <w:r>
        <w:rPr>
          <w:rFonts w:eastAsia="仿宋_GB2312"/>
          <w:color w:val="000000"/>
          <w:kern w:val="2"/>
          <w:sz w:val="32"/>
          <w:szCs w:val="32"/>
        </w:rPr>
        <w:t>，工资水平从高到低依次为管理人员、专业技术人员、技工和普工。分岗位来看，</w:t>
      </w:r>
      <w:r>
        <w:rPr>
          <w:rFonts w:eastAsia="仿宋_GB2312"/>
          <w:color w:val="000000"/>
          <w:sz w:val="32"/>
          <w:szCs w:val="32"/>
        </w:rPr>
        <w:t>管理人员各季度平均工资在</w:t>
      </w:r>
      <w:r>
        <w:rPr>
          <w:rFonts w:hint="default" w:eastAsia="仿宋_GB2312"/>
          <w:color w:val="000000"/>
          <w:sz w:val="32"/>
          <w:szCs w:val="32"/>
        </w:rPr>
        <w:t>67</w:t>
      </w:r>
      <w:r>
        <w:rPr>
          <w:rFonts w:eastAsia="仿宋_GB2312"/>
          <w:color w:val="000000"/>
          <w:sz w:val="32"/>
          <w:szCs w:val="32"/>
        </w:rPr>
        <w:t>00</w:t>
      </w:r>
      <w:r>
        <w:rPr>
          <w:rFonts w:hint="default" w:eastAsia="仿宋_GB2312"/>
          <w:color w:val="000000"/>
          <w:sz w:val="32"/>
          <w:szCs w:val="32"/>
        </w:rPr>
        <w:t>-7</w:t>
      </w:r>
      <w:r>
        <w:rPr>
          <w:rFonts w:hint="default" w:eastAsia="仿宋_GB2312"/>
          <w:color w:val="000000"/>
          <w:sz w:val="32"/>
          <w:szCs w:val="32"/>
          <w:lang w:val="en-US" w:eastAsia="zh-CN"/>
        </w:rPr>
        <w:t>9</w:t>
      </w:r>
      <w:r>
        <w:rPr>
          <w:rFonts w:hint="default" w:eastAsia="仿宋_GB2312"/>
          <w:color w:val="000000"/>
          <w:sz w:val="32"/>
          <w:szCs w:val="32"/>
        </w:rPr>
        <w:t>00</w:t>
      </w:r>
      <w:r>
        <w:rPr>
          <w:rFonts w:eastAsia="仿宋_GB2312"/>
          <w:color w:val="000000"/>
          <w:sz w:val="32"/>
          <w:szCs w:val="32"/>
        </w:rPr>
        <w:t>元</w:t>
      </w:r>
      <w:r>
        <w:rPr>
          <w:rFonts w:hint="default" w:eastAsia="仿宋_GB2312"/>
          <w:color w:val="000000"/>
          <w:sz w:val="32"/>
          <w:szCs w:val="32"/>
        </w:rPr>
        <w:t>之间</w:t>
      </w:r>
      <w:r>
        <w:rPr>
          <w:rFonts w:eastAsia="仿宋_GB2312"/>
          <w:color w:val="000000"/>
          <w:sz w:val="32"/>
          <w:szCs w:val="32"/>
        </w:rPr>
        <w:t>，专业技术人员各季度平均工资在</w:t>
      </w:r>
      <w:r>
        <w:rPr>
          <w:rFonts w:hint="default" w:eastAsia="仿宋_GB2312"/>
          <w:color w:val="000000"/>
          <w:sz w:val="32"/>
          <w:szCs w:val="32"/>
          <w:lang w:val="en-US" w:eastAsia="zh-CN"/>
        </w:rPr>
        <w:t>69</w:t>
      </w:r>
      <w:r>
        <w:rPr>
          <w:rFonts w:eastAsia="仿宋_GB2312"/>
          <w:color w:val="000000"/>
          <w:sz w:val="32"/>
          <w:szCs w:val="32"/>
        </w:rPr>
        <w:t>00</w:t>
      </w:r>
      <w:r>
        <w:rPr>
          <w:rFonts w:hint="default" w:eastAsia="仿宋_GB2312"/>
          <w:color w:val="000000"/>
          <w:sz w:val="32"/>
          <w:szCs w:val="32"/>
        </w:rPr>
        <w:t>-</w:t>
      </w:r>
      <w:r>
        <w:rPr>
          <w:rFonts w:hint="default" w:eastAsia="仿宋_GB2312"/>
          <w:color w:val="000000"/>
          <w:sz w:val="32"/>
          <w:szCs w:val="32"/>
          <w:lang w:val="en-US" w:eastAsia="zh-CN"/>
        </w:rPr>
        <w:t>73</w:t>
      </w:r>
      <w:r>
        <w:rPr>
          <w:rFonts w:hint="default" w:eastAsia="仿宋_GB2312"/>
          <w:color w:val="000000"/>
          <w:sz w:val="32"/>
          <w:szCs w:val="32"/>
        </w:rPr>
        <w:t>00</w:t>
      </w:r>
      <w:r>
        <w:rPr>
          <w:rFonts w:eastAsia="仿宋_GB2312"/>
          <w:color w:val="000000"/>
          <w:sz w:val="32"/>
          <w:szCs w:val="32"/>
        </w:rPr>
        <w:t>元</w:t>
      </w:r>
      <w:r>
        <w:rPr>
          <w:rFonts w:hint="default" w:eastAsia="仿宋_GB2312"/>
          <w:color w:val="000000"/>
          <w:sz w:val="32"/>
          <w:szCs w:val="32"/>
        </w:rPr>
        <w:t>之间</w:t>
      </w:r>
      <w:r>
        <w:rPr>
          <w:rFonts w:eastAsia="仿宋_GB2312"/>
          <w:color w:val="000000"/>
          <w:sz w:val="32"/>
          <w:szCs w:val="32"/>
        </w:rPr>
        <w:t>，技工各季度平均工资在4</w:t>
      </w:r>
      <w:r>
        <w:rPr>
          <w:rFonts w:hint="default" w:eastAsia="仿宋_GB2312"/>
          <w:color w:val="000000"/>
          <w:sz w:val="32"/>
          <w:szCs w:val="32"/>
          <w:lang w:val="en-US" w:eastAsia="zh-CN"/>
        </w:rPr>
        <w:t>8</w:t>
      </w:r>
      <w:r>
        <w:rPr>
          <w:rFonts w:eastAsia="仿宋_GB2312"/>
          <w:color w:val="000000"/>
          <w:sz w:val="32"/>
          <w:szCs w:val="32"/>
        </w:rPr>
        <w:t>00-</w:t>
      </w:r>
      <w:r>
        <w:rPr>
          <w:rFonts w:hint="default" w:eastAsia="仿宋_GB2312"/>
          <w:color w:val="000000"/>
          <w:sz w:val="32"/>
          <w:szCs w:val="32"/>
          <w:lang w:val="en-US" w:eastAsia="zh-CN"/>
        </w:rPr>
        <w:t>58</w:t>
      </w:r>
      <w:r>
        <w:rPr>
          <w:rFonts w:eastAsia="仿宋_GB2312"/>
          <w:color w:val="000000"/>
          <w:sz w:val="32"/>
          <w:szCs w:val="32"/>
        </w:rPr>
        <w:t>00元</w:t>
      </w:r>
      <w:r>
        <w:rPr>
          <w:rFonts w:hint="default" w:eastAsia="仿宋_GB2312"/>
          <w:color w:val="000000"/>
          <w:sz w:val="32"/>
          <w:szCs w:val="32"/>
        </w:rPr>
        <w:t>之间</w:t>
      </w:r>
      <w:r>
        <w:rPr>
          <w:rFonts w:eastAsia="仿宋_GB2312"/>
          <w:color w:val="000000"/>
          <w:sz w:val="32"/>
          <w:szCs w:val="32"/>
        </w:rPr>
        <w:t>，普工各季度平均工资在4</w:t>
      </w:r>
      <w:r>
        <w:rPr>
          <w:rFonts w:hint="default" w:eastAsia="仿宋_GB2312"/>
          <w:color w:val="000000"/>
          <w:sz w:val="32"/>
          <w:szCs w:val="32"/>
          <w:lang w:val="en-US" w:eastAsia="zh-CN"/>
        </w:rPr>
        <w:t>1</w:t>
      </w:r>
      <w:r>
        <w:rPr>
          <w:rFonts w:eastAsia="仿宋_GB2312"/>
          <w:color w:val="000000"/>
          <w:sz w:val="32"/>
          <w:szCs w:val="32"/>
        </w:rPr>
        <w:t>00</w:t>
      </w:r>
      <w:r>
        <w:rPr>
          <w:rFonts w:hint="default" w:eastAsia="仿宋_GB2312"/>
          <w:color w:val="000000"/>
          <w:sz w:val="32"/>
          <w:szCs w:val="32"/>
        </w:rPr>
        <w:t>-</w:t>
      </w:r>
      <w:r>
        <w:rPr>
          <w:rFonts w:hint="default" w:eastAsia="仿宋_GB2312"/>
          <w:color w:val="000000"/>
          <w:sz w:val="32"/>
          <w:szCs w:val="32"/>
          <w:lang w:val="en-US" w:eastAsia="zh-CN"/>
        </w:rPr>
        <w:t>55</w:t>
      </w:r>
      <w:r>
        <w:rPr>
          <w:rFonts w:hint="default" w:eastAsia="仿宋_GB2312"/>
          <w:color w:val="000000"/>
          <w:sz w:val="32"/>
          <w:szCs w:val="32"/>
        </w:rPr>
        <w:t>00</w:t>
      </w:r>
      <w:r>
        <w:rPr>
          <w:rFonts w:eastAsia="仿宋_GB2312"/>
          <w:color w:val="000000"/>
          <w:sz w:val="32"/>
          <w:szCs w:val="32"/>
        </w:rPr>
        <w:t>元</w:t>
      </w:r>
      <w:r>
        <w:rPr>
          <w:rFonts w:hint="default" w:eastAsia="仿宋_GB2312"/>
          <w:color w:val="000000"/>
          <w:sz w:val="32"/>
          <w:szCs w:val="32"/>
        </w:rPr>
        <w:t>之间</w:t>
      </w:r>
      <w:r>
        <w:rPr>
          <w:rFonts w:eastAsia="仿宋_GB2312"/>
          <w:color w:val="000000"/>
          <w:sz w:val="32"/>
          <w:szCs w:val="32"/>
        </w:rPr>
        <w:t>（见表</w:t>
      </w:r>
      <w:r>
        <w:rPr>
          <w:rFonts w:hint="eastAsia" w:eastAsia="仿宋_GB2312"/>
          <w:color w:val="000000"/>
          <w:sz w:val="32"/>
          <w:szCs w:val="32"/>
          <w:lang w:eastAsia="zh-CN"/>
        </w:rPr>
        <w:t>1</w:t>
      </w:r>
      <w:r>
        <w:rPr>
          <w:rFonts w:hint="eastAsia" w:eastAsia="仿宋_GB2312"/>
          <w:color w:val="000000"/>
          <w:sz w:val="32"/>
          <w:szCs w:val="32"/>
          <w:lang w:val="en-US" w:eastAsia="zh-CN"/>
        </w:rPr>
        <w:t>4</w:t>
      </w:r>
      <w:r>
        <w:rPr>
          <w:rFonts w:eastAsia="仿宋_GB2312"/>
          <w:color w:val="000000"/>
          <w:sz w:val="32"/>
          <w:szCs w:val="32"/>
        </w:rPr>
        <w:t>）。</w:t>
      </w:r>
    </w:p>
    <w:p>
      <w:pPr>
        <w:pStyle w:val="39"/>
        <w:numPr>
          <w:ilvl w:val="0"/>
          <w:numId w:val="0"/>
        </w:numPr>
        <w:rPr>
          <w:rFonts w:hint="eastAsia" w:eastAsia="宋体"/>
        </w:rPr>
      </w:pPr>
    </w:p>
    <w:p>
      <w:pPr>
        <w:pStyle w:val="39"/>
        <w:numPr>
          <w:ilvl w:val="0"/>
          <w:numId w:val="0"/>
        </w:numPr>
        <w:rPr>
          <w:rFonts w:eastAsia="宋体"/>
        </w:rPr>
      </w:pPr>
      <w:r>
        <w:rPr>
          <w:rFonts w:hint="eastAsia" w:eastAsia="宋体"/>
        </w:rPr>
        <w:t>表</w:t>
      </w:r>
      <w:r>
        <w:rPr>
          <w:rFonts w:hint="eastAsia" w:eastAsia="宋体"/>
          <w:lang w:val="en-US" w:eastAsia="zh-CN"/>
        </w:rPr>
        <w:t>14</w:t>
      </w:r>
      <w:r>
        <w:rPr>
          <w:rFonts w:hint="eastAsia" w:eastAsia="宋体"/>
        </w:rPr>
        <w:t>：</w:t>
      </w:r>
      <w:r>
        <w:rPr>
          <w:rFonts w:hint="eastAsia" w:eastAsia="宋体"/>
          <w:lang w:eastAsia="zh-CN"/>
        </w:rPr>
        <w:t>2023年</w:t>
      </w:r>
      <w:r>
        <w:rPr>
          <w:rFonts w:hint="eastAsia" w:eastAsia="宋体"/>
        </w:rPr>
        <w:t>样本企业中</w:t>
      </w:r>
      <w:r>
        <w:rPr>
          <w:rFonts w:eastAsia="宋体"/>
        </w:rPr>
        <w:t>样本企业分</w:t>
      </w:r>
      <w:r>
        <w:rPr>
          <w:rFonts w:hint="eastAsia" w:eastAsia="宋体"/>
          <w:lang w:val="en-US" w:eastAsia="zh-CN"/>
        </w:rPr>
        <w:t>工种</w:t>
      </w:r>
      <w:r>
        <w:rPr>
          <w:rFonts w:eastAsia="宋体"/>
        </w:rPr>
        <w:t>工资水平</w:t>
      </w:r>
    </w:p>
    <w:p>
      <w:pPr>
        <w:jc w:val="right"/>
        <w:rPr>
          <w:b/>
          <w:sz w:val="24"/>
        </w:rPr>
      </w:pPr>
      <w:r>
        <w:rPr>
          <w:b/>
          <w:sz w:val="24"/>
        </w:rPr>
        <w:t>单位：元</w:t>
      </w:r>
    </w:p>
    <w:tbl>
      <w:tblPr>
        <w:tblStyle w:val="13"/>
        <w:tblW w:w="997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899"/>
        <w:gridCol w:w="899"/>
        <w:gridCol w:w="990"/>
        <w:gridCol w:w="1062"/>
        <w:gridCol w:w="1211"/>
        <w:gridCol w:w="984"/>
        <w:gridCol w:w="1114"/>
        <w:gridCol w:w="124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72" w:type="dxa"/>
            <w:vMerge w:val="restart"/>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岗位</w:t>
            </w:r>
          </w:p>
        </w:tc>
        <w:tc>
          <w:tcPr>
            <w:tcW w:w="3850" w:type="dxa"/>
            <w:gridSpan w:val="4"/>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月工资中位数的平均值</w:t>
            </w:r>
          </w:p>
        </w:tc>
        <w:tc>
          <w:tcPr>
            <w:tcW w:w="4553" w:type="dxa"/>
            <w:gridSpan w:val="4"/>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月工资平均数的平均值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2" w:type="dxa"/>
            <w:vMerge w:val="continue"/>
            <w:shd w:val="clear" w:color="auto" w:fill="92CDDC" w:themeFill="accent5" w:themeFillTint="99"/>
            <w:noWrap w:val="0"/>
            <w:vAlign w:val="center"/>
          </w:tcPr>
          <w:p>
            <w:pPr>
              <w:widowControl/>
              <w:rPr>
                <w:b/>
                <w:bCs/>
                <w:color w:val="000000"/>
                <w:kern w:val="0"/>
                <w:szCs w:val="21"/>
              </w:rPr>
            </w:pPr>
          </w:p>
        </w:tc>
        <w:tc>
          <w:tcPr>
            <w:tcW w:w="899"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1季度</w:t>
            </w:r>
          </w:p>
        </w:tc>
        <w:tc>
          <w:tcPr>
            <w:tcW w:w="899"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2季度</w:t>
            </w:r>
          </w:p>
        </w:tc>
        <w:tc>
          <w:tcPr>
            <w:tcW w:w="990"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3季度</w:t>
            </w:r>
          </w:p>
        </w:tc>
        <w:tc>
          <w:tcPr>
            <w:tcW w:w="1062"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4季度</w:t>
            </w:r>
          </w:p>
        </w:tc>
        <w:tc>
          <w:tcPr>
            <w:tcW w:w="1211"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1季度</w:t>
            </w:r>
          </w:p>
        </w:tc>
        <w:tc>
          <w:tcPr>
            <w:tcW w:w="984"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2季度</w:t>
            </w:r>
          </w:p>
        </w:tc>
        <w:tc>
          <w:tcPr>
            <w:tcW w:w="1114"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3季度</w:t>
            </w:r>
          </w:p>
        </w:tc>
        <w:tc>
          <w:tcPr>
            <w:tcW w:w="1244" w:type="dxa"/>
            <w:shd w:val="clear" w:color="auto" w:fill="92CDDC" w:themeFill="accent5" w:themeFillTint="99"/>
            <w:noWrap w:val="0"/>
            <w:vAlign w:val="center"/>
          </w:tcPr>
          <w:p>
            <w:pPr>
              <w:widowControl/>
              <w:jc w:val="center"/>
              <w:rPr>
                <w:b/>
                <w:bCs/>
                <w:color w:val="000000"/>
                <w:kern w:val="0"/>
                <w:szCs w:val="21"/>
              </w:rPr>
            </w:pPr>
            <w:r>
              <w:rPr>
                <w:b/>
                <w:bCs/>
                <w:color w:val="000000"/>
                <w:kern w:val="0"/>
                <w:szCs w:val="21"/>
              </w:rPr>
              <w:t>4季度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普工</w:t>
            </w:r>
          </w:p>
        </w:tc>
        <w:tc>
          <w:tcPr>
            <w:tcW w:w="899" w:type="dxa"/>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4147.67 </w:t>
            </w:r>
          </w:p>
        </w:tc>
        <w:tc>
          <w:tcPr>
            <w:tcW w:w="899"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4295.58 </w:t>
            </w:r>
          </w:p>
        </w:tc>
        <w:tc>
          <w:tcPr>
            <w:tcW w:w="990"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4542.79 </w:t>
            </w:r>
          </w:p>
        </w:tc>
        <w:tc>
          <w:tcPr>
            <w:tcW w:w="106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8234.55 </w:t>
            </w:r>
          </w:p>
        </w:tc>
        <w:tc>
          <w:tcPr>
            <w:tcW w:w="121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4194.48 </w:t>
            </w:r>
          </w:p>
        </w:tc>
        <w:tc>
          <w:tcPr>
            <w:tcW w:w="984"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4344.76 </w:t>
            </w:r>
          </w:p>
        </w:tc>
        <w:tc>
          <w:tcPr>
            <w:tcW w:w="1114"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5487.92 </w:t>
            </w:r>
          </w:p>
        </w:tc>
        <w:tc>
          <w:tcPr>
            <w:tcW w:w="1244"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5011.60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技工</w:t>
            </w:r>
          </w:p>
        </w:tc>
        <w:tc>
          <w:tcPr>
            <w:tcW w:w="899"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4803.56 </w:t>
            </w:r>
          </w:p>
        </w:tc>
        <w:tc>
          <w:tcPr>
            <w:tcW w:w="899"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5024.74 </w:t>
            </w:r>
          </w:p>
        </w:tc>
        <w:tc>
          <w:tcPr>
            <w:tcW w:w="990"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5261.35 </w:t>
            </w:r>
          </w:p>
        </w:tc>
        <w:tc>
          <w:tcPr>
            <w:tcW w:w="106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5285.31 </w:t>
            </w:r>
          </w:p>
        </w:tc>
        <w:tc>
          <w:tcPr>
            <w:tcW w:w="121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4873.16 </w:t>
            </w:r>
          </w:p>
        </w:tc>
        <w:tc>
          <w:tcPr>
            <w:tcW w:w="984"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5095.80 </w:t>
            </w:r>
          </w:p>
        </w:tc>
        <w:tc>
          <w:tcPr>
            <w:tcW w:w="1114"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5725.75 </w:t>
            </w:r>
          </w:p>
        </w:tc>
        <w:tc>
          <w:tcPr>
            <w:tcW w:w="1244"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5760.61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专业技术人员</w:t>
            </w:r>
          </w:p>
        </w:tc>
        <w:tc>
          <w:tcPr>
            <w:tcW w:w="899"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6606.07 </w:t>
            </w:r>
          </w:p>
        </w:tc>
        <w:tc>
          <w:tcPr>
            <w:tcW w:w="899"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6620.63 </w:t>
            </w:r>
          </w:p>
        </w:tc>
        <w:tc>
          <w:tcPr>
            <w:tcW w:w="990"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6598.95 </w:t>
            </w:r>
          </w:p>
        </w:tc>
        <w:tc>
          <w:tcPr>
            <w:tcW w:w="106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6666.66 </w:t>
            </w:r>
          </w:p>
        </w:tc>
        <w:tc>
          <w:tcPr>
            <w:tcW w:w="121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7018.71 </w:t>
            </w:r>
          </w:p>
        </w:tc>
        <w:tc>
          <w:tcPr>
            <w:tcW w:w="984"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6953.06 </w:t>
            </w:r>
          </w:p>
        </w:tc>
        <w:tc>
          <w:tcPr>
            <w:tcW w:w="1114"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7172.60 </w:t>
            </w:r>
          </w:p>
        </w:tc>
        <w:tc>
          <w:tcPr>
            <w:tcW w:w="1244"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7287.75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管理人员</w:t>
            </w:r>
          </w:p>
        </w:tc>
        <w:tc>
          <w:tcPr>
            <w:tcW w:w="899"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6493.40 </w:t>
            </w:r>
          </w:p>
        </w:tc>
        <w:tc>
          <w:tcPr>
            <w:tcW w:w="899"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6674.34 </w:t>
            </w:r>
          </w:p>
        </w:tc>
        <w:tc>
          <w:tcPr>
            <w:tcW w:w="990"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6939.12 </w:t>
            </w:r>
          </w:p>
        </w:tc>
        <w:tc>
          <w:tcPr>
            <w:tcW w:w="106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7012.25 </w:t>
            </w:r>
          </w:p>
        </w:tc>
        <w:tc>
          <w:tcPr>
            <w:tcW w:w="121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6744.90 </w:t>
            </w:r>
          </w:p>
        </w:tc>
        <w:tc>
          <w:tcPr>
            <w:tcW w:w="984"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7111.23 </w:t>
            </w:r>
          </w:p>
        </w:tc>
        <w:tc>
          <w:tcPr>
            <w:tcW w:w="1114"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7752.85 </w:t>
            </w:r>
          </w:p>
        </w:tc>
        <w:tc>
          <w:tcPr>
            <w:tcW w:w="1244"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7894.60 </w:t>
            </w:r>
          </w:p>
        </w:tc>
      </w:tr>
    </w:tbl>
    <w:p>
      <w:pPr>
        <w:numPr>
          <w:ilvl w:val="0"/>
          <w:numId w:val="0"/>
        </w:numPr>
        <w:spacing w:before="156"/>
        <w:ind w:firstLine="420" w:firstLineChars="200"/>
        <w:rPr>
          <w:rFonts w:hint="eastAsia"/>
        </w:rPr>
      </w:pPr>
    </w:p>
    <w:p>
      <w:pPr>
        <w:pStyle w:val="37"/>
        <w:numPr>
          <w:ilvl w:val="0"/>
          <w:numId w:val="0"/>
        </w:numPr>
        <w:spacing w:before="156"/>
        <w:ind w:firstLine="640" w:firstLineChars="200"/>
        <w:rPr>
          <w:rFonts w:hint="eastAsia" w:ascii="楷体_GB2312" w:hAnsi="楷体_GB2312" w:eastAsia="楷体_GB2312" w:cs="楷体_GB2312"/>
          <w:b w:val="0"/>
          <w:bCs w:val="0"/>
        </w:rPr>
      </w:pPr>
      <w:bookmarkStart w:id="11" w:name="_Toc19393"/>
      <w:r>
        <w:rPr>
          <w:rFonts w:hint="eastAsia" w:ascii="楷体_GB2312" w:hAnsi="楷体_GB2312" w:eastAsia="楷体_GB2312" w:cs="楷体_GB2312"/>
          <w:b w:val="0"/>
          <w:bCs w:val="0"/>
        </w:rPr>
        <w:t>（七）各行业不同季度间工资水平变化有所不同</w:t>
      </w:r>
      <w:bookmarkEnd w:id="11"/>
    </w:p>
    <w:p>
      <w:pPr>
        <w:ind w:firstLine="640" w:firstLineChars="200"/>
        <w:rPr>
          <w:rFonts w:eastAsia="仿宋_GB2312"/>
          <w:color w:val="000000"/>
          <w:sz w:val="32"/>
          <w:szCs w:val="32"/>
        </w:rPr>
      </w:pPr>
      <w:r>
        <w:rPr>
          <w:rFonts w:hint="default" w:eastAsia="仿宋_GB2312"/>
          <w:color w:val="000000"/>
          <w:sz w:val="32"/>
          <w:szCs w:val="32"/>
          <w:lang w:eastAsia="zh-CN"/>
        </w:rPr>
        <w:t>2023年</w:t>
      </w:r>
      <w:r>
        <w:rPr>
          <w:rFonts w:hint="default" w:eastAsia="仿宋_GB2312"/>
          <w:color w:val="000000"/>
          <w:sz w:val="32"/>
          <w:szCs w:val="32"/>
        </w:rPr>
        <w:t>样本企业中</w:t>
      </w:r>
      <w:r>
        <w:rPr>
          <w:rFonts w:eastAsia="仿宋_GB2312"/>
          <w:color w:val="000000"/>
          <w:sz w:val="32"/>
          <w:szCs w:val="32"/>
        </w:rPr>
        <w:t>，从月工资中位数的平均值看，各季度在4</w:t>
      </w:r>
      <w:r>
        <w:rPr>
          <w:rFonts w:hint="default" w:eastAsia="仿宋_GB2312"/>
          <w:color w:val="000000"/>
          <w:sz w:val="32"/>
          <w:szCs w:val="32"/>
          <w:lang w:val="en-US" w:eastAsia="zh-CN"/>
        </w:rPr>
        <w:t>7</w:t>
      </w:r>
      <w:r>
        <w:rPr>
          <w:rFonts w:eastAsia="仿宋_GB2312"/>
          <w:color w:val="000000"/>
          <w:sz w:val="32"/>
          <w:szCs w:val="32"/>
        </w:rPr>
        <w:t>00-</w:t>
      </w:r>
      <w:r>
        <w:rPr>
          <w:rFonts w:hint="default" w:eastAsia="仿宋_GB2312"/>
          <w:color w:val="000000"/>
          <w:sz w:val="32"/>
          <w:szCs w:val="32"/>
          <w:lang w:val="en-US" w:eastAsia="zh-CN"/>
        </w:rPr>
        <w:t>66</w:t>
      </w:r>
      <w:r>
        <w:rPr>
          <w:rFonts w:eastAsia="仿宋_GB2312"/>
          <w:color w:val="000000"/>
          <w:sz w:val="32"/>
          <w:szCs w:val="32"/>
        </w:rPr>
        <w:t>00元</w:t>
      </w:r>
      <w:r>
        <w:rPr>
          <w:rFonts w:hint="default" w:eastAsia="仿宋_GB2312"/>
          <w:color w:val="000000"/>
          <w:sz w:val="32"/>
          <w:szCs w:val="32"/>
        </w:rPr>
        <w:t>之间</w:t>
      </w:r>
      <w:r>
        <w:rPr>
          <w:rFonts w:eastAsia="仿宋_GB2312"/>
          <w:color w:val="000000"/>
          <w:sz w:val="32"/>
          <w:szCs w:val="32"/>
        </w:rPr>
        <w:t>；从月平均工资的平均值看，各季度在</w:t>
      </w:r>
      <w:r>
        <w:rPr>
          <w:rFonts w:hint="default" w:eastAsia="仿宋_GB2312"/>
          <w:color w:val="000000"/>
          <w:sz w:val="32"/>
          <w:szCs w:val="32"/>
          <w:lang w:val="en-US" w:eastAsia="zh-CN"/>
        </w:rPr>
        <w:t>52</w:t>
      </w:r>
      <w:r>
        <w:rPr>
          <w:rFonts w:eastAsia="仿宋_GB2312"/>
          <w:color w:val="000000"/>
          <w:sz w:val="32"/>
          <w:szCs w:val="32"/>
        </w:rPr>
        <w:t>00-</w:t>
      </w:r>
      <w:r>
        <w:rPr>
          <w:rFonts w:hint="default" w:eastAsia="仿宋_GB2312"/>
          <w:color w:val="000000"/>
          <w:sz w:val="32"/>
          <w:szCs w:val="32"/>
          <w:lang w:val="en-US" w:eastAsia="zh-CN"/>
        </w:rPr>
        <w:t>63</w:t>
      </w:r>
      <w:r>
        <w:rPr>
          <w:rFonts w:eastAsia="仿宋_GB2312"/>
          <w:color w:val="000000"/>
          <w:sz w:val="32"/>
          <w:szCs w:val="32"/>
        </w:rPr>
        <w:t>00元</w:t>
      </w:r>
      <w:r>
        <w:rPr>
          <w:rFonts w:hint="default" w:eastAsia="仿宋_GB2312"/>
          <w:color w:val="000000"/>
          <w:sz w:val="32"/>
          <w:szCs w:val="32"/>
        </w:rPr>
        <w:t>之间</w:t>
      </w:r>
      <w:r>
        <w:rPr>
          <w:rFonts w:eastAsia="仿宋_GB2312"/>
          <w:color w:val="000000"/>
          <w:sz w:val="32"/>
          <w:szCs w:val="32"/>
        </w:rPr>
        <w:t>。</w:t>
      </w:r>
      <w:r>
        <w:rPr>
          <w:rFonts w:hint="default" w:eastAsia="仿宋_GB2312"/>
          <w:color w:val="000000"/>
          <w:sz w:val="32"/>
          <w:szCs w:val="32"/>
        </w:rPr>
        <w:t>分行业</w:t>
      </w:r>
      <w:r>
        <w:rPr>
          <w:rFonts w:eastAsia="仿宋_GB2312"/>
          <w:color w:val="000000"/>
          <w:sz w:val="32"/>
          <w:szCs w:val="32"/>
        </w:rPr>
        <w:t>来看，</w:t>
      </w:r>
      <w:r>
        <w:rPr>
          <w:rFonts w:hint="default" w:eastAsia="仿宋_GB2312"/>
          <w:color w:val="000000"/>
          <w:sz w:val="32"/>
          <w:szCs w:val="32"/>
        </w:rPr>
        <w:t>除农、林、牧、渔业月工资中位数和月平均工资的平均值</w:t>
      </w:r>
      <w:r>
        <w:rPr>
          <w:rFonts w:hint="default" w:eastAsia="仿宋_GB2312"/>
          <w:color w:val="000000"/>
          <w:sz w:val="32"/>
          <w:szCs w:val="32"/>
          <w:lang w:val="en-US" w:eastAsia="zh-CN"/>
        </w:rPr>
        <w:t>的各</w:t>
      </w:r>
      <w:r>
        <w:rPr>
          <w:rFonts w:hint="default" w:eastAsia="仿宋_GB2312"/>
          <w:color w:val="000000"/>
          <w:sz w:val="32"/>
          <w:szCs w:val="32"/>
        </w:rPr>
        <w:t>季度</w:t>
      </w:r>
      <w:r>
        <w:rPr>
          <w:rFonts w:hint="default" w:eastAsia="仿宋_GB2312"/>
          <w:color w:val="000000"/>
          <w:sz w:val="32"/>
          <w:szCs w:val="32"/>
          <w:lang w:val="en-US" w:eastAsia="zh-CN"/>
        </w:rPr>
        <w:t>平均值</w:t>
      </w:r>
      <w:r>
        <w:rPr>
          <w:rFonts w:hint="default" w:eastAsia="仿宋_GB2312"/>
          <w:color w:val="000000"/>
          <w:sz w:val="32"/>
          <w:szCs w:val="32"/>
        </w:rPr>
        <w:t>为</w:t>
      </w:r>
      <w:r>
        <w:rPr>
          <w:rFonts w:hint="default" w:eastAsia="仿宋_GB2312"/>
          <w:color w:val="000000"/>
          <w:sz w:val="32"/>
          <w:szCs w:val="32"/>
          <w:lang w:val="en-US" w:eastAsia="zh-CN"/>
        </w:rPr>
        <w:t>10450</w:t>
      </w:r>
      <w:r>
        <w:rPr>
          <w:rFonts w:hint="default" w:eastAsia="仿宋_GB2312"/>
          <w:color w:val="000000"/>
          <w:sz w:val="32"/>
          <w:szCs w:val="32"/>
        </w:rPr>
        <w:t>元</w:t>
      </w:r>
      <w:r>
        <w:rPr>
          <w:rFonts w:hint="default" w:eastAsia="仿宋_GB2312"/>
          <w:color w:val="000000"/>
          <w:sz w:val="32"/>
          <w:szCs w:val="32"/>
          <w:lang w:val="en-US" w:eastAsia="zh-CN"/>
        </w:rPr>
        <w:t>和9160元</w:t>
      </w:r>
      <w:r>
        <w:rPr>
          <w:rFonts w:hint="default" w:eastAsia="仿宋_GB2312"/>
          <w:color w:val="000000"/>
          <w:sz w:val="32"/>
          <w:szCs w:val="32"/>
        </w:rPr>
        <w:t>之外，水利、环境和公共设施管理业</w:t>
      </w:r>
      <w:r>
        <w:rPr>
          <w:rFonts w:eastAsia="仿宋_GB2312"/>
          <w:color w:val="000000"/>
          <w:sz w:val="32"/>
          <w:szCs w:val="32"/>
        </w:rPr>
        <w:t>月工资中位数</w:t>
      </w:r>
      <w:r>
        <w:rPr>
          <w:rFonts w:hint="default" w:eastAsia="仿宋_GB2312"/>
          <w:color w:val="000000"/>
          <w:sz w:val="32"/>
          <w:szCs w:val="32"/>
        </w:rPr>
        <w:t>和</w:t>
      </w:r>
      <w:r>
        <w:rPr>
          <w:rFonts w:eastAsia="仿宋_GB2312"/>
          <w:color w:val="000000"/>
          <w:sz w:val="32"/>
          <w:szCs w:val="32"/>
        </w:rPr>
        <w:t>月平均工资的平均值</w:t>
      </w:r>
      <w:r>
        <w:rPr>
          <w:rFonts w:hint="default" w:eastAsia="仿宋_GB2312"/>
          <w:color w:val="000000"/>
          <w:sz w:val="32"/>
          <w:szCs w:val="32"/>
        </w:rPr>
        <w:t>较</w:t>
      </w:r>
      <w:r>
        <w:rPr>
          <w:rFonts w:eastAsia="仿宋_GB2312"/>
          <w:color w:val="000000"/>
          <w:sz w:val="32"/>
          <w:szCs w:val="32"/>
        </w:rPr>
        <w:t>高，各季度</w:t>
      </w:r>
      <w:r>
        <w:rPr>
          <w:rFonts w:hint="default" w:eastAsia="仿宋_GB2312"/>
          <w:color w:val="000000"/>
          <w:sz w:val="32"/>
          <w:szCs w:val="32"/>
        </w:rPr>
        <w:t>在8</w:t>
      </w:r>
      <w:r>
        <w:rPr>
          <w:rFonts w:eastAsia="仿宋_GB2312"/>
          <w:color w:val="000000"/>
          <w:sz w:val="32"/>
          <w:szCs w:val="32"/>
        </w:rPr>
        <w:t>000元</w:t>
      </w:r>
      <w:r>
        <w:rPr>
          <w:rFonts w:hint="default" w:eastAsia="仿宋_GB2312"/>
          <w:color w:val="000000"/>
          <w:sz w:val="32"/>
          <w:szCs w:val="32"/>
        </w:rPr>
        <w:t>以上</w:t>
      </w:r>
      <w:r>
        <w:rPr>
          <w:rFonts w:eastAsia="仿宋_GB2312"/>
          <w:color w:val="000000"/>
          <w:sz w:val="32"/>
          <w:szCs w:val="32"/>
        </w:rPr>
        <w:t>；</w:t>
      </w:r>
      <w:r>
        <w:rPr>
          <w:rFonts w:hint="default" w:eastAsia="仿宋_GB2312"/>
          <w:color w:val="000000"/>
          <w:sz w:val="32"/>
          <w:szCs w:val="32"/>
        </w:rPr>
        <w:t>卫生和社会工作</w:t>
      </w:r>
      <w:r>
        <w:rPr>
          <w:rFonts w:eastAsia="仿宋_GB2312"/>
          <w:color w:val="000000"/>
          <w:sz w:val="32"/>
          <w:szCs w:val="32"/>
        </w:rPr>
        <w:t>，</w:t>
      </w:r>
      <w:r>
        <w:rPr>
          <w:rFonts w:hint="default" w:eastAsia="仿宋_GB2312"/>
          <w:color w:val="000000"/>
          <w:sz w:val="32"/>
          <w:szCs w:val="32"/>
        </w:rPr>
        <w:t>交通运输、仓储和邮政业</w:t>
      </w:r>
      <w:r>
        <w:rPr>
          <w:rFonts w:eastAsia="仿宋_GB2312"/>
          <w:color w:val="000000"/>
          <w:sz w:val="32"/>
          <w:szCs w:val="32"/>
        </w:rPr>
        <w:t>月工资中位数</w:t>
      </w:r>
      <w:r>
        <w:rPr>
          <w:rFonts w:hint="default" w:eastAsia="仿宋_GB2312"/>
          <w:color w:val="000000"/>
          <w:sz w:val="32"/>
          <w:szCs w:val="32"/>
        </w:rPr>
        <w:t>和</w:t>
      </w:r>
      <w:r>
        <w:rPr>
          <w:rFonts w:eastAsia="仿宋_GB2312"/>
          <w:color w:val="000000"/>
          <w:sz w:val="32"/>
          <w:szCs w:val="32"/>
        </w:rPr>
        <w:t>月平均工资的平均值在</w:t>
      </w:r>
      <w:r>
        <w:rPr>
          <w:rFonts w:hint="default" w:eastAsia="仿宋_GB2312"/>
          <w:color w:val="000000"/>
          <w:sz w:val="32"/>
          <w:szCs w:val="32"/>
        </w:rPr>
        <w:t>6</w:t>
      </w:r>
      <w:r>
        <w:rPr>
          <w:rFonts w:hint="default" w:eastAsia="仿宋_GB2312"/>
          <w:color w:val="000000"/>
          <w:sz w:val="32"/>
          <w:szCs w:val="32"/>
          <w:lang w:val="en-US" w:eastAsia="zh-CN"/>
        </w:rPr>
        <w:t>4</w:t>
      </w:r>
      <w:r>
        <w:rPr>
          <w:rFonts w:eastAsia="仿宋_GB2312"/>
          <w:color w:val="000000"/>
          <w:sz w:val="32"/>
          <w:szCs w:val="32"/>
        </w:rPr>
        <w:t>00</w:t>
      </w:r>
      <w:r>
        <w:rPr>
          <w:rFonts w:hint="default" w:eastAsia="仿宋_GB2312"/>
          <w:color w:val="000000"/>
          <w:sz w:val="32"/>
          <w:szCs w:val="32"/>
          <w:lang w:val="en-US" w:eastAsia="zh-CN"/>
        </w:rPr>
        <w:t>-6700元</w:t>
      </w:r>
      <w:r>
        <w:rPr>
          <w:rFonts w:eastAsia="仿宋_GB2312"/>
          <w:color w:val="000000"/>
          <w:sz w:val="32"/>
          <w:szCs w:val="32"/>
        </w:rPr>
        <w:t>；</w:t>
      </w:r>
      <w:r>
        <w:rPr>
          <w:rFonts w:hint="default" w:eastAsia="仿宋_GB2312"/>
          <w:color w:val="000000"/>
          <w:sz w:val="32"/>
          <w:szCs w:val="32"/>
        </w:rPr>
        <w:t>信息传输、软件和信息技术服务业，文化、体育和娱乐业，租赁和商务服务业</w:t>
      </w:r>
      <w:r>
        <w:rPr>
          <w:rFonts w:eastAsia="仿宋_GB2312"/>
          <w:color w:val="000000"/>
          <w:sz w:val="32"/>
          <w:szCs w:val="32"/>
        </w:rPr>
        <w:t>的月工资中位数和月平均工资的平均值</w:t>
      </w:r>
      <w:r>
        <w:rPr>
          <w:rFonts w:hint="default" w:eastAsia="仿宋_GB2312"/>
          <w:color w:val="000000"/>
          <w:sz w:val="32"/>
          <w:szCs w:val="32"/>
        </w:rPr>
        <w:t>较</w:t>
      </w:r>
      <w:r>
        <w:rPr>
          <w:rFonts w:eastAsia="仿宋_GB2312"/>
          <w:color w:val="000000"/>
          <w:sz w:val="32"/>
          <w:szCs w:val="32"/>
        </w:rPr>
        <w:t>低，各季度在</w:t>
      </w:r>
      <w:r>
        <w:rPr>
          <w:rFonts w:hint="default" w:eastAsia="仿宋_GB2312"/>
          <w:color w:val="000000"/>
          <w:sz w:val="32"/>
          <w:szCs w:val="32"/>
        </w:rPr>
        <w:t>3000-</w:t>
      </w:r>
      <w:r>
        <w:rPr>
          <w:rFonts w:hint="default" w:eastAsia="仿宋_GB2312"/>
          <w:color w:val="000000"/>
          <w:sz w:val="32"/>
          <w:szCs w:val="32"/>
          <w:lang w:val="en-US" w:eastAsia="zh-CN"/>
        </w:rPr>
        <w:t>50</w:t>
      </w:r>
      <w:r>
        <w:rPr>
          <w:rFonts w:eastAsia="仿宋_GB2312"/>
          <w:color w:val="000000"/>
          <w:sz w:val="32"/>
          <w:szCs w:val="32"/>
        </w:rPr>
        <w:t>00元</w:t>
      </w:r>
      <w:r>
        <w:rPr>
          <w:rFonts w:hint="default" w:eastAsia="仿宋_GB2312"/>
          <w:color w:val="000000"/>
          <w:sz w:val="32"/>
          <w:szCs w:val="32"/>
        </w:rPr>
        <w:t>之间</w:t>
      </w:r>
      <w:r>
        <w:rPr>
          <w:rFonts w:eastAsia="仿宋_GB2312"/>
          <w:color w:val="000000"/>
          <w:sz w:val="32"/>
          <w:szCs w:val="32"/>
        </w:rPr>
        <w:t>（见表</w:t>
      </w:r>
      <w:r>
        <w:rPr>
          <w:rFonts w:hint="eastAsia" w:eastAsia="仿宋_GB2312"/>
          <w:color w:val="000000"/>
          <w:sz w:val="32"/>
          <w:szCs w:val="32"/>
          <w:lang w:eastAsia="zh-CN"/>
        </w:rPr>
        <w:t>1</w:t>
      </w:r>
      <w:r>
        <w:rPr>
          <w:rFonts w:hint="eastAsia" w:eastAsia="仿宋_GB2312"/>
          <w:color w:val="000000"/>
          <w:sz w:val="32"/>
          <w:szCs w:val="32"/>
          <w:lang w:val="en-US" w:eastAsia="zh-CN"/>
        </w:rPr>
        <w:t>5</w:t>
      </w:r>
      <w:r>
        <w:rPr>
          <w:rFonts w:eastAsia="仿宋_GB2312"/>
          <w:color w:val="000000"/>
          <w:sz w:val="32"/>
          <w:szCs w:val="32"/>
        </w:rPr>
        <w:t>）。</w:t>
      </w:r>
    </w:p>
    <w:p>
      <w:pPr>
        <w:pStyle w:val="39"/>
        <w:numPr>
          <w:ilvl w:val="0"/>
          <w:numId w:val="0"/>
        </w:numPr>
        <w:rPr>
          <w:rFonts w:eastAsia="宋体"/>
        </w:rPr>
      </w:pPr>
      <w:r>
        <w:rPr>
          <w:rFonts w:hint="eastAsia" w:eastAsia="宋体"/>
        </w:rPr>
        <w:t>表</w:t>
      </w:r>
      <w:r>
        <w:rPr>
          <w:rFonts w:hint="eastAsia" w:eastAsia="宋体"/>
          <w:lang w:val="en-US" w:eastAsia="zh-CN"/>
        </w:rPr>
        <w:t>15</w:t>
      </w:r>
      <w:r>
        <w:rPr>
          <w:rFonts w:hint="eastAsia" w:eastAsia="宋体"/>
        </w:rPr>
        <w:t>：</w:t>
      </w:r>
      <w:r>
        <w:rPr>
          <w:rFonts w:hint="eastAsia" w:eastAsia="宋体"/>
          <w:lang w:eastAsia="zh-CN"/>
        </w:rPr>
        <w:t>2023年</w:t>
      </w:r>
      <w:r>
        <w:rPr>
          <w:rFonts w:eastAsia="宋体"/>
        </w:rPr>
        <w:t>样本企业分行业工资水平</w:t>
      </w:r>
    </w:p>
    <w:p>
      <w:pPr>
        <w:jc w:val="right"/>
        <w:rPr>
          <w:b/>
          <w:sz w:val="24"/>
        </w:rPr>
      </w:pPr>
      <w:r>
        <w:rPr>
          <w:b/>
          <w:sz w:val="24"/>
        </w:rPr>
        <w:t>单位：元</w:t>
      </w:r>
    </w:p>
    <w:tbl>
      <w:tblPr>
        <w:tblStyle w:val="13"/>
        <w:tblW w:w="10842"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2067"/>
        <w:gridCol w:w="1118"/>
        <w:gridCol w:w="1102"/>
        <w:gridCol w:w="1118"/>
        <w:gridCol w:w="1118"/>
        <w:gridCol w:w="1059"/>
        <w:gridCol w:w="993"/>
        <w:gridCol w:w="1117"/>
        <w:gridCol w:w="1150"/>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9" w:hRule="atLeast"/>
          <w:tblHeader/>
          <w:jc w:val="center"/>
        </w:trPr>
        <w:tc>
          <w:tcPr>
            <w:tcW w:w="2067" w:type="dxa"/>
            <w:vMerge w:val="restart"/>
            <w:shd w:val="clear" w:color="auto" w:fill="92CDDC" w:themeFill="accent5" w:themeFillTint="99"/>
            <w:noWrap w:val="0"/>
            <w:vAlign w:val="center"/>
          </w:tcPr>
          <w:p>
            <w:pPr>
              <w:widowControl/>
              <w:spacing w:line="300" w:lineRule="exact"/>
              <w:jc w:val="center"/>
              <w:rPr>
                <w:b/>
                <w:bCs/>
                <w:color w:val="000000"/>
                <w:kern w:val="0"/>
                <w:szCs w:val="21"/>
              </w:rPr>
            </w:pPr>
            <w:r>
              <w:rPr>
                <w:b/>
                <w:bCs/>
                <w:color w:val="000000"/>
                <w:kern w:val="0"/>
                <w:szCs w:val="21"/>
              </w:rPr>
              <w:t>行业</w:t>
            </w:r>
          </w:p>
        </w:tc>
        <w:tc>
          <w:tcPr>
            <w:tcW w:w="4456" w:type="dxa"/>
            <w:gridSpan w:val="4"/>
            <w:shd w:val="clear" w:color="auto" w:fill="92CDDC" w:themeFill="accent5" w:themeFillTint="99"/>
            <w:noWrap w:val="0"/>
            <w:vAlign w:val="center"/>
          </w:tcPr>
          <w:p>
            <w:pPr>
              <w:widowControl/>
              <w:spacing w:line="300" w:lineRule="exact"/>
              <w:jc w:val="center"/>
              <w:rPr>
                <w:b/>
                <w:bCs/>
                <w:color w:val="000000"/>
                <w:kern w:val="0"/>
                <w:szCs w:val="21"/>
              </w:rPr>
            </w:pPr>
            <w:r>
              <w:rPr>
                <w:b/>
                <w:bCs/>
                <w:color w:val="000000"/>
                <w:kern w:val="0"/>
                <w:szCs w:val="21"/>
              </w:rPr>
              <w:t>月工资中位数的平均值</w:t>
            </w:r>
          </w:p>
        </w:tc>
        <w:tc>
          <w:tcPr>
            <w:tcW w:w="4319" w:type="dxa"/>
            <w:gridSpan w:val="4"/>
            <w:shd w:val="clear" w:color="auto" w:fill="92CDDC" w:themeFill="accent5" w:themeFillTint="99"/>
            <w:noWrap w:val="0"/>
            <w:vAlign w:val="center"/>
          </w:tcPr>
          <w:p>
            <w:pPr>
              <w:widowControl/>
              <w:spacing w:line="300" w:lineRule="exact"/>
              <w:jc w:val="center"/>
              <w:rPr>
                <w:b/>
                <w:bCs/>
                <w:color w:val="000000"/>
                <w:kern w:val="0"/>
                <w:szCs w:val="21"/>
              </w:rPr>
            </w:pPr>
            <w:r>
              <w:rPr>
                <w:b/>
                <w:bCs/>
                <w:color w:val="000000"/>
                <w:kern w:val="0"/>
                <w:szCs w:val="21"/>
              </w:rPr>
              <w:t>月平均工资的平均值</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blHeader/>
          <w:jc w:val="center"/>
        </w:trPr>
        <w:tc>
          <w:tcPr>
            <w:tcW w:w="2067" w:type="dxa"/>
            <w:vMerge w:val="continue"/>
            <w:shd w:val="clear" w:color="auto" w:fill="92CDDC" w:themeFill="accent5" w:themeFillTint="99"/>
            <w:noWrap w:val="0"/>
            <w:vAlign w:val="center"/>
          </w:tcPr>
          <w:p>
            <w:pPr>
              <w:widowControl/>
              <w:spacing w:line="300" w:lineRule="exact"/>
              <w:jc w:val="center"/>
              <w:rPr>
                <w:b/>
                <w:bCs/>
                <w:color w:val="000000"/>
                <w:kern w:val="0"/>
                <w:szCs w:val="21"/>
              </w:rPr>
            </w:pPr>
          </w:p>
        </w:tc>
        <w:tc>
          <w:tcPr>
            <w:tcW w:w="1118" w:type="dxa"/>
            <w:shd w:val="clear" w:color="auto" w:fill="92CDDC" w:themeFill="accent5" w:themeFillTint="99"/>
            <w:noWrap w:val="0"/>
            <w:vAlign w:val="center"/>
          </w:tcPr>
          <w:p>
            <w:pPr>
              <w:widowControl/>
              <w:spacing w:line="300" w:lineRule="exact"/>
              <w:jc w:val="center"/>
              <w:rPr>
                <w:b/>
                <w:bCs/>
                <w:color w:val="000000"/>
                <w:kern w:val="0"/>
                <w:szCs w:val="21"/>
              </w:rPr>
            </w:pPr>
            <w:r>
              <w:rPr>
                <w:b/>
                <w:bCs/>
                <w:color w:val="000000"/>
                <w:kern w:val="0"/>
                <w:szCs w:val="21"/>
              </w:rPr>
              <w:t>1季度</w:t>
            </w:r>
          </w:p>
        </w:tc>
        <w:tc>
          <w:tcPr>
            <w:tcW w:w="1102" w:type="dxa"/>
            <w:shd w:val="clear" w:color="auto" w:fill="92CDDC" w:themeFill="accent5" w:themeFillTint="99"/>
            <w:noWrap w:val="0"/>
            <w:vAlign w:val="center"/>
          </w:tcPr>
          <w:p>
            <w:pPr>
              <w:widowControl/>
              <w:spacing w:line="300" w:lineRule="exact"/>
              <w:jc w:val="center"/>
              <w:rPr>
                <w:b/>
                <w:bCs/>
                <w:color w:val="000000"/>
                <w:kern w:val="0"/>
                <w:szCs w:val="21"/>
              </w:rPr>
            </w:pPr>
            <w:r>
              <w:rPr>
                <w:b/>
                <w:bCs/>
                <w:color w:val="000000"/>
                <w:kern w:val="0"/>
                <w:szCs w:val="21"/>
              </w:rPr>
              <w:t>2季度</w:t>
            </w:r>
          </w:p>
        </w:tc>
        <w:tc>
          <w:tcPr>
            <w:tcW w:w="1118" w:type="dxa"/>
            <w:shd w:val="clear" w:color="auto" w:fill="92CDDC" w:themeFill="accent5" w:themeFillTint="99"/>
            <w:noWrap w:val="0"/>
            <w:vAlign w:val="center"/>
          </w:tcPr>
          <w:p>
            <w:pPr>
              <w:widowControl/>
              <w:spacing w:line="300" w:lineRule="exact"/>
              <w:jc w:val="center"/>
              <w:rPr>
                <w:b/>
                <w:bCs/>
                <w:color w:val="000000"/>
                <w:kern w:val="0"/>
                <w:szCs w:val="21"/>
              </w:rPr>
            </w:pPr>
            <w:r>
              <w:rPr>
                <w:b/>
                <w:bCs/>
                <w:color w:val="000000"/>
                <w:kern w:val="0"/>
                <w:szCs w:val="21"/>
              </w:rPr>
              <w:t>3季度</w:t>
            </w:r>
          </w:p>
        </w:tc>
        <w:tc>
          <w:tcPr>
            <w:tcW w:w="1118" w:type="dxa"/>
            <w:shd w:val="clear" w:color="auto" w:fill="92CDDC" w:themeFill="accent5" w:themeFillTint="99"/>
            <w:noWrap w:val="0"/>
            <w:vAlign w:val="center"/>
          </w:tcPr>
          <w:p>
            <w:pPr>
              <w:widowControl/>
              <w:spacing w:line="300" w:lineRule="exact"/>
              <w:jc w:val="center"/>
              <w:rPr>
                <w:b/>
                <w:bCs/>
                <w:color w:val="000000"/>
                <w:kern w:val="0"/>
                <w:szCs w:val="21"/>
              </w:rPr>
            </w:pPr>
            <w:r>
              <w:rPr>
                <w:b/>
                <w:bCs/>
                <w:color w:val="000000"/>
                <w:kern w:val="0"/>
                <w:szCs w:val="21"/>
              </w:rPr>
              <w:t>4季度</w:t>
            </w:r>
          </w:p>
        </w:tc>
        <w:tc>
          <w:tcPr>
            <w:tcW w:w="1059" w:type="dxa"/>
            <w:shd w:val="clear" w:color="auto" w:fill="92CDDC" w:themeFill="accent5" w:themeFillTint="99"/>
            <w:noWrap w:val="0"/>
            <w:vAlign w:val="center"/>
          </w:tcPr>
          <w:p>
            <w:pPr>
              <w:widowControl/>
              <w:spacing w:line="300" w:lineRule="exact"/>
              <w:jc w:val="center"/>
              <w:rPr>
                <w:b/>
                <w:bCs/>
                <w:color w:val="000000"/>
                <w:kern w:val="0"/>
                <w:szCs w:val="21"/>
              </w:rPr>
            </w:pPr>
            <w:r>
              <w:rPr>
                <w:b/>
                <w:bCs/>
                <w:color w:val="000000"/>
                <w:kern w:val="0"/>
                <w:szCs w:val="21"/>
              </w:rPr>
              <w:t>1季度</w:t>
            </w:r>
          </w:p>
        </w:tc>
        <w:tc>
          <w:tcPr>
            <w:tcW w:w="993" w:type="dxa"/>
            <w:shd w:val="clear" w:color="auto" w:fill="92CDDC" w:themeFill="accent5" w:themeFillTint="99"/>
            <w:noWrap w:val="0"/>
            <w:vAlign w:val="center"/>
          </w:tcPr>
          <w:p>
            <w:pPr>
              <w:widowControl/>
              <w:spacing w:line="300" w:lineRule="exact"/>
              <w:jc w:val="center"/>
              <w:rPr>
                <w:b/>
                <w:bCs/>
                <w:color w:val="000000"/>
                <w:kern w:val="0"/>
                <w:szCs w:val="21"/>
              </w:rPr>
            </w:pPr>
            <w:r>
              <w:rPr>
                <w:b/>
                <w:bCs/>
                <w:color w:val="000000"/>
                <w:kern w:val="0"/>
                <w:szCs w:val="21"/>
              </w:rPr>
              <w:t>2季度</w:t>
            </w:r>
          </w:p>
        </w:tc>
        <w:tc>
          <w:tcPr>
            <w:tcW w:w="1117" w:type="dxa"/>
            <w:shd w:val="clear" w:color="auto" w:fill="92CDDC" w:themeFill="accent5" w:themeFillTint="99"/>
            <w:noWrap w:val="0"/>
            <w:vAlign w:val="center"/>
          </w:tcPr>
          <w:p>
            <w:pPr>
              <w:widowControl/>
              <w:spacing w:line="300" w:lineRule="exact"/>
              <w:jc w:val="center"/>
              <w:rPr>
                <w:b/>
                <w:bCs/>
                <w:color w:val="000000"/>
                <w:kern w:val="0"/>
                <w:szCs w:val="21"/>
              </w:rPr>
            </w:pPr>
            <w:r>
              <w:rPr>
                <w:b/>
                <w:bCs/>
                <w:color w:val="000000"/>
                <w:kern w:val="0"/>
                <w:szCs w:val="21"/>
              </w:rPr>
              <w:t>3季度</w:t>
            </w:r>
          </w:p>
        </w:tc>
        <w:tc>
          <w:tcPr>
            <w:tcW w:w="1150" w:type="dxa"/>
            <w:shd w:val="clear" w:color="auto" w:fill="92CDDC" w:themeFill="accent5" w:themeFillTint="99"/>
            <w:noWrap w:val="0"/>
            <w:vAlign w:val="center"/>
          </w:tcPr>
          <w:p>
            <w:pPr>
              <w:widowControl/>
              <w:spacing w:line="300" w:lineRule="exact"/>
              <w:jc w:val="center"/>
              <w:rPr>
                <w:b/>
                <w:bCs/>
                <w:color w:val="000000"/>
                <w:kern w:val="0"/>
                <w:szCs w:val="21"/>
              </w:rPr>
            </w:pPr>
            <w:r>
              <w:rPr>
                <w:b/>
                <w:bCs/>
                <w:color w:val="000000"/>
                <w:kern w:val="0"/>
                <w:szCs w:val="21"/>
              </w:rPr>
              <w:t>4季度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067" w:type="dxa"/>
            <w:noWrap w:val="0"/>
            <w:vAlign w:val="center"/>
          </w:tcPr>
          <w:p>
            <w:pPr>
              <w:widowControl/>
              <w:jc w:val="center"/>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8500.00 </w:t>
            </w:r>
          </w:p>
        </w:tc>
        <w:tc>
          <w:tcPr>
            <w:tcW w:w="1102"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8500.00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13960.00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10841.80 </w:t>
            </w:r>
          </w:p>
        </w:tc>
        <w:tc>
          <w:tcPr>
            <w:tcW w:w="1059"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7941.00 </w:t>
            </w:r>
          </w:p>
        </w:tc>
        <w:tc>
          <w:tcPr>
            <w:tcW w:w="993"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7941.00 </w:t>
            </w:r>
          </w:p>
        </w:tc>
        <w:tc>
          <w:tcPr>
            <w:tcW w:w="1117"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10378.63 </w:t>
            </w:r>
          </w:p>
        </w:tc>
        <w:tc>
          <w:tcPr>
            <w:tcW w:w="1150"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10378.63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067" w:type="dxa"/>
            <w:noWrap w:val="0"/>
            <w:vAlign w:val="center"/>
          </w:tcPr>
          <w:p>
            <w:pPr>
              <w:widowControl/>
              <w:jc w:val="center"/>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4528.00 </w:t>
            </w:r>
          </w:p>
        </w:tc>
        <w:tc>
          <w:tcPr>
            <w:tcW w:w="1102"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4523.00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5894.19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8195.00 </w:t>
            </w:r>
          </w:p>
        </w:tc>
        <w:tc>
          <w:tcPr>
            <w:tcW w:w="1059"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5783.76 </w:t>
            </w:r>
          </w:p>
        </w:tc>
        <w:tc>
          <w:tcPr>
            <w:tcW w:w="993"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6244.71 </w:t>
            </w:r>
          </w:p>
        </w:tc>
        <w:tc>
          <w:tcPr>
            <w:tcW w:w="1117"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6867.61 </w:t>
            </w:r>
          </w:p>
        </w:tc>
        <w:tc>
          <w:tcPr>
            <w:tcW w:w="1150"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9410.88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067" w:type="dxa"/>
            <w:noWrap w:val="0"/>
            <w:vAlign w:val="center"/>
          </w:tcPr>
          <w:p>
            <w:pPr>
              <w:widowControl/>
              <w:jc w:val="center"/>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8576.00 </w:t>
            </w:r>
          </w:p>
        </w:tc>
        <w:tc>
          <w:tcPr>
            <w:tcW w:w="1102"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8341.00 </w:t>
            </w:r>
          </w:p>
        </w:tc>
        <w:tc>
          <w:tcPr>
            <w:tcW w:w="1118" w:type="dxa"/>
            <w:noWrap w:val="0"/>
            <w:vAlign w:val="center"/>
          </w:tcPr>
          <w:p>
            <w:pPr>
              <w:widowControl/>
              <w:jc w:val="center"/>
              <w:textAlignment w:val="bottom"/>
              <w:rPr>
                <w:color w:val="000000"/>
                <w:sz w:val="18"/>
                <w:szCs w:val="18"/>
              </w:rPr>
            </w:pPr>
            <w:r>
              <w:rPr>
                <w:rFonts w:hint="eastAsia" w:ascii="Times New Roman" w:hAnsi="Times New Roman" w:eastAsia="宋体" w:cs="Times New Roman"/>
                <w:i w:val="0"/>
                <w:iCs w:val="0"/>
                <w:color w:val="000000"/>
                <w:kern w:val="0"/>
                <w:sz w:val="22"/>
                <w:szCs w:val="22"/>
                <w:u w:val="none"/>
                <w:lang w:val="en-US" w:eastAsia="zh-CN" w:bidi="ar"/>
              </w:rPr>
              <w:t>——</w:t>
            </w:r>
          </w:p>
        </w:tc>
        <w:tc>
          <w:tcPr>
            <w:tcW w:w="1118" w:type="dxa"/>
            <w:noWrap w:val="0"/>
            <w:vAlign w:val="center"/>
          </w:tcPr>
          <w:p>
            <w:pPr>
              <w:widowControl/>
              <w:jc w:val="center"/>
              <w:textAlignment w:val="bottom"/>
              <w:rPr>
                <w:color w:val="000000"/>
                <w:sz w:val="18"/>
                <w:szCs w:val="18"/>
              </w:rPr>
            </w:pPr>
            <w:r>
              <w:rPr>
                <w:rFonts w:hint="eastAsia" w:ascii="Times New Roman" w:hAnsi="Times New Roman" w:eastAsia="宋体" w:cs="Times New Roman"/>
                <w:i w:val="0"/>
                <w:iCs w:val="0"/>
                <w:color w:val="000000"/>
                <w:kern w:val="0"/>
                <w:sz w:val="22"/>
                <w:szCs w:val="22"/>
                <w:u w:val="none"/>
                <w:lang w:val="en-US" w:eastAsia="zh-CN" w:bidi="ar"/>
              </w:rPr>
              <w:t>——</w:t>
            </w:r>
          </w:p>
        </w:tc>
        <w:tc>
          <w:tcPr>
            <w:tcW w:w="1059"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8589.23 </w:t>
            </w:r>
          </w:p>
        </w:tc>
        <w:tc>
          <w:tcPr>
            <w:tcW w:w="993"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9044.86 </w:t>
            </w:r>
          </w:p>
        </w:tc>
        <w:tc>
          <w:tcPr>
            <w:tcW w:w="1117"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9132.51 </w:t>
            </w:r>
          </w:p>
        </w:tc>
        <w:tc>
          <w:tcPr>
            <w:tcW w:w="1150"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9048.64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067" w:type="dxa"/>
            <w:noWrap w:val="0"/>
            <w:vAlign w:val="center"/>
          </w:tcPr>
          <w:p>
            <w:pPr>
              <w:widowControl/>
              <w:jc w:val="center"/>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6310.40 </w:t>
            </w:r>
          </w:p>
        </w:tc>
        <w:tc>
          <w:tcPr>
            <w:tcW w:w="1102"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6260.80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6682.07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7002.78 </w:t>
            </w:r>
          </w:p>
        </w:tc>
        <w:tc>
          <w:tcPr>
            <w:tcW w:w="1059" w:type="dxa"/>
            <w:noWrap w:val="0"/>
            <w:vAlign w:val="center"/>
          </w:tcPr>
          <w:p>
            <w:pPr>
              <w:widowControl/>
              <w:jc w:val="right"/>
              <w:textAlignment w:val="bottom"/>
              <w:rPr>
                <w:color w:val="000000"/>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6362.74 </w:t>
            </w:r>
          </w:p>
        </w:tc>
        <w:tc>
          <w:tcPr>
            <w:tcW w:w="993"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7011.04 </w:t>
            </w:r>
          </w:p>
        </w:tc>
        <w:tc>
          <w:tcPr>
            <w:tcW w:w="1117"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7389.68 </w:t>
            </w:r>
          </w:p>
        </w:tc>
        <w:tc>
          <w:tcPr>
            <w:tcW w:w="1150"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7216.29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067" w:type="dxa"/>
            <w:noWrap w:val="0"/>
            <w:vAlign w:val="center"/>
          </w:tcPr>
          <w:p>
            <w:pPr>
              <w:widowControl/>
              <w:jc w:val="center"/>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5093.80 </w:t>
            </w:r>
          </w:p>
        </w:tc>
        <w:tc>
          <w:tcPr>
            <w:tcW w:w="1102"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5534.07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5533.92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4894.95 </w:t>
            </w:r>
          </w:p>
        </w:tc>
        <w:tc>
          <w:tcPr>
            <w:tcW w:w="1059"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6715.84 </w:t>
            </w:r>
          </w:p>
        </w:tc>
        <w:tc>
          <w:tcPr>
            <w:tcW w:w="993"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6570.89 </w:t>
            </w:r>
          </w:p>
        </w:tc>
        <w:tc>
          <w:tcPr>
            <w:tcW w:w="1117"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9019.40 </w:t>
            </w:r>
          </w:p>
        </w:tc>
        <w:tc>
          <w:tcPr>
            <w:tcW w:w="1150"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7020.92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067" w:type="dxa"/>
            <w:noWrap w:val="0"/>
            <w:vAlign w:val="center"/>
          </w:tcPr>
          <w:p>
            <w:pPr>
              <w:widowControl/>
              <w:jc w:val="center"/>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4705.12 </w:t>
            </w:r>
          </w:p>
        </w:tc>
        <w:tc>
          <w:tcPr>
            <w:tcW w:w="1102"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4962.23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5838.26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6941.45 </w:t>
            </w:r>
          </w:p>
        </w:tc>
        <w:tc>
          <w:tcPr>
            <w:tcW w:w="1059"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5063.17 </w:t>
            </w:r>
          </w:p>
        </w:tc>
        <w:tc>
          <w:tcPr>
            <w:tcW w:w="993"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5279.14 </w:t>
            </w:r>
          </w:p>
        </w:tc>
        <w:tc>
          <w:tcPr>
            <w:tcW w:w="1117"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6089.10 </w:t>
            </w:r>
          </w:p>
        </w:tc>
        <w:tc>
          <w:tcPr>
            <w:tcW w:w="1150"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6208.93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067" w:type="dxa"/>
            <w:noWrap w:val="0"/>
            <w:vAlign w:val="center"/>
          </w:tcPr>
          <w:p>
            <w:pPr>
              <w:widowControl/>
              <w:jc w:val="center"/>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4755.17 </w:t>
            </w:r>
          </w:p>
        </w:tc>
        <w:tc>
          <w:tcPr>
            <w:tcW w:w="1102"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5660.67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9339.43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10552.43 </w:t>
            </w:r>
          </w:p>
        </w:tc>
        <w:tc>
          <w:tcPr>
            <w:tcW w:w="1059"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5043.68 </w:t>
            </w:r>
          </w:p>
        </w:tc>
        <w:tc>
          <w:tcPr>
            <w:tcW w:w="993"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6031.81 </w:t>
            </w:r>
          </w:p>
        </w:tc>
        <w:tc>
          <w:tcPr>
            <w:tcW w:w="1117"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5957.63 </w:t>
            </w:r>
          </w:p>
        </w:tc>
        <w:tc>
          <w:tcPr>
            <w:tcW w:w="1150"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5762.77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067" w:type="dxa"/>
            <w:noWrap w:val="0"/>
            <w:vAlign w:val="center"/>
          </w:tcPr>
          <w:p>
            <w:pPr>
              <w:widowControl/>
              <w:jc w:val="center"/>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4872.00 </w:t>
            </w:r>
          </w:p>
        </w:tc>
        <w:tc>
          <w:tcPr>
            <w:tcW w:w="1102"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4914.50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5196.50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5541.00 </w:t>
            </w:r>
          </w:p>
        </w:tc>
        <w:tc>
          <w:tcPr>
            <w:tcW w:w="1059"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4739.02 </w:t>
            </w:r>
          </w:p>
        </w:tc>
        <w:tc>
          <w:tcPr>
            <w:tcW w:w="993"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4944.29 </w:t>
            </w:r>
          </w:p>
        </w:tc>
        <w:tc>
          <w:tcPr>
            <w:tcW w:w="1117"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5074.86 </w:t>
            </w:r>
          </w:p>
        </w:tc>
        <w:tc>
          <w:tcPr>
            <w:tcW w:w="1150"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5180.32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067" w:type="dxa"/>
            <w:noWrap w:val="0"/>
            <w:vAlign w:val="center"/>
          </w:tcPr>
          <w:p>
            <w:pPr>
              <w:widowControl/>
              <w:jc w:val="center"/>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5050.00 </w:t>
            </w:r>
          </w:p>
        </w:tc>
        <w:tc>
          <w:tcPr>
            <w:tcW w:w="1102"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5050.00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4974.36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4907.15 </w:t>
            </w:r>
          </w:p>
        </w:tc>
        <w:tc>
          <w:tcPr>
            <w:tcW w:w="1059"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6097.35 </w:t>
            </w:r>
          </w:p>
        </w:tc>
        <w:tc>
          <w:tcPr>
            <w:tcW w:w="993"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6025.49 </w:t>
            </w:r>
          </w:p>
        </w:tc>
        <w:tc>
          <w:tcPr>
            <w:tcW w:w="1117"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5251.93 </w:t>
            </w:r>
          </w:p>
        </w:tc>
        <w:tc>
          <w:tcPr>
            <w:tcW w:w="1150"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5141.99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067" w:type="dxa"/>
            <w:noWrap w:val="0"/>
            <w:vAlign w:val="center"/>
          </w:tcPr>
          <w:p>
            <w:pPr>
              <w:widowControl/>
              <w:jc w:val="center"/>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5575.00 </w:t>
            </w:r>
          </w:p>
        </w:tc>
        <w:tc>
          <w:tcPr>
            <w:tcW w:w="1102"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5575.00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5474.92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5116.91 </w:t>
            </w:r>
          </w:p>
        </w:tc>
        <w:tc>
          <w:tcPr>
            <w:tcW w:w="1059"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5371.67 </w:t>
            </w:r>
          </w:p>
        </w:tc>
        <w:tc>
          <w:tcPr>
            <w:tcW w:w="993"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5545.43 </w:t>
            </w:r>
          </w:p>
        </w:tc>
        <w:tc>
          <w:tcPr>
            <w:tcW w:w="1117"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5032.99 </w:t>
            </w:r>
          </w:p>
        </w:tc>
        <w:tc>
          <w:tcPr>
            <w:tcW w:w="1150"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4955.30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067" w:type="dxa"/>
            <w:noWrap w:val="0"/>
            <w:vAlign w:val="center"/>
          </w:tcPr>
          <w:p>
            <w:pPr>
              <w:widowControl/>
              <w:jc w:val="center"/>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4000.00 </w:t>
            </w:r>
          </w:p>
        </w:tc>
        <w:tc>
          <w:tcPr>
            <w:tcW w:w="1102"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3500.00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5011.81 </w:t>
            </w:r>
          </w:p>
        </w:tc>
        <w:tc>
          <w:tcPr>
            <w:tcW w:w="1118" w:type="dxa"/>
            <w:noWrap w:val="0"/>
            <w:vAlign w:val="center"/>
          </w:tcPr>
          <w:p>
            <w:pPr>
              <w:widowControl/>
              <w:jc w:val="center"/>
              <w:textAlignment w:val="bottom"/>
              <w:rPr>
                <w:color w:val="000000"/>
                <w:sz w:val="18"/>
                <w:szCs w:val="18"/>
              </w:rPr>
            </w:pPr>
            <w:r>
              <w:rPr>
                <w:rFonts w:hint="eastAsia" w:ascii="Times New Roman" w:hAnsi="Times New Roman" w:eastAsia="宋体" w:cs="Times New Roman"/>
                <w:i w:val="0"/>
                <w:iCs w:val="0"/>
                <w:color w:val="000000"/>
                <w:kern w:val="0"/>
                <w:sz w:val="22"/>
                <w:szCs w:val="22"/>
                <w:u w:val="none"/>
                <w:lang w:val="en-US" w:eastAsia="zh-CN" w:bidi="ar"/>
              </w:rPr>
              <w:t>——</w:t>
            </w:r>
          </w:p>
        </w:tc>
        <w:tc>
          <w:tcPr>
            <w:tcW w:w="1059"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4600.27 </w:t>
            </w:r>
          </w:p>
        </w:tc>
        <w:tc>
          <w:tcPr>
            <w:tcW w:w="993"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4440.26 </w:t>
            </w:r>
          </w:p>
        </w:tc>
        <w:tc>
          <w:tcPr>
            <w:tcW w:w="1117"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5011.81 </w:t>
            </w:r>
          </w:p>
        </w:tc>
        <w:tc>
          <w:tcPr>
            <w:tcW w:w="1150"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4902.16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067" w:type="dxa"/>
            <w:noWrap w:val="0"/>
            <w:vAlign w:val="center"/>
          </w:tcPr>
          <w:p>
            <w:pPr>
              <w:widowControl/>
              <w:jc w:val="center"/>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3562.67 </w:t>
            </w:r>
          </w:p>
        </w:tc>
        <w:tc>
          <w:tcPr>
            <w:tcW w:w="1102"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4194.00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3800.00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4345.00 </w:t>
            </w:r>
          </w:p>
        </w:tc>
        <w:tc>
          <w:tcPr>
            <w:tcW w:w="1059"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3582.67 </w:t>
            </w:r>
          </w:p>
        </w:tc>
        <w:tc>
          <w:tcPr>
            <w:tcW w:w="993"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4214.00 </w:t>
            </w:r>
          </w:p>
        </w:tc>
        <w:tc>
          <w:tcPr>
            <w:tcW w:w="1117"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4200.00 </w:t>
            </w:r>
          </w:p>
        </w:tc>
        <w:tc>
          <w:tcPr>
            <w:tcW w:w="1150"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4345.00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067" w:type="dxa"/>
            <w:noWrap w:val="0"/>
            <w:vAlign w:val="center"/>
          </w:tcPr>
          <w:p>
            <w:pPr>
              <w:widowControl/>
              <w:jc w:val="center"/>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3746.42 </w:t>
            </w:r>
          </w:p>
        </w:tc>
        <w:tc>
          <w:tcPr>
            <w:tcW w:w="1102"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3841.50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4090.16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4184.67 </w:t>
            </w:r>
          </w:p>
        </w:tc>
        <w:tc>
          <w:tcPr>
            <w:tcW w:w="1059"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4114.67 </w:t>
            </w:r>
          </w:p>
        </w:tc>
        <w:tc>
          <w:tcPr>
            <w:tcW w:w="993"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3842.77 </w:t>
            </w:r>
          </w:p>
        </w:tc>
        <w:tc>
          <w:tcPr>
            <w:tcW w:w="1117"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3964.81 </w:t>
            </w:r>
          </w:p>
        </w:tc>
        <w:tc>
          <w:tcPr>
            <w:tcW w:w="1150"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4275.26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067" w:type="dxa"/>
            <w:noWrap w:val="0"/>
            <w:vAlign w:val="center"/>
          </w:tcPr>
          <w:p>
            <w:pPr>
              <w:widowControl/>
              <w:jc w:val="center"/>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3500.00 </w:t>
            </w:r>
          </w:p>
        </w:tc>
        <w:tc>
          <w:tcPr>
            <w:tcW w:w="1102"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3500.00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8000.00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3400.00 </w:t>
            </w:r>
          </w:p>
        </w:tc>
        <w:tc>
          <w:tcPr>
            <w:tcW w:w="1059"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3500.00 </w:t>
            </w:r>
          </w:p>
        </w:tc>
        <w:tc>
          <w:tcPr>
            <w:tcW w:w="993"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3500.00 </w:t>
            </w:r>
          </w:p>
        </w:tc>
        <w:tc>
          <w:tcPr>
            <w:tcW w:w="1117"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5021.61 </w:t>
            </w:r>
          </w:p>
        </w:tc>
        <w:tc>
          <w:tcPr>
            <w:tcW w:w="1150"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4250.00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067" w:type="dxa"/>
            <w:noWrap w:val="0"/>
            <w:vAlign w:val="center"/>
          </w:tcPr>
          <w:p>
            <w:pPr>
              <w:widowControl/>
              <w:jc w:val="center"/>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3763.00 </w:t>
            </w:r>
          </w:p>
        </w:tc>
        <w:tc>
          <w:tcPr>
            <w:tcW w:w="1102"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3835.00 </w:t>
            </w:r>
          </w:p>
        </w:tc>
        <w:tc>
          <w:tcPr>
            <w:tcW w:w="1118"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3820.00 </w:t>
            </w:r>
          </w:p>
        </w:tc>
        <w:tc>
          <w:tcPr>
            <w:tcW w:w="1118" w:type="dxa"/>
            <w:noWrap w:val="0"/>
            <w:vAlign w:val="center"/>
          </w:tcPr>
          <w:p>
            <w:pPr>
              <w:widowControl/>
              <w:jc w:val="center"/>
              <w:textAlignment w:val="bottom"/>
              <w:rPr>
                <w:color w:val="000000"/>
                <w:sz w:val="18"/>
                <w:szCs w:val="18"/>
              </w:rPr>
            </w:pPr>
            <w:r>
              <w:rPr>
                <w:rFonts w:hint="eastAsia" w:ascii="Times New Roman" w:hAnsi="Times New Roman" w:eastAsia="宋体" w:cs="Times New Roman"/>
                <w:i w:val="0"/>
                <w:iCs w:val="0"/>
                <w:color w:val="000000"/>
                <w:kern w:val="0"/>
                <w:sz w:val="22"/>
                <w:szCs w:val="22"/>
                <w:u w:val="none"/>
                <w:lang w:val="en-US" w:eastAsia="zh-CN" w:bidi="ar"/>
              </w:rPr>
              <w:t>——</w:t>
            </w:r>
          </w:p>
        </w:tc>
        <w:tc>
          <w:tcPr>
            <w:tcW w:w="1059"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3787.69 </w:t>
            </w:r>
          </w:p>
        </w:tc>
        <w:tc>
          <w:tcPr>
            <w:tcW w:w="993"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3855.08 </w:t>
            </w:r>
          </w:p>
        </w:tc>
        <w:tc>
          <w:tcPr>
            <w:tcW w:w="1117"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3849.67 </w:t>
            </w:r>
          </w:p>
        </w:tc>
        <w:tc>
          <w:tcPr>
            <w:tcW w:w="1150" w:type="dxa"/>
            <w:noWrap w:val="0"/>
            <w:vAlign w:val="center"/>
          </w:tcPr>
          <w:p>
            <w:pPr>
              <w:widowControl/>
              <w:jc w:val="right"/>
              <w:textAlignment w:val="bottom"/>
              <w:rPr>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3888.87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067" w:type="dxa"/>
            <w:noWrap w:val="0"/>
            <w:vAlign w:val="center"/>
          </w:tcPr>
          <w:p>
            <w:pPr>
              <w:widowControl/>
              <w:jc w:val="center"/>
              <w:textAlignment w:val="bottom"/>
              <w:rPr>
                <w:b/>
                <w:bCs/>
                <w:color w:val="000000"/>
                <w:sz w:val="18"/>
                <w:szCs w:val="18"/>
              </w:rPr>
            </w:pPr>
            <w:r>
              <w:rPr>
                <w:rFonts w:hint="default" w:ascii="Times New Roman" w:hAnsi="Times New Roman" w:eastAsia="宋体" w:cs="Times New Roman"/>
                <w:b/>
                <w:bCs/>
                <w:i w:val="0"/>
                <w:iCs w:val="0"/>
                <w:color w:val="000000"/>
                <w:kern w:val="0"/>
                <w:sz w:val="22"/>
                <w:szCs w:val="22"/>
                <w:u w:val="none"/>
                <w:lang w:val="en-US" w:eastAsia="zh-CN" w:bidi="ar"/>
              </w:rPr>
              <w:t>平均</w:t>
            </w:r>
          </w:p>
        </w:tc>
        <w:tc>
          <w:tcPr>
            <w:tcW w:w="1118" w:type="dxa"/>
            <w:noWrap w:val="0"/>
            <w:vAlign w:val="center"/>
          </w:tcPr>
          <w:p>
            <w:pPr>
              <w:widowControl/>
              <w:jc w:val="right"/>
              <w:textAlignment w:val="bottom"/>
              <w:rPr>
                <w:b/>
                <w:bCs/>
                <w:color w:val="000000"/>
                <w:sz w:val="18"/>
                <w:szCs w:val="18"/>
              </w:rPr>
            </w:pPr>
            <w:r>
              <w:rPr>
                <w:rFonts w:hint="default" w:ascii="Times New Roman" w:hAnsi="Times New Roman" w:eastAsia="宋体" w:cs="Times New Roman"/>
                <w:b/>
                <w:bCs/>
                <w:i w:val="0"/>
                <w:iCs w:val="0"/>
                <w:color w:val="000000"/>
                <w:kern w:val="0"/>
                <w:sz w:val="22"/>
                <w:szCs w:val="22"/>
                <w:u w:val="none"/>
                <w:lang w:val="en-US" w:eastAsia="zh-CN" w:bidi="ar"/>
              </w:rPr>
              <w:t xml:space="preserve">4764.86 </w:t>
            </w:r>
          </w:p>
        </w:tc>
        <w:tc>
          <w:tcPr>
            <w:tcW w:w="1102" w:type="dxa"/>
            <w:noWrap w:val="0"/>
            <w:vAlign w:val="center"/>
          </w:tcPr>
          <w:p>
            <w:pPr>
              <w:widowControl/>
              <w:jc w:val="right"/>
              <w:textAlignment w:val="bottom"/>
              <w:rPr>
                <w:b/>
                <w:bCs/>
                <w:color w:val="000000"/>
                <w:sz w:val="18"/>
                <w:szCs w:val="18"/>
              </w:rPr>
            </w:pPr>
            <w:r>
              <w:rPr>
                <w:rFonts w:hint="default" w:ascii="Times New Roman" w:hAnsi="Times New Roman" w:eastAsia="宋体" w:cs="Times New Roman"/>
                <w:b/>
                <w:bCs/>
                <w:i w:val="0"/>
                <w:iCs w:val="0"/>
                <w:color w:val="000000"/>
                <w:kern w:val="0"/>
                <w:sz w:val="22"/>
                <w:szCs w:val="22"/>
                <w:u w:val="none"/>
                <w:lang w:val="en-US" w:eastAsia="zh-CN" w:bidi="ar"/>
              </w:rPr>
              <w:t xml:space="preserve">5028.18 </w:t>
            </w:r>
          </w:p>
        </w:tc>
        <w:tc>
          <w:tcPr>
            <w:tcW w:w="1118" w:type="dxa"/>
            <w:noWrap w:val="0"/>
            <w:vAlign w:val="center"/>
          </w:tcPr>
          <w:p>
            <w:pPr>
              <w:widowControl/>
              <w:jc w:val="right"/>
              <w:textAlignment w:val="bottom"/>
              <w:rPr>
                <w:b/>
                <w:bCs/>
                <w:color w:val="000000"/>
                <w:sz w:val="18"/>
                <w:szCs w:val="18"/>
              </w:rPr>
            </w:pPr>
            <w:r>
              <w:rPr>
                <w:rFonts w:hint="default" w:ascii="Times New Roman" w:hAnsi="Times New Roman" w:eastAsia="宋体" w:cs="Times New Roman"/>
                <w:b/>
                <w:bCs/>
                <w:i w:val="0"/>
                <w:iCs w:val="0"/>
                <w:color w:val="000000"/>
                <w:kern w:val="0"/>
                <w:sz w:val="22"/>
                <w:szCs w:val="22"/>
                <w:u w:val="none"/>
                <w:lang w:val="en-US" w:eastAsia="zh-CN" w:bidi="ar"/>
              </w:rPr>
              <w:t xml:space="preserve">5906.68 </w:t>
            </w:r>
          </w:p>
        </w:tc>
        <w:tc>
          <w:tcPr>
            <w:tcW w:w="1118" w:type="dxa"/>
            <w:noWrap w:val="0"/>
            <w:vAlign w:val="center"/>
          </w:tcPr>
          <w:p>
            <w:pPr>
              <w:widowControl/>
              <w:jc w:val="right"/>
              <w:textAlignment w:val="bottom"/>
              <w:rPr>
                <w:b/>
                <w:bCs/>
                <w:color w:val="000000"/>
                <w:sz w:val="18"/>
                <w:szCs w:val="18"/>
              </w:rPr>
            </w:pPr>
            <w:r>
              <w:rPr>
                <w:rFonts w:hint="default" w:ascii="Times New Roman" w:hAnsi="Times New Roman" w:eastAsia="宋体" w:cs="Times New Roman"/>
                <w:b/>
                <w:bCs/>
                <w:i w:val="0"/>
                <w:iCs w:val="0"/>
                <w:color w:val="000000"/>
                <w:kern w:val="0"/>
                <w:sz w:val="22"/>
                <w:szCs w:val="22"/>
                <w:u w:val="none"/>
                <w:lang w:val="en-US" w:eastAsia="zh-CN" w:bidi="ar"/>
              </w:rPr>
              <w:t xml:space="preserve">6543.40 </w:t>
            </w:r>
          </w:p>
        </w:tc>
        <w:tc>
          <w:tcPr>
            <w:tcW w:w="1059" w:type="dxa"/>
            <w:noWrap w:val="0"/>
            <w:vAlign w:val="center"/>
          </w:tcPr>
          <w:p>
            <w:pPr>
              <w:widowControl/>
              <w:jc w:val="right"/>
              <w:textAlignment w:val="bottom"/>
              <w:rPr>
                <w:b/>
                <w:bCs/>
                <w:color w:val="000000"/>
                <w:kern w:val="0"/>
                <w:sz w:val="18"/>
                <w:szCs w:val="18"/>
              </w:rPr>
            </w:pPr>
            <w:r>
              <w:rPr>
                <w:rFonts w:hint="default" w:ascii="Times New Roman" w:hAnsi="Times New Roman" w:eastAsia="宋体" w:cs="Times New Roman"/>
                <w:b/>
                <w:bCs/>
                <w:i w:val="0"/>
                <w:iCs w:val="0"/>
                <w:color w:val="000000"/>
                <w:kern w:val="0"/>
                <w:sz w:val="22"/>
                <w:szCs w:val="22"/>
                <w:u w:val="none"/>
                <w:lang w:val="en-US" w:eastAsia="zh-CN" w:bidi="ar"/>
              </w:rPr>
              <w:t xml:space="preserve">5219.06 </w:t>
            </w:r>
          </w:p>
        </w:tc>
        <w:tc>
          <w:tcPr>
            <w:tcW w:w="993" w:type="dxa"/>
            <w:noWrap w:val="0"/>
            <w:vAlign w:val="center"/>
          </w:tcPr>
          <w:p>
            <w:pPr>
              <w:widowControl/>
              <w:jc w:val="right"/>
              <w:textAlignment w:val="bottom"/>
              <w:rPr>
                <w:b/>
                <w:bCs/>
                <w:color w:val="000000"/>
                <w:sz w:val="18"/>
                <w:szCs w:val="18"/>
              </w:rPr>
            </w:pPr>
            <w:r>
              <w:rPr>
                <w:rFonts w:hint="default" w:ascii="Times New Roman" w:hAnsi="Times New Roman" w:eastAsia="宋体" w:cs="Times New Roman"/>
                <w:b/>
                <w:bCs/>
                <w:i w:val="0"/>
                <w:iCs w:val="0"/>
                <w:color w:val="000000"/>
                <w:kern w:val="0"/>
                <w:sz w:val="22"/>
                <w:szCs w:val="22"/>
                <w:u w:val="none"/>
                <w:lang w:val="en-US" w:eastAsia="zh-CN" w:bidi="ar"/>
              </w:rPr>
              <w:t xml:space="preserve">5410.74 </w:t>
            </w:r>
          </w:p>
        </w:tc>
        <w:tc>
          <w:tcPr>
            <w:tcW w:w="1117" w:type="dxa"/>
            <w:noWrap w:val="0"/>
            <w:vAlign w:val="center"/>
          </w:tcPr>
          <w:p>
            <w:pPr>
              <w:widowControl/>
              <w:jc w:val="right"/>
              <w:textAlignment w:val="bottom"/>
              <w:rPr>
                <w:b/>
                <w:bCs/>
                <w:color w:val="000000"/>
                <w:sz w:val="18"/>
                <w:szCs w:val="18"/>
              </w:rPr>
            </w:pPr>
            <w:r>
              <w:rPr>
                <w:rFonts w:hint="default" w:ascii="Times New Roman" w:hAnsi="Times New Roman" w:eastAsia="宋体" w:cs="Times New Roman"/>
                <w:b/>
                <w:bCs/>
                <w:i w:val="0"/>
                <w:iCs w:val="0"/>
                <w:color w:val="000000"/>
                <w:kern w:val="0"/>
                <w:sz w:val="22"/>
                <w:szCs w:val="22"/>
                <w:u w:val="none"/>
                <w:lang w:val="en-US" w:eastAsia="zh-CN" w:bidi="ar"/>
              </w:rPr>
              <w:t xml:space="preserve">6218.31 </w:t>
            </w:r>
          </w:p>
        </w:tc>
        <w:tc>
          <w:tcPr>
            <w:tcW w:w="1150" w:type="dxa"/>
            <w:noWrap w:val="0"/>
            <w:vAlign w:val="center"/>
          </w:tcPr>
          <w:p>
            <w:pPr>
              <w:widowControl/>
              <w:jc w:val="right"/>
              <w:textAlignment w:val="bottom"/>
              <w:rPr>
                <w:b/>
                <w:bCs/>
                <w:color w:val="000000"/>
                <w:sz w:val="18"/>
                <w:szCs w:val="18"/>
              </w:rPr>
            </w:pPr>
            <w:r>
              <w:rPr>
                <w:rFonts w:hint="default" w:ascii="Times New Roman" w:hAnsi="Times New Roman" w:eastAsia="宋体" w:cs="Times New Roman"/>
                <w:b/>
                <w:bCs/>
                <w:i w:val="0"/>
                <w:iCs w:val="0"/>
                <w:color w:val="000000"/>
                <w:kern w:val="0"/>
                <w:sz w:val="22"/>
                <w:szCs w:val="22"/>
                <w:u w:val="none"/>
                <w:lang w:val="en-US" w:eastAsia="zh-CN" w:bidi="ar"/>
              </w:rPr>
              <w:t xml:space="preserve">6092.26 </w:t>
            </w:r>
          </w:p>
        </w:tc>
      </w:tr>
    </w:tbl>
    <w:p>
      <w:pPr>
        <w:spacing w:before="0" w:beforeLines="0"/>
        <w:ind w:firstLine="420" w:firstLineChars="200"/>
        <w:rPr>
          <w:rFonts w:hint="eastAsia"/>
          <w:lang w:val="en-US" w:eastAsia="zh-CN"/>
        </w:rPr>
      </w:pPr>
    </w:p>
    <w:p>
      <w:pPr>
        <w:pStyle w:val="2"/>
        <w:spacing w:before="0" w:beforeLines="0"/>
        <w:ind w:firstLine="643" w:firstLineChars="200"/>
      </w:pPr>
      <w:bookmarkStart w:id="12" w:name="_Toc12925"/>
      <w:r>
        <w:rPr>
          <w:rFonts w:hint="eastAsia"/>
          <w:lang w:val="en-US" w:eastAsia="zh-CN"/>
        </w:rPr>
        <w:t>二</w:t>
      </w:r>
      <w:r>
        <w:t>、应届高校毕业生情况</w:t>
      </w:r>
      <w:bookmarkEnd w:id="12"/>
    </w:p>
    <w:p>
      <w:pPr>
        <w:pStyle w:val="37"/>
        <w:numPr>
          <w:ilvl w:val="0"/>
          <w:numId w:val="0"/>
        </w:numPr>
        <w:spacing w:before="0" w:beforeLines="0"/>
        <w:ind w:firstLine="640" w:firstLineChars="200"/>
        <w:rPr>
          <w:rFonts w:hint="eastAsia" w:ascii="楷体_GB2312" w:hAnsi="楷体_GB2312" w:eastAsia="楷体_GB2312" w:cs="楷体_GB2312"/>
          <w:b w:val="0"/>
          <w:bCs w:val="0"/>
        </w:rPr>
      </w:pPr>
      <w:bookmarkStart w:id="13" w:name="_Toc30609"/>
      <w:r>
        <w:rPr>
          <w:rFonts w:hint="eastAsia" w:ascii="楷体_GB2312" w:hAnsi="楷体_GB2312" w:eastAsia="楷体_GB2312" w:cs="楷体_GB2312"/>
          <w:b w:val="0"/>
          <w:bCs w:val="0"/>
        </w:rPr>
        <w:t>（一）应届高校毕业生总体情况</w:t>
      </w:r>
      <w:bookmarkEnd w:id="13"/>
    </w:p>
    <w:p>
      <w:pPr>
        <w:ind w:firstLine="640" w:firstLineChars="200"/>
        <w:rPr>
          <w:rFonts w:eastAsia="仿宋_GB2312"/>
          <w:color w:val="000000"/>
          <w:sz w:val="32"/>
          <w:szCs w:val="32"/>
        </w:rPr>
      </w:pPr>
      <w:r>
        <w:rPr>
          <w:rFonts w:hint="default" w:eastAsia="仿宋_GB2312"/>
          <w:color w:val="000000"/>
          <w:sz w:val="32"/>
          <w:szCs w:val="32"/>
          <w:lang w:eastAsia="zh-CN"/>
        </w:rPr>
        <w:t>2023年</w:t>
      </w:r>
      <w:r>
        <w:rPr>
          <w:rFonts w:hint="default" w:eastAsia="仿宋_GB2312"/>
          <w:color w:val="000000"/>
          <w:sz w:val="32"/>
          <w:szCs w:val="32"/>
        </w:rPr>
        <w:t>，</w:t>
      </w:r>
      <w:r>
        <w:rPr>
          <w:rFonts w:eastAsia="仿宋_GB2312"/>
          <w:color w:val="000000"/>
          <w:sz w:val="32"/>
          <w:szCs w:val="32"/>
        </w:rPr>
        <w:t>从样本企业应届高校毕业生的情况来看，吸纳应届高校毕业生人数分别为</w:t>
      </w:r>
      <w:r>
        <w:rPr>
          <w:rFonts w:hint="default" w:eastAsia="仿宋_GB2312"/>
          <w:color w:val="000000"/>
          <w:sz w:val="32"/>
          <w:szCs w:val="32"/>
          <w:lang w:val="en-US" w:eastAsia="zh-CN"/>
        </w:rPr>
        <w:t>53</w:t>
      </w:r>
      <w:r>
        <w:rPr>
          <w:rFonts w:eastAsia="仿宋_GB2312"/>
          <w:color w:val="000000"/>
          <w:sz w:val="32"/>
          <w:szCs w:val="32"/>
        </w:rPr>
        <w:t>人、</w:t>
      </w:r>
      <w:r>
        <w:rPr>
          <w:rFonts w:hint="default" w:eastAsia="仿宋_GB2312"/>
          <w:color w:val="000000"/>
          <w:sz w:val="32"/>
          <w:szCs w:val="32"/>
          <w:lang w:val="en-US" w:eastAsia="zh-CN"/>
        </w:rPr>
        <w:t>103</w:t>
      </w:r>
      <w:r>
        <w:rPr>
          <w:rFonts w:eastAsia="仿宋_GB2312"/>
          <w:color w:val="000000"/>
          <w:sz w:val="32"/>
          <w:szCs w:val="32"/>
        </w:rPr>
        <w:t>人</w:t>
      </w:r>
      <w:r>
        <w:rPr>
          <w:rFonts w:hint="default" w:eastAsia="仿宋_GB2312"/>
          <w:color w:val="000000"/>
          <w:sz w:val="32"/>
          <w:szCs w:val="32"/>
        </w:rPr>
        <w:t>、</w:t>
      </w:r>
      <w:r>
        <w:rPr>
          <w:rFonts w:hint="default" w:eastAsia="仿宋_GB2312"/>
          <w:color w:val="000000"/>
          <w:sz w:val="32"/>
          <w:szCs w:val="32"/>
          <w:lang w:val="en-US" w:eastAsia="zh-CN"/>
        </w:rPr>
        <w:t>255</w:t>
      </w:r>
      <w:r>
        <w:rPr>
          <w:rFonts w:eastAsia="仿宋_GB2312"/>
          <w:color w:val="000000"/>
          <w:sz w:val="32"/>
          <w:szCs w:val="32"/>
        </w:rPr>
        <w:t>人和</w:t>
      </w:r>
      <w:r>
        <w:rPr>
          <w:rFonts w:hint="default" w:eastAsia="仿宋_GB2312"/>
          <w:color w:val="000000"/>
          <w:sz w:val="32"/>
          <w:szCs w:val="32"/>
          <w:lang w:val="en-US" w:eastAsia="zh-CN"/>
        </w:rPr>
        <w:t>282</w:t>
      </w:r>
      <w:r>
        <w:rPr>
          <w:rFonts w:eastAsia="仿宋_GB2312"/>
          <w:color w:val="000000"/>
          <w:sz w:val="32"/>
          <w:szCs w:val="32"/>
        </w:rPr>
        <w:t>人</w:t>
      </w:r>
      <w:r>
        <w:rPr>
          <w:rFonts w:hint="default" w:eastAsia="仿宋_GB2312"/>
          <w:color w:val="000000"/>
          <w:sz w:val="32"/>
          <w:szCs w:val="32"/>
        </w:rPr>
        <w:t>，4季度最多，1季度最少。</w:t>
      </w:r>
      <w:r>
        <w:rPr>
          <w:rFonts w:eastAsia="仿宋_GB2312"/>
          <w:color w:val="000000"/>
          <w:sz w:val="32"/>
          <w:szCs w:val="32"/>
        </w:rPr>
        <w:t>其中属于本季度新招聘人数分别为</w:t>
      </w:r>
      <w:r>
        <w:rPr>
          <w:rFonts w:hint="default" w:eastAsia="仿宋_GB2312"/>
          <w:color w:val="000000"/>
          <w:sz w:val="32"/>
          <w:szCs w:val="32"/>
          <w:lang w:val="en-US" w:eastAsia="zh-CN"/>
        </w:rPr>
        <w:t>62</w:t>
      </w:r>
      <w:r>
        <w:rPr>
          <w:rFonts w:eastAsia="仿宋_GB2312"/>
          <w:color w:val="000000"/>
          <w:sz w:val="32"/>
          <w:szCs w:val="32"/>
        </w:rPr>
        <w:t>人、</w:t>
      </w:r>
      <w:r>
        <w:rPr>
          <w:rFonts w:hint="default" w:eastAsia="仿宋_GB2312"/>
          <w:color w:val="000000"/>
          <w:sz w:val="32"/>
          <w:szCs w:val="32"/>
          <w:lang w:val="en-US" w:eastAsia="zh-CN"/>
        </w:rPr>
        <w:t>46</w:t>
      </w:r>
      <w:r>
        <w:rPr>
          <w:rFonts w:eastAsia="仿宋_GB2312"/>
          <w:color w:val="000000"/>
          <w:sz w:val="32"/>
          <w:szCs w:val="32"/>
        </w:rPr>
        <w:t>人、</w:t>
      </w:r>
      <w:r>
        <w:rPr>
          <w:rFonts w:hint="default" w:eastAsia="仿宋_GB2312"/>
          <w:color w:val="000000"/>
          <w:sz w:val="32"/>
          <w:szCs w:val="32"/>
          <w:lang w:val="en-US" w:eastAsia="zh-CN"/>
        </w:rPr>
        <w:t>85</w:t>
      </w:r>
      <w:r>
        <w:rPr>
          <w:rFonts w:eastAsia="仿宋_GB2312"/>
          <w:color w:val="000000"/>
          <w:sz w:val="32"/>
          <w:szCs w:val="32"/>
        </w:rPr>
        <w:t>人和</w:t>
      </w:r>
      <w:r>
        <w:rPr>
          <w:rFonts w:hint="default" w:eastAsia="仿宋_GB2312"/>
          <w:color w:val="000000"/>
          <w:sz w:val="32"/>
          <w:szCs w:val="32"/>
          <w:lang w:val="en-US" w:eastAsia="zh-CN"/>
        </w:rPr>
        <w:t>49</w:t>
      </w:r>
      <w:r>
        <w:rPr>
          <w:rFonts w:eastAsia="仿宋_GB2312"/>
          <w:color w:val="000000"/>
          <w:sz w:val="32"/>
          <w:szCs w:val="32"/>
        </w:rPr>
        <w:t>人</w:t>
      </w:r>
      <w:r>
        <w:rPr>
          <w:rFonts w:hint="default" w:eastAsia="仿宋_GB2312"/>
          <w:color w:val="000000"/>
          <w:sz w:val="32"/>
          <w:szCs w:val="32"/>
        </w:rPr>
        <w:t>，3季度最多，</w:t>
      </w:r>
      <w:r>
        <w:rPr>
          <w:rFonts w:hint="default" w:eastAsia="仿宋_GB2312"/>
          <w:color w:val="000000"/>
          <w:sz w:val="32"/>
          <w:szCs w:val="32"/>
          <w:lang w:val="en-US" w:eastAsia="zh-CN"/>
        </w:rPr>
        <w:t>2</w:t>
      </w:r>
      <w:r>
        <w:rPr>
          <w:rFonts w:hint="default" w:eastAsia="仿宋_GB2312"/>
          <w:color w:val="000000"/>
          <w:sz w:val="32"/>
          <w:szCs w:val="32"/>
        </w:rPr>
        <w:t>季度最少</w:t>
      </w:r>
      <w:r>
        <w:rPr>
          <w:rFonts w:eastAsia="仿宋_GB2312"/>
          <w:color w:val="000000"/>
          <w:sz w:val="32"/>
          <w:szCs w:val="32"/>
        </w:rPr>
        <w:t>；各季度流失人数分别为</w:t>
      </w:r>
      <w:r>
        <w:rPr>
          <w:rFonts w:hint="default" w:eastAsia="仿宋_GB2312"/>
          <w:color w:val="000000"/>
          <w:sz w:val="32"/>
          <w:szCs w:val="32"/>
          <w:lang w:val="en-US" w:eastAsia="zh-CN"/>
        </w:rPr>
        <w:t>9</w:t>
      </w:r>
      <w:r>
        <w:rPr>
          <w:rFonts w:eastAsia="仿宋_GB2312"/>
          <w:color w:val="000000"/>
          <w:sz w:val="32"/>
          <w:szCs w:val="32"/>
        </w:rPr>
        <w:t>人、</w:t>
      </w:r>
      <w:r>
        <w:rPr>
          <w:rFonts w:hint="default" w:eastAsia="仿宋_GB2312"/>
          <w:color w:val="000000"/>
          <w:sz w:val="32"/>
          <w:szCs w:val="32"/>
          <w:lang w:val="en-US" w:eastAsia="zh-CN"/>
        </w:rPr>
        <w:t>15</w:t>
      </w:r>
      <w:r>
        <w:rPr>
          <w:rFonts w:eastAsia="仿宋_GB2312"/>
          <w:color w:val="000000"/>
          <w:sz w:val="32"/>
          <w:szCs w:val="32"/>
        </w:rPr>
        <w:t>人、</w:t>
      </w:r>
      <w:r>
        <w:rPr>
          <w:rFonts w:hint="default" w:eastAsia="仿宋_GB2312"/>
          <w:color w:val="000000"/>
          <w:sz w:val="32"/>
          <w:szCs w:val="32"/>
          <w:lang w:val="en-US" w:eastAsia="zh-CN"/>
        </w:rPr>
        <w:t>355</w:t>
      </w:r>
      <w:r>
        <w:rPr>
          <w:rFonts w:eastAsia="仿宋_GB2312"/>
          <w:color w:val="000000"/>
          <w:sz w:val="32"/>
          <w:szCs w:val="32"/>
        </w:rPr>
        <w:t>人和</w:t>
      </w:r>
      <w:r>
        <w:rPr>
          <w:rFonts w:hint="default" w:eastAsia="仿宋_GB2312"/>
          <w:color w:val="000000"/>
          <w:sz w:val="32"/>
          <w:szCs w:val="32"/>
          <w:lang w:val="en-US" w:eastAsia="zh-CN"/>
        </w:rPr>
        <w:t>21</w:t>
      </w:r>
      <w:r>
        <w:rPr>
          <w:rFonts w:eastAsia="仿宋_GB2312"/>
          <w:color w:val="000000"/>
          <w:sz w:val="32"/>
          <w:szCs w:val="32"/>
        </w:rPr>
        <w:t>人，3季度最多，1季度最少；各季度预计下季度招聘人数分别为</w:t>
      </w:r>
      <w:r>
        <w:rPr>
          <w:rFonts w:hint="default" w:eastAsia="仿宋_GB2312"/>
          <w:color w:val="000000"/>
          <w:sz w:val="32"/>
          <w:szCs w:val="32"/>
          <w:lang w:val="en-US" w:eastAsia="zh-CN"/>
        </w:rPr>
        <w:t>120</w:t>
      </w:r>
      <w:r>
        <w:rPr>
          <w:rFonts w:eastAsia="仿宋_GB2312"/>
          <w:color w:val="000000"/>
          <w:sz w:val="32"/>
          <w:szCs w:val="32"/>
        </w:rPr>
        <w:t>人、</w:t>
      </w:r>
      <w:r>
        <w:rPr>
          <w:rFonts w:hint="default" w:eastAsia="仿宋_GB2312"/>
          <w:color w:val="000000"/>
          <w:sz w:val="32"/>
          <w:szCs w:val="32"/>
          <w:lang w:val="en-US" w:eastAsia="zh-CN"/>
        </w:rPr>
        <w:t>113</w:t>
      </w:r>
      <w:r>
        <w:rPr>
          <w:rFonts w:eastAsia="仿宋_GB2312"/>
          <w:color w:val="000000"/>
          <w:sz w:val="32"/>
          <w:szCs w:val="32"/>
        </w:rPr>
        <w:t>人、</w:t>
      </w:r>
      <w:r>
        <w:rPr>
          <w:rFonts w:hint="default" w:eastAsia="仿宋_GB2312"/>
          <w:color w:val="000000"/>
          <w:sz w:val="32"/>
          <w:szCs w:val="32"/>
          <w:lang w:val="en-US" w:eastAsia="zh-CN"/>
        </w:rPr>
        <w:t>64</w:t>
      </w:r>
      <w:r>
        <w:rPr>
          <w:rFonts w:eastAsia="仿宋_GB2312"/>
          <w:color w:val="000000"/>
          <w:sz w:val="32"/>
          <w:szCs w:val="32"/>
        </w:rPr>
        <w:t>人和</w:t>
      </w:r>
      <w:r>
        <w:rPr>
          <w:rFonts w:hint="default" w:eastAsia="仿宋_GB2312"/>
          <w:color w:val="000000"/>
          <w:sz w:val="32"/>
          <w:szCs w:val="32"/>
          <w:lang w:val="en-US" w:eastAsia="zh-CN"/>
        </w:rPr>
        <w:t>61</w:t>
      </w:r>
      <w:r>
        <w:rPr>
          <w:rFonts w:eastAsia="仿宋_GB2312"/>
          <w:color w:val="000000"/>
          <w:sz w:val="32"/>
          <w:szCs w:val="32"/>
        </w:rPr>
        <w:t>人。</w:t>
      </w:r>
    </w:p>
    <w:p>
      <w:pPr>
        <w:ind w:firstLine="640" w:firstLineChars="200"/>
        <w:rPr>
          <w:rFonts w:eastAsia="仿宋_GB2312"/>
          <w:color w:val="000000"/>
          <w:sz w:val="32"/>
          <w:szCs w:val="32"/>
        </w:rPr>
      </w:pPr>
      <w:r>
        <w:rPr>
          <w:rFonts w:eastAsia="仿宋_GB2312"/>
          <w:color w:val="000000"/>
          <w:sz w:val="32"/>
          <w:szCs w:val="32"/>
        </w:rPr>
        <w:t>从目前招聘人均工资水平来看，各季度分别为</w:t>
      </w:r>
      <w:r>
        <w:rPr>
          <w:rFonts w:hint="default" w:eastAsia="仿宋_GB2312"/>
          <w:color w:val="000000"/>
          <w:sz w:val="32"/>
          <w:szCs w:val="32"/>
          <w:lang w:val="en-US" w:eastAsia="zh-CN"/>
        </w:rPr>
        <w:t>4750.00</w:t>
      </w:r>
      <w:r>
        <w:rPr>
          <w:rFonts w:eastAsia="仿宋_GB2312"/>
          <w:color w:val="000000"/>
          <w:sz w:val="32"/>
          <w:szCs w:val="32"/>
        </w:rPr>
        <w:t>元/月、</w:t>
      </w:r>
      <w:r>
        <w:rPr>
          <w:rFonts w:hint="default" w:eastAsia="仿宋_GB2312"/>
          <w:color w:val="000000"/>
          <w:sz w:val="32"/>
          <w:szCs w:val="32"/>
          <w:lang w:val="en-US" w:eastAsia="zh-CN"/>
        </w:rPr>
        <w:t>4587.62</w:t>
      </w:r>
      <w:r>
        <w:rPr>
          <w:rFonts w:eastAsia="仿宋_GB2312"/>
          <w:color w:val="000000"/>
          <w:sz w:val="32"/>
          <w:szCs w:val="32"/>
        </w:rPr>
        <w:t>元/月、</w:t>
      </w:r>
      <w:r>
        <w:rPr>
          <w:rFonts w:hint="default" w:eastAsia="仿宋_GB2312"/>
          <w:color w:val="000000"/>
          <w:sz w:val="32"/>
          <w:szCs w:val="32"/>
          <w:lang w:val="en-US" w:eastAsia="zh-CN"/>
        </w:rPr>
        <w:t>4503.32</w:t>
      </w:r>
      <w:r>
        <w:rPr>
          <w:rFonts w:eastAsia="仿宋_GB2312"/>
          <w:color w:val="000000"/>
          <w:sz w:val="32"/>
          <w:szCs w:val="32"/>
        </w:rPr>
        <w:t>元/月和</w:t>
      </w:r>
      <w:r>
        <w:rPr>
          <w:rFonts w:hint="default" w:eastAsia="仿宋_GB2312"/>
          <w:color w:val="000000"/>
          <w:sz w:val="32"/>
          <w:szCs w:val="32"/>
          <w:lang w:val="en-US" w:eastAsia="zh-CN"/>
        </w:rPr>
        <w:t>4479.87</w:t>
      </w:r>
      <w:r>
        <w:rPr>
          <w:rFonts w:eastAsia="仿宋_GB2312"/>
          <w:color w:val="000000"/>
          <w:sz w:val="32"/>
          <w:szCs w:val="32"/>
        </w:rPr>
        <w:t>元/月，</w:t>
      </w:r>
      <w:r>
        <w:rPr>
          <w:rFonts w:hint="default" w:eastAsia="仿宋_GB2312"/>
          <w:color w:val="000000"/>
          <w:sz w:val="32"/>
          <w:szCs w:val="32"/>
          <w:lang w:val="en-US" w:eastAsia="zh-CN"/>
        </w:rPr>
        <w:t>1</w:t>
      </w:r>
      <w:r>
        <w:rPr>
          <w:rFonts w:eastAsia="仿宋_GB2312"/>
          <w:color w:val="000000"/>
          <w:sz w:val="32"/>
          <w:szCs w:val="32"/>
        </w:rPr>
        <w:t>季度最</w:t>
      </w:r>
      <w:r>
        <w:rPr>
          <w:rFonts w:hint="default" w:eastAsia="仿宋_GB2312"/>
          <w:color w:val="000000"/>
          <w:sz w:val="32"/>
          <w:szCs w:val="32"/>
        </w:rPr>
        <w:t>高</w:t>
      </w:r>
      <w:r>
        <w:rPr>
          <w:rFonts w:eastAsia="仿宋_GB2312"/>
          <w:color w:val="000000"/>
          <w:sz w:val="32"/>
          <w:szCs w:val="32"/>
        </w:rPr>
        <w:t>，</w:t>
      </w:r>
      <w:r>
        <w:rPr>
          <w:rFonts w:hint="default" w:eastAsia="仿宋_GB2312"/>
          <w:color w:val="000000"/>
          <w:sz w:val="32"/>
          <w:szCs w:val="32"/>
          <w:lang w:val="en-US" w:eastAsia="zh-CN"/>
        </w:rPr>
        <w:t>4</w:t>
      </w:r>
      <w:r>
        <w:rPr>
          <w:rFonts w:eastAsia="仿宋_GB2312"/>
          <w:color w:val="000000"/>
          <w:sz w:val="32"/>
          <w:szCs w:val="32"/>
        </w:rPr>
        <w:t>季度最</w:t>
      </w:r>
      <w:r>
        <w:rPr>
          <w:rFonts w:hint="default" w:eastAsia="仿宋_GB2312"/>
          <w:color w:val="000000"/>
          <w:sz w:val="32"/>
          <w:szCs w:val="32"/>
        </w:rPr>
        <w:t>低</w:t>
      </w:r>
      <w:r>
        <w:rPr>
          <w:rFonts w:eastAsia="仿宋_GB2312"/>
          <w:color w:val="000000"/>
          <w:sz w:val="32"/>
          <w:szCs w:val="32"/>
        </w:rPr>
        <w:t>（见表</w:t>
      </w:r>
      <w:r>
        <w:rPr>
          <w:rFonts w:hint="eastAsia" w:eastAsia="仿宋_GB2312"/>
          <w:color w:val="000000"/>
          <w:sz w:val="32"/>
          <w:szCs w:val="32"/>
          <w:lang w:val="en-US" w:eastAsia="zh-CN"/>
        </w:rPr>
        <w:t>16</w:t>
      </w:r>
      <w:r>
        <w:rPr>
          <w:rFonts w:eastAsia="仿宋_GB2312"/>
          <w:color w:val="000000"/>
          <w:sz w:val="32"/>
          <w:szCs w:val="32"/>
        </w:rPr>
        <w:t>）。</w:t>
      </w:r>
    </w:p>
    <w:p>
      <w:pPr>
        <w:pStyle w:val="39"/>
        <w:numPr>
          <w:ilvl w:val="0"/>
          <w:numId w:val="0"/>
        </w:numPr>
        <w:rPr>
          <w:rFonts w:hint="eastAsia" w:eastAsia="宋体"/>
        </w:rPr>
      </w:pPr>
    </w:p>
    <w:p>
      <w:pPr>
        <w:pStyle w:val="39"/>
        <w:numPr>
          <w:ilvl w:val="0"/>
          <w:numId w:val="0"/>
        </w:numPr>
        <w:rPr>
          <w:rFonts w:hint="eastAsia" w:eastAsia="宋体"/>
        </w:rPr>
      </w:pPr>
    </w:p>
    <w:p>
      <w:pPr>
        <w:pStyle w:val="39"/>
        <w:numPr>
          <w:ilvl w:val="0"/>
          <w:numId w:val="0"/>
        </w:numPr>
        <w:rPr>
          <w:rFonts w:eastAsia="宋体"/>
        </w:rPr>
      </w:pPr>
      <w:r>
        <w:rPr>
          <w:rFonts w:hint="eastAsia" w:eastAsia="宋体"/>
        </w:rPr>
        <w:t>表</w:t>
      </w:r>
      <w:r>
        <w:rPr>
          <w:rFonts w:hint="eastAsia" w:eastAsia="宋体"/>
          <w:lang w:val="en-US" w:eastAsia="zh-CN"/>
        </w:rPr>
        <w:t>16</w:t>
      </w:r>
      <w:r>
        <w:rPr>
          <w:rFonts w:hint="eastAsia" w:eastAsia="宋体"/>
        </w:rPr>
        <w:t>：</w:t>
      </w:r>
      <w:r>
        <w:rPr>
          <w:rFonts w:hint="eastAsia" w:eastAsia="宋体"/>
          <w:lang w:eastAsia="zh-CN"/>
        </w:rPr>
        <w:t>2023年</w:t>
      </w:r>
      <w:r>
        <w:rPr>
          <w:rFonts w:eastAsia="宋体"/>
        </w:rPr>
        <w:t>样本企业应届高校毕业生情况</w:t>
      </w:r>
    </w:p>
    <w:tbl>
      <w:tblPr>
        <w:tblStyle w:val="13"/>
        <w:tblW w:w="9190" w:type="dxa"/>
        <w:tblInd w:w="93"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993"/>
        <w:gridCol w:w="1321"/>
        <w:gridCol w:w="1292"/>
        <w:gridCol w:w="1292"/>
        <w:gridCol w:w="1292"/>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3993" w:type="dxa"/>
            <w:shd w:val="clear" w:color="auto" w:fill="92CDDC" w:themeFill="accent5" w:themeFillTint="99"/>
            <w:noWrap w:val="0"/>
            <w:vAlign w:val="center"/>
          </w:tcPr>
          <w:p>
            <w:pPr>
              <w:widowControl/>
              <w:jc w:val="center"/>
              <w:rPr>
                <w:b/>
                <w:bCs/>
                <w:color w:val="000000"/>
                <w:kern w:val="0"/>
              </w:rPr>
            </w:pPr>
            <w:r>
              <w:rPr>
                <w:b/>
                <w:bCs/>
                <w:color w:val="000000"/>
                <w:kern w:val="0"/>
              </w:rPr>
              <w:t>　</w:t>
            </w:r>
          </w:p>
        </w:tc>
        <w:tc>
          <w:tcPr>
            <w:tcW w:w="1321" w:type="dxa"/>
            <w:shd w:val="clear" w:color="auto" w:fill="92CDDC" w:themeFill="accent5" w:themeFillTint="99"/>
            <w:noWrap w:val="0"/>
            <w:vAlign w:val="center"/>
          </w:tcPr>
          <w:p>
            <w:pPr>
              <w:widowControl/>
              <w:jc w:val="center"/>
              <w:rPr>
                <w:b/>
                <w:bCs/>
                <w:color w:val="000000"/>
                <w:kern w:val="0"/>
              </w:rPr>
            </w:pPr>
            <w:r>
              <w:rPr>
                <w:b/>
                <w:bCs/>
                <w:color w:val="000000"/>
                <w:kern w:val="0"/>
              </w:rPr>
              <w:t>1季度</w:t>
            </w:r>
          </w:p>
        </w:tc>
        <w:tc>
          <w:tcPr>
            <w:tcW w:w="1292" w:type="dxa"/>
            <w:shd w:val="clear" w:color="auto" w:fill="92CDDC" w:themeFill="accent5" w:themeFillTint="99"/>
            <w:noWrap w:val="0"/>
            <w:vAlign w:val="center"/>
          </w:tcPr>
          <w:p>
            <w:pPr>
              <w:widowControl/>
              <w:jc w:val="center"/>
              <w:rPr>
                <w:b/>
                <w:bCs/>
                <w:color w:val="000000"/>
                <w:kern w:val="0"/>
              </w:rPr>
            </w:pPr>
            <w:r>
              <w:rPr>
                <w:b/>
                <w:bCs/>
                <w:color w:val="000000"/>
                <w:kern w:val="0"/>
              </w:rPr>
              <w:t>2季度</w:t>
            </w:r>
          </w:p>
        </w:tc>
        <w:tc>
          <w:tcPr>
            <w:tcW w:w="1292" w:type="dxa"/>
            <w:shd w:val="clear" w:color="auto" w:fill="92CDDC" w:themeFill="accent5" w:themeFillTint="99"/>
            <w:noWrap w:val="0"/>
            <w:vAlign w:val="center"/>
          </w:tcPr>
          <w:p>
            <w:pPr>
              <w:widowControl/>
              <w:jc w:val="center"/>
              <w:rPr>
                <w:b/>
                <w:bCs/>
                <w:color w:val="000000"/>
                <w:kern w:val="0"/>
              </w:rPr>
            </w:pPr>
            <w:r>
              <w:rPr>
                <w:b/>
                <w:bCs/>
                <w:color w:val="000000"/>
                <w:kern w:val="0"/>
              </w:rPr>
              <w:t>3季度</w:t>
            </w:r>
          </w:p>
        </w:tc>
        <w:tc>
          <w:tcPr>
            <w:tcW w:w="1292" w:type="dxa"/>
            <w:shd w:val="clear" w:color="auto" w:fill="92CDDC" w:themeFill="accent5" w:themeFillTint="99"/>
            <w:noWrap w:val="0"/>
            <w:vAlign w:val="center"/>
          </w:tcPr>
          <w:p>
            <w:pPr>
              <w:widowControl/>
              <w:jc w:val="center"/>
              <w:rPr>
                <w:b/>
                <w:bCs/>
                <w:color w:val="000000"/>
                <w:kern w:val="0"/>
              </w:rPr>
            </w:pPr>
            <w:r>
              <w:rPr>
                <w:b/>
                <w:bCs/>
                <w:color w:val="000000"/>
                <w:kern w:val="0"/>
              </w:rPr>
              <w:t>4季度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93" w:type="dxa"/>
            <w:noWrap w:val="0"/>
            <w:vAlign w:val="center"/>
          </w:tcPr>
          <w:p>
            <w:pPr>
              <w:widowControl/>
              <w:jc w:val="center"/>
              <w:textAlignment w:val="center"/>
              <w:rPr>
                <w:color w:val="000000"/>
                <w:kern w:val="0"/>
                <w:szCs w:val="22"/>
              </w:rPr>
            </w:pPr>
            <w:r>
              <w:rPr>
                <w:rFonts w:hint="default" w:ascii="Times New Roman" w:hAnsi="Times New Roman" w:eastAsia="宋体" w:cs="Times New Roman"/>
                <w:i w:val="0"/>
                <w:iCs w:val="0"/>
                <w:color w:val="000000"/>
                <w:kern w:val="0"/>
                <w:sz w:val="22"/>
                <w:szCs w:val="22"/>
                <w:u w:val="none"/>
                <w:lang w:val="en-US" w:eastAsia="zh-CN" w:bidi="ar"/>
              </w:rPr>
              <w:t>今年以来共吸纳应届高校毕业生（人）</w:t>
            </w:r>
          </w:p>
        </w:tc>
        <w:tc>
          <w:tcPr>
            <w:tcW w:w="132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53 </w:t>
            </w:r>
          </w:p>
        </w:tc>
        <w:tc>
          <w:tcPr>
            <w:tcW w:w="129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103 </w:t>
            </w:r>
          </w:p>
        </w:tc>
        <w:tc>
          <w:tcPr>
            <w:tcW w:w="129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255 </w:t>
            </w:r>
          </w:p>
        </w:tc>
        <w:tc>
          <w:tcPr>
            <w:tcW w:w="129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282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93" w:type="dxa"/>
            <w:noWrap w:val="0"/>
            <w:vAlign w:val="center"/>
          </w:tcPr>
          <w:p>
            <w:pPr>
              <w:widowControl/>
              <w:jc w:val="center"/>
              <w:textAlignment w:val="center"/>
              <w:rPr>
                <w:color w:val="000000"/>
                <w:kern w:val="0"/>
                <w:szCs w:val="22"/>
              </w:rPr>
            </w:pPr>
            <w:r>
              <w:rPr>
                <w:rFonts w:hint="default" w:ascii="Times New Roman" w:hAnsi="Times New Roman" w:eastAsia="宋体" w:cs="Times New Roman"/>
                <w:i w:val="0"/>
                <w:iCs w:val="0"/>
                <w:color w:val="000000"/>
                <w:kern w:val="0"/>
                <w:sz w:val="22"/>
                <w:szCs w:val="22"/>
                <w:u w:val="none"/>
                <w:lang w:val="en-US" w:eastAsia="zh-CN" w:bidi="ar"/>
              </w:rPr>
              <w:t>其中：本季度新招聘人数（人）</w:t>
            </w:r>
          </w:p>
        </w:tc>
        <w:tc>
          <w:tcPr>
            <w:tcW w:w="132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62 </w:t>
            </w:r>
          </w:p>
        </w:tc>
        <w:tc>
          <w:tcPr>
            <w:tcW w:w="129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46 </w:t>
            </w:r>
          </w:p>
        </w:tc>
        <w:tc>
          <w:tcPr>
            <w:tcW w:w="129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85 </w:t>
            </w:r>
          </w:p>
        </w:tc>
        <w:tc>
          <w:tcPr>
            <w:tcW w:w="129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49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93" w:type="dxa"/>
            <w:noWrap w:val="0"/>
            <w:vAlign w:val="center"/>
          </w:tcPr>
          <w:p>
            <w:pPr>
              <w:widowControl/>
              <w:jc w:val="center"/>
              <w:textAlignment w:val="center"/>
              <w:rPr>
                <w:color w:val="000000"/>
                <w:kern w:val="0"/>
                <w:szCs w:val="22"/>
              </w:rPr>
            </w:pPr>
            <w:r>
              <w:rPr>
                <w:rFonts w:hint="default" w:ascii="Times New Roman" w:hAnsi="Times New Roman" w:eastAsia="宋体" w:cs="Times New Roman"/>
                <w:i w:val="0"/>
                <w:iCs w:val="0"/>
                <w:color w:val="000000"/>
                <w:kern w:val="0"/>
                <w:sz w:val="22"/>
                <w:szCs w:val="22"/>
                <w:u w:val="none"/>
                <w:lang w:val="en-US" w:eastAsia="zh-CN" w:bidi="ar"/>
              </w:rPr>
              <w:t>本季度流失人数（人）</w:t>
            </w:r>
          </w:p>
        </w:tc>
        <w:tc>
          <w:tcPr>
            <w:tcW w:w="132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 </w:t>
            </w:r>
          </w:p>
        </w:tc>
        <w:tc>
          <w:tcPr>
            <w:tcW w:w="129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15 </w:t>
            </w:r>
          </w:p>
        </w:tc>
        <w:tc>
          <w:tcPr>
            <w:tcW w:w="129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355 </w:t>
            </w:r>
          </w:p>
        </w:tc>
        <w:tc>
          <w:tcPr>
            <w:tcW w:w="129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21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93" w:type="dxa"/>
            <w:noWrap w:val="0"/>
            <w:vAlign w:val="center"/>
          </w:tcPr>
          <w:p>
            <w:pPr>
              <w:widowControl/>
              <w:jc w:val="center"/>
              <w:textAlignment w:val="center"/>
              <w:rPr>
                <w:color w:val="000000"/>
                <w:kern w:val="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下季度预计招聘人数（人） </w:t>
            </w:r>
          </w:p>
        </w:tc>
        <w:tc>
          <w:tcPr>
            <w:tcW w:w="132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120 </w:t>
            </w:r>
          </w:p>
        </w:tc>
        <w:tc>
          <w:tcPr>
            <w:tcW w:w="129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113 </w:t>
            </w:r>
          </w:p>
        </w:tc>
        <w:tc>
          <w:tcPr>
            <w:tcW w:w="129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64 </w:t>
            </w:r>
          </w:p>
        </w:tc>
        <w:tc>
          <w:tcPr>
            <w:tcW w:w="129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61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93" w:type="dxa"/>
            <w:noWrap w:val="0"/>
            <w:vAlign w:val="center"/>
          </w:tcPr>
          <w:p>
            <w:pPr>
              <w:widowControl/>
              <w:jc w:val="center"/>
              <w:textAlignment w:val="center"/>
              <w:rPr>
                <w:color w:val="000000"/>
                <w:kern w:val="0"/>
                <w:szCs w:val="22"/>
              </w:rPr>
            </w:pPr>
            <w:r>
              <w:rPr>
                <w:rFonts w:hint="default" w:ascii="Times New Roman" w:hAnsi="Times New Roman" w:eastAsia="宋体" w:cs="Times New Roman"/>
                <w:i w:val="0"/>
                <w:iCs w:val="0"/>
                <w:color w:val="000000"/>
                <w:kern w:val="0"/>
                <w:sz w:val="22"/>
                <w:szCs w:val="22"/>
                <w:u w:val="none"/>
                <w:lang w:val="en-US" w:eastAsia="zh-CN" w:bidi="ar"/>
              </w:rPr>
              <w:t>目前招聘人均工资水平（元/月）</w:t>
            </w:r>
          </w:p>
        </w:tc>
        <w:tc>
          <w:tcPr>
            <w:tcW w:w="132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4750.00 </w:t>
            </w:r>
          </w:p>
        </w:tc>
        <w:tc>
          <w:tcPr>
            <w:tcW w:w="129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4587.62 </w:t>
            </w:r>
          </w:p>
        </w:tc>
        <w:tc>
          <w:tcPr>
            <w:tcW w:w="129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4503.32 </w:t>
            </w:r>
          </w:p>
        </w:tc>
        <w:tc>
          <w:tcPr>
            <w:tcW w:w="129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4479.87 </w:t>
            </w:r>
          </w:p>
        </w:tc>
      </w:tr>
    </w:tbl>
    <w:p>
      <w:pPr>
        <w:numPr>
          <w:ilvl w:val="0"/>
          <w:numId w:val="0"/>
        </w:numPr>
        <w:spacing w:before="156"/>
        <w:ind w:firstLine="420" w:firstLineChars="200"/>
        <w:rPr>
          <w:rFonts w:hint="eastAsia"/>
        </w:rPr>
      </w:pPr>
    </w:p>
    <w:p>
      <w:pPr>
        <w:pStyle w:val="37"/>
        <w:numPr>
          <w:ilvl w:val="0"/>
          <w:numId w:val="0"/>
        </w:numPr>
        <w:spacing w:before="156"/>
        <w:ind w:firstLine="640" w:firstLineChars="200"/>
        <w:rPr>
          <w:rFonts w:hint="eastAsia" w:ascii="楷体_GB2312" w:hAnsi="楷体_GB2312" w:eastAsia="楷体_GB2312" w:cs="楷体_GB2312"/>
          <w:b w:val="0"/>
          <w:bCs w:val="0"/>
        </w:rPr>
      </w:pPr>
      <w:bookmarkStart w:id="14" w:name="_Toc25005"/>
      <w:r>
        <w:rPr>
          <w:rFonts w:hint="eastAsia" w:ascii="楷体_GB2312" w:hAnsi="楷体_GB2312" w:eastAsia="楷体_GB2312" w:cs="楷体_GB2312"/>
          <w:b w:val="0"/>
          <w:bCs w:val="0"/>
        </w:rPr>
        <w:t>（二）吸纳应届高校毕业生人数情况</w:t>
      </w:r>
      <w:bookmarkEnd w:id="14"/>
    </w:p>
    <w:p>
      <w:pPr>
        <w:ind w:left="420" w:firstLine="643" w:firstLineChars="200"/>
        <w:rPr>
          <w:rFonts w:eastAsia="仿宋"/>
          <w:b/>
          <w:sz w:val="32"/>
          <w:szCs w:val="32"/>
        </w:rPr>
      </w:pPr>
      <w:r>
        <w:rPr>
          <w:rFonts w:eastAsia="仿宋"/>
          <w:b/>
          <w:sz w:val="32"/>
          <w:szCs w:val="32"/>
        </w:rPr>
        <w:t>1.制造业</w:t>
      </w:r>
      <w:r>
        <w:rPr>
          <w:rFonts w:hint="eastAsia" w:eastAsia="仿宋"/>
          <w:b/>
          <w:sz w:val="32"/>
          <w:szCs w:val="32"/>
        </w:rPr>
        <w:t>、住宿和餐饮业</w:t>
      </w:r>
      <w:r>
        <w:rPr>
          <w:rFonts w:eastAsia="仿宋"/>
          <w:b/>
          <w:sz w:val="32"/>
          <w:szCs w:val="32"/>
        </w:rPr>
        <w:t>企业吸纳应届高校毕业生人数</w:t>
      </w:r>
      <w:r>
        <w:rPr>
          <w:rFonts w:hint="eastAsia" w:eastAsia="仿宋"/>
          <w:b/>
          <w:sz w:val="32"/>
          <w:szCs w:val="32"/>
        </w:rPr>
        <w:t>较</w:t>
      </w:r>
      <w:r>
        <w:rPr>
          <w:rFonts w:eastAsia="仿宋"/>
          <w:b/>
          <w:sz w:val="32"/>
          <w:szCs w:val="32"/>
        </w:rPr>
        <w:t>多</w:t>
      </w:r>
    </w:p>
    <w:p>
      <w:pPr>
        <w:ind w:left="0" w:firstLine="640" w:firstLineChars="200"/>
        <w:rPr>
          <w:rFonts w:eastAsia="仿宋_GB2312"/>
          <w:color w:val="000000"/>
          <w:sz w:val="32"/>
          <w:szCs w:val="32"/>
        </w:rPr>
      </w:pPr>
      <w:r>
        <w:rPr>
          <w:rFonts w:hint="default" w:eastAsia="仿宋_GB2312"/>
          <w:color w:val="000000"/>
          <w:sz w:val="32"/>
          <w:szCs w:val="32"/>
          <w:lang w:eastAsia="zh-CN"/>
        </w:rPr>
        <w:t>2023年</w:t>
      </w:r>
      <w:r>
        <w:rPr>
          <w:rFonts w:hint="default" w:eastAsia="仿宋_GB2312"/>
          <w:color w:val="000000"/>
          <w:sz w:val="32"/>
          <w:szCs w:val="32"/>
        </w:rPr>
        <w:t>，分行业来看</w:t>
      </w:r>
      <w:r>
        <w:rPr>
          <w:rFonts w:eastAsia="仿宋_GB2312"/>
          <w:color w:val="000000"/>
          <w:sz w:val="32"/>
          <w:szCs w:val="32"/>
        </w:rPr>
        <w:t>，制造业</w:t>
      </w:r>
      <w:r>
        <w:rPr>
          <w:rFonts w:hint="default" w:eastAsia="仿宋_GB2312"/>
          <w:color w:val="000000"/>
          <w:sz w:val="32"/>
          <w:szCs w:val="32"/>
        </w:rPr>
        <w:t>、住宿和餐饮业</w:t>
      </w:r>
      <w:r>
        <w:rPr>
          <w:rFonts w:eastAsia="仿宋_GB2312"/>
          <w:color w:val="000000"/>
          <w:sz w:val="32"/>
          <w:szCs w:val="32"/>
        </w:rPr>
        <w:t>吸纳的应届高校毕业生人数</w:t>
      </w:r>
      <w:r>
        <w:rPr>
          <w:rFonts w:hint="default" w:eastAsia="仿宋_GB2312"/>
          <w:color w:val="000000"/>
          <w:sz w:val="32"/>
          <w:szCs w:val="32"/>
        </w:rPr>
        <w:t>较多，平均</w:t>
      </w:r>
      <w:r>
        <w:rPr>
          <w:rFonts w:hint="default" w:eastAsia="仿宋_GB2312"/>
          <w:color w:val="000000"/>
          <w:sz w:val="32"/>
          <w:szCs w:val="32"/>
          <w:lang w:val="en-US" w:eastAsia="zh-CN"/>
        </w:rPr>
        <w:t>113</w:t>
      </w:r>
      <w:r>
        <w:rPr>
          <w:rFonts w:hint="default" w:eastAsia="仿宋_GB2312"/>
          <w:color w:val="000000"/>
          <w:sz w:val="32"/>
          <w:szCs w:val="32"/>
        </w:rPr>
        <w:t>人和</w:t>
      </w:r>
      <w:r>
        <w:rPr>
          <w:rFonts w:hint="default" w:eastAsia="仿宋_GB2312"/>
          <w:color w:val="000000"/>
          <w:sz w:val="32"/>
          <w:szCs w:val="32"/>
          <w:lang w:val="en-US" w:eastAsia="zh-CN"/>
        </w:rPr>
        <w:t>25</w:t>
      </w:r>
      <w:r>
        <w:rPr>
          <w:rFonts w:hint="default" w:eastAsia="仿宋_GB2312"/>
          <w:color w:val="000000"/>
          <w:sz w:val="32"/>
          <w:szCs w:val="32"/>
        </w:rPr>
        <w:t>人左右；</w:t>
      </w:r>
      <w:r>
        <w:rPr>
          <w:rFonts w:eastAsia="仿宋_GB2312"/>
          <w:color w:val="000000"/>
          <w:sz w:val="32"/>
          <w:szCs w:val="32"/>
        </w:rPr>
        <w:t>其他行业吸纳应届高校毕业生人数较少（见表</w:t>
      </w:r>
      <w:r>
        <w:rPr>
          <w:rFonts w:hint="eastAsia" w:eastAsia="仿宋_GB2312"/>
          <w:color w:val="000000"/>
          <w:sz w:val="32"/>
          <w:szCs w:val="32"/>
          <w:lang w:val="en-US" w:eastAsia="zh-CN"/>
        </w:rPr>
        <w:t>17</w:t>
      </w:r>
      <w:r>
        <w:rPr>
          <w:rFonts w:eastAsia="仿宋_GB2312"/>
          <w:color w:val="000000"/>
          <w:sz w:val="32"/>
          <w:szCs w:val="32"/>
        </w:rPr>
        <w:t>）。</w:t>
      </w:r>
    </w:p>
    <w:p>
      <w:pPr>
        <w:pStyle w:val="39"/>
        <w:numPr>
          <w:ilvl w:val="0"/>
          <w:numId w:val="0"/>
        </w:numPr>
        <w:ind w:left="851"/>
        <w:rPr>
          <w:rFonts w:eastAsia="宋体"/>
        </w:rPr>
      </w:pPr>
      <w:r>
        <w:rPr>
          <w:rFonts w:hint="eastAsia" w:eastAsia="宋体"/>
        </w:rPr>
        <w:t>表</w:t>
      </w:r>
      <w:r>
        <w:rPr>
          <w:rFonts w:hint="eastAsia" w:eastAsia="宋体"/>
          <w:lang w:val="en-US" w:eastAsia="zh-CN"/>
        </w:rPr>
        <w:t>17</w:t>
      </w:r>
      <w:r>
        <w:rPr>
          <w:rFonts w:hint="eastAsia" w:eastAsia="宋体"/>
        </w:rPr>
        <w:t>：</w:t>
      </w:r>
      <w:r>
        <w:rPr>
          <w:rFonts w:hint="eastAsia" w:eastAsia="宋体"/>
          <w:lang w:eastAsia="zh-CN"/>
        </w:rPr>
        <w:t>2023年</w:t>
      </w:r>
      <w:r>
        <w:rPr>
          <w:rFonts w:eastAsia="宋体"/>
        </w:rPr>
        <w:t>样本企业分行业今年以来共吸纳应届高校毕业生人数</w:t>
      </w:r>
    </w:p>
    <w:p>
      <w:pPr>
        <w:jc w:val="right"/>
        <w:rPr>
          <w:b/>
          <w:sz w:val="24"/>
        </w:rPr>
      </w:pPr>
      <w:r>
        <w:rPr>
          <w:b/>
          <w:sz w:val="24"/>
        </w:rPr>
        <w:t>单位：人</w:t>
      </w:r>
    </w:p>
    <w:tbl>
      <w:tblPr>
        <w:tblStyle w:val="13"/>
        <w:tblW w:w="9191" w:type="dxa"/>
        <w:tblInd w:w="93"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972"/>
        <w:gridCol w:w="1433"/>
        <w:gridCol w:w="1262"/>
        <w:gridCol w:w="1262"/>
        <w:gridCol w:w="1262"/>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44" w:hRule="atLeast"/>
          <w:tblHeader/>
        </w:trPr>
        <w:tc>
          <w:tcPr>
            <w:tcW w:w="3972" w:type="dxa"/>
            <w:shd w:val="clear" w:color="auto" w:fill="92CDDC" w:themeFill="accent5" w:themeFillTint="99"/>
            <w:noWrap w:val="0"/>
            <w:vAlign w:val="center"/>
          </w:tcPr>
          <w:p>
            <w:pPr>
              <w:widowControl/>
              <w:jc w:val="center"/>
              <w:rPr>
                <w:b/>
                <w:bCs/>
                <w:color w:val="000000"/>
                <w:kern w:val="0"/>
              </w:rPr>
            </w:pPr>
            <w:r>
              <w:rPr>
                <w:b/>
                <w:bCs/>
                <w:color w:val="000000"/>
                <w:kern w:val="0"/>
              </w:rPr>
              <w:t>行业</w:t>
            </w:r>
          </w:p>
        </w:tc>
        <w:tc>
          <w:tcPr>
            <w:tcW w:w="1433" w:type="dxa"/>
            <w:shd w:val="clear" w:color="auto" w:fill="92CDDC" w:themeFill="accent5" w:themeFillTint="99"/>
            <w:noWrap w:val="0"/>
            <w:vAlign w:val="center"/>
          </w:tcPr>
          <w:p>
            <w:pPr>
              <w:widowControl/>
              <w:jc w:val="center"/>
              <w:rPr>
                <w:b/>
                <w:bCs/>
                <w:color w:val="000000"/>
                <w:kern w:val="0"/>
              </w:rPr>
            </w:pPr>
            <w:r>
              <w:rPr>
                <w:b/>
                <w:bCs/>
                <w:color w:val="000000"/>
                <w:kern w:val="0"/>
              </w:rPr>
              <w:t>1季度</w:t>
            </w:r>
          </w:p>
        </w:tc>
        <w:tc>
          <w:tcPr>
            <w:tcW w:w="1262" w:type="dxa"/>
            <w:shd w:val="clear" w:color="auto" w:fill="92CDDC" w:themeFill="accent5" w:themeFillTint="99"/>
            <w:noWrap w:val="0"/>
            <w:vAlign w:val="center"/>
          </w:tcPr>
          <w:p>
            <w:pPr>
              <w:widowControl/>
              <w:jc w:val="center"/>
              <w:rPr>
                <w:b/>
                <w:bCs/>
                <w:color w:val="000000"/>
                <w:kern w:val="0"/>
              </w:rPr>
            </w:pPr>
            <w:r>
              <w:rPr>
                <w:b/>
                <w:bCs/>
                <w:color w:val="000000"/>
                <w:kern w:val="0"/>
              </w:rPr>
              <w:t>2季度</w:t>
            </w:r>
          </w:p>
        </w:tc>
        <w:tc>
          <w:tcPr>
            <w:tcW w:w="1262" w:type="dxa"/>
            <w:shd w:val="clear" w:color="auto" w:fill="92CDDC" w:themeFill="accent5" w:themeFillTint="99"/>
            <w:noWrap w:val="0"/>
            <w:vAlign w:val="center"/>
          </w:tcPr>
          <w:p>
            <w:pPr>
              <w:widowControl/>
              <w:jc w:val="center"/>
              <w:rPr>
                <w:b/>
                <w:bCs/>
                <w:color w:val="000000"/>
                <w:kern w:val="0"/>
              </w:rPr>
            </w:pPr>
            <w:r>
              <w:rPr>
                <w:b/>
                <w:bCs/>
                <w:color w:val="000000"/>
                <w:kern w:val="0"/>
              </w:rPr>
              <w:t>3季度</w:t>
            </w:r>
          </w:p>
        </w:tc>
        <w:tc>
          <w:tcPr>
            <w:tcW w:w="1262" w:type="dxa"/>
            <w:shd w:val="clear" w:color="auto" w:fill="92CDDC" w:themeFill="accent5" w:themeFillTint="99"/>
            <w:noWrap w:val="0"/>
            <w:vAlign w:val="center"/>
          </w:tcPr>
          <w:p>
            <w:pPr>
              <w:widowControl/>
              <w:jc w:val="center"/>
              <w:rPr>
                <w:b/>
                <w:bCs/>
                <w:color w:val="000000"/>
                <w:kern w:val="0"/>
              </w:rPr>
            </w:pPr>
            <w:r>
              <w:rPr>
                <w:b/>
                <w:bCs/>
                <w:color w:val="000000"/>
                <w:kern w:val="0"/>
              </w:rPr>
              <w:t>4季度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193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32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29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金融业</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教育</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公共管理、社会保障和社会组织</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1433"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62"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2" w:type="dxa"/>
            <w:noWrap w:val="0"/>
            <w:vAlign w:val="bottom"/>
          </w:tcPr>
          <w:p>
            <w:pPr>
              <w:widowControl/>
              <w:jc w:val="center"/>
              <w:textAlignment w:val="bottom"/>
              <w:rPr>
                <w:b/>
                <w:bCs/>
                <w:color w:val="000000"/>
                <w:kern w:val="0"/>
                <w:szCs w:val="21"/>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433" w:type="dxa"/>
            <w:noWrap w:val="0"/>
            <w:vAlign w:val="bottom"/>
          </w:tcPr>
          <w:p>
            <w:pPr>
              <w:widowControl/>
              <w:jc w:val="center"/>
              <w:textAlignment w:val="bottom"/>
              <w:rPr>
                <w:b/>
                <w:bCs/>
                <w:color w:val="000000"/>
                <w:szCs w:val="21"/>
              </w:rPr>
            </w:pPr>
            <w:r>
              <w:rPr>
                <w:rFonts w:hint="default" w:ascii="Times New Roman" w:hAnsi="Times New Roman" w:eastAsia="宋体" w:cs="Times New Roman"/>
                <w:b/>
                <w:bCs/>
                <w:i w:val="0"/>
                <w:iCs w:val="0"/>
                <w:color w:val="000000"/>
                <w:kern w:val="0"/>
                <w:sz w:val="22"/>
                <w:szCs w:val="22"/>
                <w:u w:val="none"/>
                <w:lang w:val="en-US" w:eastAsia="zh-CN" w:bidi="ar"/>
              </w:rPr>
              <w:t>53</w:t>
            </w:r>
          </w:p>
        </w:tc>
        <w:tc>
          <w:tcPr>
            <w:tcW w:w="1262" w:type="dxa"/>
            <w:noWrap w:val="0"/>
            <w:vAlign w:val="bottom"/>
          </w:tcPr>
          <w:p>
            <w:pPr>
              <w:widowControl/>
              <w:jc w:val="center"/>
              <w:textAlignment w:val="bottom"/>
              <w:rPr>
                <w:b/>
                <w:bCs/>
                <w:color w:val="000000"/>
                <w:szCs w:val="21"/>
              </w:rPr>
            </w:pPr>
            <w:r>
              <w:rPr>
                <w:rFonts w:hint="default" w:ascii="Times New Roman" w:hAnsi="Times New Roman" w:eastAsia="宋体" w:cs="Times New Roman"/>
                <w:b/>
                <w:bCs/>
                <w:i w:val="0"/>
                <w:iCs w:val="0"/>
                <w:color w:val="000000"/>
                <w:kern w:val="0"/>
                <w:sz w:val="22"/>
                <w:szCs w:val="22"/>
                <w:u w:val="none"/>
                <w:lang w:val="en-US" w:eastAsia="zh-CN" w:bidi="ar"/>
              </w:rPr>
              <w:t>103</w:t>
            </w:r>
          </w:p>
        </w:tc>
        <w:tc>
          <w:tcPr>
            <w:tcW w:w="1262" w:type="dxa"/>
            <w:noWrap w:val="0"/>
            <w:vAlign w:val="bottom"/>
          </w:tcPr>
          <w:p>
            <w:pPr>
              <w:widowControl/>
              <w:jc w:val="center"/>
              <w:textAlignment w:val="bottom"/>
              <w:rPr>
                <w:b/>
                <w:bCs/>
                <w:color w:val="000000"/>
                <w:szCs w:val="21"/>
              </w:rPr>
            </w:pPr>
            <w:r>
              <w:rPr>
                <w:rFonts w:hint="default" w:ascii="Times New Roman" w:hAnsi="Times New Roman" w:eastAsia="宋体" w:cs="Times New Roman"/>
                <w:b/>
                <w:bCs/>
                <w:i w:val="0"/>
                <w:iCs w:val="0"/>
                <w:color w:val="000000"/>
                <w:kern w:val="0"/>
                <w:sz w:val="22"/>
                <w:szCs w:val="22"/>
                <w:u w:val="none"/>
                <w:lang w:val="en-US" w:eastAsia="zh-CN" w:bidi="ar"/>
              </w:rPr>
              <w:t>255</w:t>
            </w:r>
          </w:p>
        </w:tc>
        <w:tc>
          <w:tcPr>
            <w:tcW w:w="1262" w:type="dxa"/>
            <w:noWrap w:val="0"/>
            <w:vAlign w:val="bottom"/>
          </w:tcPr>
          <w:p>
            <w:pPr>
              <w:widowControl/>
              <w:jc w:val="center"/>
              <w:textAlignment w:val="bottom"/>
              <w:rPr>
                <w:b/>
                <w:bCs/>
                <w:color w:val="000000"/>
                <w:szCs w:val="21"/>
              </w:rPr>
            </w:pPr>
            <w:r>
              <w:rPr>
                <w:rFonts w:hint="default" w:ascii="Times New Roman" w:hAnsi="Times New Roman" w:eastAsia="宋体" w:cs="Times New Roman"/>
                <w:b/>
                <w:bCs/>
                <w:i w:val="0"/>
                <w:iCs w:val="0"/>
                <w:color w:val="000000"/>
                <w:kern w:val="0"/>
                <w:sz w:val="22"/>
                <w:szCs w:val="22"/>
                <w:u w:val="none"/>
                <w:lang w:val="en-US" w:eastAsia="zh-CN" w:bidi="ar"/>
              </w:rPr>
              <w:t>282</w:t>
            </w:r>
          </w:p>
        </w:tc>
      </w:tr>
    </w:tbl>
    <w:p>
      <w:pPr>
        <w:ind w:firstLine="0"/>
      </w:pPr>
    </w:p>
    <w:p>
      <w:pPr>
        <w:ind w:firstLine="660"/>
        <w:rPr>
          <w:rFonts w:eastAsia="仿宋"/>
          <w:b/>
          <w:sz w:val="32"/>
          <w:szCs w:val="32"/>
        </w:rPr>
      </w:pPr>
      <w:r>
        <w:rPr>
          <w:rFonts w:eastAsia="仿宋"/>
          <w:b/>
          <w:sz w:val="32"/>
          <w:szCs w:val="32"/>
        </w:rPr>
        <w:t>2.</w:t>
      </w:r>
      <w:r>
        <w:rPr>
          <w:rFonts w:hint="eastAsia"/>
        </w:rPr>
        <w:t xml:space="preserve"> </w:t>
      </w:r>
      <w:r>
        <w:rPr>
          <w:rFonts w:eastAsia="仿宋"/>
          <w:b/>
          <w:sz w:val="32"/>
          <w:szCs w:val="32"/>
        </w:rPr>
        <w:t>制造业</w:t>
      </w:r>
      <w:r>
        <w:rPr>
          <w:rFonts w:hint="eastAsia" w:eastAsia="仿宋"/>
          <w:b/>
          <w:sz w:val="32"/>
          <w:szCs w:val="32"/>
          <w:lang w:eastAsia="zh-CN"/>
        </w:rPr>
        <w:t>、</w:t>
      </w:r>
      <w:r>
        <w:rPr>
          <w:rFonts w:hint="eastAsia" w:eastAsia="仿宋"/>
          <w:b/>
          <w:sz w:val="32"/>
          <w:szCs w:val="32"/>
          <w:lang w:val="en-US" w:eastAsia="zh-CN"/>
        </w:rPr>
        <w:t>批发和零售业</w:t>
      </w:r>
      <w:r>
        <w:rPr>
          <w:rFonts w:eastAsia="仿宋"/>
          <w:b/>
          <w:sz w:val="32"/>
          <w:szCs w:val="32"/>
        </w:rPr>
        <w:t>企业新招聘应届高校毕业生较多</w:t>
      </w:r>
    </w:p>
    <w:p>
      <w:pPr>
        <w:ind w:firstLine="640" w:firstLineChars="200"/>
        <w:rPr>
          <w:rFonts w:eastAsia="仿宋_GB2312"/>
          <w:color w:val="000000"/>
          <w:sz w:val="32"/>
          <w:szCs w:val="32"/>
        </w:rPr>
      </w:pPr>
      <w:r>
        <w:rPr>
          <w:rFonts w:hint="default" w:eastAsia="仿宋_GB2312"/>
          <w:color w:val="000000"/>
          <w:sz w:val="32"/>
          <w:szCs w:val="32"/>
          <w:lang w:eastAsia="zh-CN"/>
        </w:rPr>
        <w:t>2023年</w:t>
      </w:r>
      <w:r>
        <w:rPr>
          <w:rFonts w:eastAsia="仿宋_GB2312"/>
          <w:color w:val="000000"/>
          <w:sz w:val="32"/>
          <w:szCs w:val="32"/>
        </w:rPr>
        <w:t>，</w:t>
      </w:r>
      <w:r>
        <w:rPr>
          <w:rFonts w:hint="default" w:eastAsia="仿宋_GB2312"/>
          <w:color w:val="000000"/>
          <w:sz w:val="32"/>
          <w:szCs w:val="32"/>
          <w:lang w:val="en-US" w:eastAsia="zh-CN"/>
        </w:rPr>
        <w:t>各季度</w:t>
      </w:r>
      <w:r>
        <w:rPr>
          <w:rFonts w:eastAsia="仿宋_GB2312"/>
          <w:color w:val="000000"/>
          <w:sz w:val="32"/>
          <w:szCs w:val="32"/>
        </w:rPr>
        <w:t>新招聘应届高校毕业生人数分别为</w:t>
      </w:r>
      <w:r>
        <w:rPr>
          <w:rFonts w:hint="default" w:eastAsia="仿宋_GB2312"/>
          <w:color w:val="000000"/>
          <w:sz w:val="32"/>
          <w:szCs w:val="32"/>
          <w:lang w:val="en-US" w:eastAsia="zh-CN"/>
        </w:rPr>
        <w:t>62</w:t>
      </w:r>
      <w:r>
        <w:rPr>
          <w:rFonts w:eastAsia="仿宋_GB2312"/>
          <w:color w:val="000000"/>
          <w:sz w:val="32"/>
          <w:szCs w:val="32"/>
        </w:rPr>
        <w:t>人、</w:t>
      </w:r>
      <w:r>
        <w:rPr>
          <w:rFonts w:hint="default" w:eastAsia="仿宋_GB2312"/>
          <w:color w:val="000000"/>
          <w:sz w:val="32"/>
          <w:szCs w:val="32"/>
          <w:lang w:val="en-US" w:eastAsia="zh-CN"/>
        </w:rPr>
        <w:t>46</w:t>
      </w:r>
      <w:r>
        <w:rPr>
          <w:rFonts w:eastAsia="仿宋_GB2312"/>
          <w:color w:val="000000"/>
          <w:sz w:val="32"/>
          <w:szCs w:val="32"/>
        </w:rPr>
        <w:t>人、</w:t>
      </w:r>
      <w:r>
        <w:rPr>
          <w:rFonts w:hint="default" w:eastAsia="仿宋_GB2312"/>
          <w:color w:val="000000"/>
          <w:sz w:val="32"/>
          <w:szCs w:val="32"/>
          <w:lang w:val="en-US" w:eastAsia="zh-CN"/>
        </w:rPr>
        <w:t>85</w:t>
      </w:r>
      <w:r>
        <w:rPr>
          <w:rFonts w:eastAsia="仿宋_GB2312"/>
          <w:color w:val="000000"/>
          <w:sz w:val="32"/>
          <w:szCs w:val="32"/>
        </w:rPr>
        <w:t>人和</w:t>
      </w:r>
      <w:r>
        <w:rPr>
          <w:rFonts w:hint="default" w:eastAsia="仿宋_GB2312"/>
          <w:color w:val="000000"/>
          <w:sz w:val="32"/>
          <w:szCs w:val="32"/>
          <w:lang w:val="en-US" w:eastAsia="zh-CN"/>
        </w:rPr>
        <w:t>49</w:t>
      </w:r>
      <w:r>
        <w:rPr>
          <w:rFonts w:eastAsia="仿宋_GB2312"/>
          <w:color w:val="000000"/>
          <w:sz w:val="32"/>
          <w:szCs w:val="32"/>
        </w:rPr>
        <w:t>人，</w:t>
      </w:r>
      <w:r>
        <w:rPr>
          <w:rFonts w:hint="default" w:eastAsia="仿宋_GB2312"/>
          <w:color w:val="000000"/>
          <w:sz w:val="32"/>
          <w:szCs w:val="32"/>
        </w:rPr>
        <w:t>3</w:t>
      </w:r>
      <w:r>
        <w:rPr>
          <w:rFonts w:eastAsia="仿宋_GB2312"/>
          <w:color w:val="000000"/>
          <w:sz w:val="32"/>
          <w:szCs w:val="32"/>
        </w:rPr>
        <w:t>季度最多，</w:t>
      </w:r>
      <w:r>
        <w:rPr>
          <w:rFonts w:hint="default" w:eastAsia="仿宋_GB2312"/>
          <w:color w:val="000000"/>
          <w:sz w:val="32"/>
          <w:szCs w:val="32"/>
          <w:lang w:val="en-US" w:eastAsia="zh-CN"/>
        </w:rPr>
        <w:t>2</w:t>
      </w:r>
      <w:r>
        <w:rPr>
          <w:rFonts w:eastAsia="仿宋_GB2312"/>
          <w:color w:val="000000"/>
          <w:sz w:val="32"/>
          <w:szCs w:val="32"/>
        </w:rPr>
        <w:t>季度最少。</w:t>
      </w:r>
      <w:r>
        <w:rPr>
          <w:rFonts w:hint="default" w:eastAsia="仿宋_GB2312"/>
          <w:color w:val="000000"/>
          <w:sz w:val="32"/>
          <w:szCs w:val="32"/>
        </w:rPr>
        <w:t>分行业来看</w:t>
      </w:r>
      <w:r>
        <w:rPr>
          <w:rFonts w:eastAsia="仿宋_GB2312"/>
          <w:color w:val="000000"/>
          <w:sz w:val="32"/>
          <w:szCs w:val="32"/>
        </w:rPr>
        <w:t>，制造业</w:t>
      </w:r>
      <w:r>
        <w:rPr>
          <w:rFonts w:hint="default" w:eastAsia="仿宋_GB2312"/>
          <w:color w:val="000000"/>
          <w:sz w:val="32"/>
          <w:szCs w:val="32"/>
          <w:lang w:eastAsia="zh-CN"/>
        </w:rPr>
        <w:t>、</w:t>
      </w:r>
      <w:r>
        <w:rPr>
          <w:rFonts w:hint="default" w:eastAsia="仿宋_GB2312"/>
          <w:color w:val="000000"/>
          <w:sz w:val="32"/>
          <w:szCs w:val="32"/>
        </w:rPr>
        <w:t>批发和零售业</w:t>
      </w:r>
      <w:r>
        <w:rPr>
          <w:rFonts w:eastAsia="仿宋_GB2312"/>
          <w:color w:val="000000"/>
          <w:sz w:val="32"/>
          <w:szCs w:val="32"/>
        </w:rPr>
        <w:t>新招聘应届高校毕业生人数最多；</w:t>
      </w:r>
      <w:r>
        <w:rPr>
          <w:rFonts w:hint="default" w:eastAsia="仿宋_GB2312"/>
          <w:color w:val="000000"/>
          <w:sz w:val="32"/>
          <w:szCs w:val="32"/>
        </w:rPr>
        <w:t>住宿和餐饮业</w:t>
      </w:r>
      <w:r>
        <w:rPr>
          <w:rFonts w:hint="default" w:eastAsia="仿宋_GB2312"/>
          <w:color w:val="000000"/>
          <w:sz w:val="32"/>
          <w:szCs w:val="32"/>
          <w:lang w:eastAsia="zh-CN"/>
        </w:rPr>
        <w:t>、科学研究和技术服务业、</w:t>
      </w:r>
      <w:r>
        <w:rPr>
          <w:rFonts w:hint="default" w:eastAsia="仿宋_GB2312"/>
          <w:color w:val="000000"/>
          <w:sz w:val="32"/>
          <w:szCs w:val="32"/>
        </w:rPr>
        <w:t>交通运输、信息传输、软件和信息技术服务业</w:t>
      </w:r>
      <w:r>
        <w:rPr>
          <w:rFonts w:hint="default" w:eastAsia="仿宋_GB2312"/>
          <w:color w:val="000000"/>
          <w:sz w:val="32"/>
          <w:szCs w:val="32"/>
          <w:lang w:eastAsia="zh-CN"/>
        </w:rPr>
        <w:t>、卫生和社会工作、电力、热力、燃气及水生产和供应业</w:t>
      </w:r>
      <w:r>
        <w:rPr>
          <w:rFonts w:eastAsia="仿宋_GB2312"/>
          <w:color w:val="000000"/>
          <w:sz w:val="32"/>
          <w:szCs w:val="32"/>
        </w:rPr>
        <w:t>招聘应届高校毕业生人数也相对</w:t>
      </w:r>
      <w:r>
        <w:rPr>
          <w:rFonts w:hint="default" w:eastAsia="仿宋_GB2312"/>
          <w:color w:val="000000"/>
          <w:sz w:val="32"/>
          <w:szCs w:val="32"/>
        </w:rPr>
        <w:t>较</w:t>
      </w:r>
      <w:r>
        <w:rPr>
          <w:rFonts w:eastAsia="仿宋_GB2312"/>
          <w:color w:val="000000"/>
          <w:sz w:val="32"/>
          <w:szCs w:val="32"/>
        </w:rPr>
        <w:t>多（见表</w:t>
      </w:r>
      <w:r>
        <w:rPr>
          <w:rFonts w:hint="eastAsia" w:eastAsia="仿宋_GB2312"/>
          <w:color w:val="000000"/>
          <w:sz w:val="32"/>
          <w:szCs w:val="32"/>
          <w:lang w:val="en-US" w:eastAsia="zh-CN"/>
        </w:rPr>
        <w:t>18</w:t>
      </w:r>
      <w:r>
        <w:rPr>
          <w:rFonts w:eastAsia="仿宋_GB2312"/>
          <w:color w:val="000000"/>
          <w:sz w:val="32"/>
          <w:szCs w:val="32"/>
        </w:rPr>
        <w:t>）。</w:t>
      </w:r>
    </w:p>
    <w:p>
      <w:pPr>
        <w:pStyle w:val="39"/>
        <w:numPr>
          <w:ilvl w:val="0"/>
          <w:numId w:val="0"/>
        </w:numPr>
        <w:ind w:left="624"/>
        <w:rPr>
          <w:rFonts w:eastAsia="宋体"/>
        </w:rPr>
      </w:pPr>
      <w:r>
        <w:rPr>
          <w:rFonts w:hint="eastAsia" w:eastAsia="宋体"/>
        </w:rPr>
        <w:t>表</w:t>
      </w:r>
      <w:r>
        <w:rPr>
          <w:rFonts w:hint="eastAsia" w:eastAsia="宋体"/>
          <w:lang w:val="en-US" w:eastAsia="zh-CN"/>
        </w:rPr>
        <w:t>18</w:t>
      </w:r>
      <w:r>
        <w:rPr>
          <w:rFonts w:hint="eastAsia" w:eastAsia="宋体"/>
        </w:rPr>
        <w:t>：</w:t>
      </w:r>
      <w:r>
        <w:rPr>
          <w:rFonts w:hint="eastAsia" w:eastAsia="宋体"/>
          <w:lang w:eastAsia="zh-CN"/>
        </w:rPr>
        <w:t>2023年</w:t>
      </w:r>
      <w:r>
        <w:rPr>
          <w:rFonts w:eastAsia="宋体"/>
        </w:rPr>
        <w:t>样本企业分行业本季度新招聘应届高校毕业生人数</w:t>
      </w:r>
    </w:p>
    <w:p>
      <w:pPr>
        <w:jc w:val="right"/>
        <w:rPr>
          <w:b/>
          <w:sz w:val="24"/>
        </w:rPr>
      </w:pPr>
      <w:r>
        <w:rPr>
          <w:b/>
          <w:sz w:val="24"/>
        </w:rPr>
        <w:t>单位：人</w:t>
      </w:r>
    </w:p>
    <w:tbl>
      <w:tblPr>
        <w:tblStyle w:val="13"/>
        <w:tblW w:w="9192" w:type="dxa"/>
        <w:tblInd w:w="93"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989"/>
        <w:gridCol w:w="1368"/>
        <w:gridCol w:w="1245"/>
        <w:gridCol w:w="1295"/>
        <w:gridCol w:w="1295"/>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74" w:hRule="atLeast"/>
          <w:tblHeader/>
        </w:trPr>
        <w:tc>
          <w:tcPr>
            <w:tcW w:w="3989" w:type="dxa"/>
            <w:shd w:val="clear" w:color="auto" w:fill="92CDDC" w:themeFill="accent5" w:themeFillTint="99"/>
            <w:noWrap w:val="0"/>
            <w:vAlign w:val="center"/>
          </w:tcPr>
          <w:p>
            <w:pPr>
              <w:widowControl/>
              <w:jc w:val="center"/>
              <w:rPr>
                <w:b/>
                <w:bCs/>
                <w:color w:val="000000"/>
                <w:kern w:val="0"/>
              </w:rPr>
            </w:pPr>
            <w:r>
              <w:rPr>
                <w:b/>
                <w:bCs/>
                <w:color w:val="000000"/>
                <w:kern w:val="0"/>
              </w:rPr>
              <w:t>行业</w:t>
            </w:r>
          </w:p>
        </w:tc>
        <w:tc>
          <w:tcPr>
            <w:tcW w:w="1368" w:type="dxa"/>
            <w:shd w:val="clear" w:color="auto" w:fill="92CDDC" w:themeFill="accent5" w:themeFillTint="99"/>
            <w:noWrap w:val="0"/>
            <w:vAlign w:val="center"/>
          </w:tcPr>
          <w:p>
            <w:pPr>
              <w:widowControl/>
              <w:jc w:val="center"/>
              <w:rPr>
                <w:b/>
                <w:bCs/>
                <w:color w:val="000000"/>
                <w:kern w:val="0"/>
              </w:rPr>
            </w:pPr>
            <w:r>
              <w:rPr>
                <w:b/>
                <w:bCs/>
                <w:color w:val="000000"/>
                <w:kern w:val="0"/>
              </w:rPr>
              <w:t>1季度</w:t>
            </w:r>
          </w:p>
        </w:tc>
        <w:tc>
          <w:tcPr>
            <w:tcW w:w="1245" w:type="dxa"/>
            <w:shd w:val="clear" w:color="auto" w:fill="92CDDC" w:themeFill="accent5" w:themeFillTint="99"/>
            <w:noWrap w:val="0"/>
            <w:vAlign w:val="center"/>
          </w:tcPr>
          <w:p>
            <w:pPr>
              <w:widowControl/>
              <w:jc w:val="center"/>
              <w:rPr>
                <w:b/>
                <w:bCs/>
                <w:color w:val="000000"/>
                <w:kern w:val="0"/>
              </w:rPr>
            </w:pPr>
            <w:r>
              <w:rPr>
                <w:b/>
                <w:bCs/>
                <w:color w:val="000000"/>
                <w:kern w:val="0"/>
              </w:rPr>
              <w:t>2季度</w:t>
            </w:r>
          </w:p>
        </w:tc>
        <w:tc>
          <w:tcPr>
            <w:tcW w:w="1295" w:type="dxa"/>
            <w:shd w:val="clear" w:color="auto" w:fill="92CDDC" w:themeFill="accent5" w:themeFillTint="99"/>
            <w:noWrap w:val="0"/>
            <w:vAlign w:val="center"/>
          </w:tcPr>
          <w:p>
            <w:pPr>
              <w:widowControl/>
              <w:jc w:val="center"/>
              <w:rPr>
                <w:b/>
                <w:bCs/>
                <w:color w:val="000000"/>
                <w:kern w:val="0"/>
              </w:rPr>
            </w:pPr>
            <w:r>
              <w:rPr>
                <w:b/>
                <w:bCs/>
                <w:color w:val="000000"/>
                <w:kern w:val="0"/>
              </w:rPr>
              <w:t>3季度</w:t>
            </w:r>
          </w:p>
        </w:tc>
        <w:tc>
          <w:tcPr>
            <w:tcW w:w="1295" w:type="dxa"/>
            <w:shd w:val="clear" w:color="auto" w:fill="92CDDC" w:themeFill="accent5" w:themeFillTint="99"/>
            <w:noWrap w:val="0"/>
            <w:vAlign w:val="center"/>
          </w:tcPr>
          <w:p>
            <w:pPr>
              <w:widowControl/>
              <w:jc w:val="center"/>
              <w:rPr>
                <w:b/>
                <w:bCs/>
                <w:color w:val="000000"/>
                <w:kern w:val="0"/>
              </w:rPr>
            </w:pPr>
            <w:r>
              <w:rPr>
                <w:b/>
                <w:bCs/>
                <w:color w:val="000000"/>
                <w:kern w:val="0"/>
              </w:rPr>
              <w:t>4季度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136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24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38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136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4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136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4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136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4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136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4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136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4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136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4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136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4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136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4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金融业</w:t>
            </w:r>
          </w:p>
        </w:tc>
        <w:tc>
          <w:tcPr>
            <w:tcW w:w="136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4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136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4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136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4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136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4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136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4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b/>
                <w:bCs/>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教育</w:t>
            </w:r>
          </w:p>
        </w:tc>
        <w:tc>
          <w:tcPr>
            <w:tcW w:w="1368" w:type="dxa"/>
            <w:noWrap w:val="0"/>
            <w:vAlign w:val="bottom"/>
          </w:tcPr>
          <w:p>
            <w:pPr>
              <w:widowControl/>
              <w:jc w:val="center"/>
              <w:textAlignment w:val="bottom"/>
              <w:rPr>
                <w:b/>
                <w:bCs/>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45" w:type="dxa"/>
            <w:noWrap w:val="0"/>
            <w:vAlign w:val="bottom"/>
          </w:tcPr>
          <w:p>
            <w:pPr>
              <w:widowControl/>
              <w:jc w:val="center"/>
              <w:textAlignment w:val="bottom"/>
              <w:rPr>
                <w:b/>
                <w:bCs/>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b/>
                <w:bCs/>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b/>
                <w:bCs/>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b/>
                <w:bCs/>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1368" w:type="dxa"/>
            <w:noWrap w:val="0"/>
            <w:vAlign w:val="bottom"/>
          </w:tcPr>
          <w:p>
            <w:pPr>
              <w:widowControl/>
              <w:jc w:val="center"/>
              <w:textAlignment w:val="bottom"/>
              <w:rPr>
                <w:b/>
                <w:bCs/>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45" w:type="dxa"/>
            <w:noWrap w:val="0"/>
            <w:vAlign w:val="bottom"/>
          </w:tcPr>
          <w:p>
            <w:pPr>
              <w:widowControl/>
              <w:jc w:val="center"/>
              <w:textAlignment w:val="bottom"/>
              <w:rPr>
                <w:b/>
                <w:bCs/>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b/>
                <w:bCs/>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b/>
                <w:bCs/>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b/>
                <w:bCs/>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公共管理、社会保障和社会组织</w:t>
            </w:r>
          </w:p>
        </w:tc>
        <w:tc>
          <w:tcPr>
            <w:tcW w:w="1368" w:type="dxa"/>
            <w:noWrap w:val="0"/>
            <w:vAlign w:val="bottom"/>
          </w:tcPr>
          <w:p>
            <w:pPr>
              <w:widowControl/>
              <w:jc w:val="center"/>
              <w:textAlignment w:val="bottom"/>
              <w:rPr>
                <w:b/>
                <w:bCs/>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45" w:type="dxa"/>
            <w:noWrap w:val="0"/>
            <w:vAlign w:val="bottom"/>
          </w:tcPr>
          <w:p>
            <w:pPr>
              <w:widowControl/>
              <w:jc w:val="center"/>
              <w:textAlignment w:val="bottom"/>
              <w:rPr>
                <w:b/>
                <w:bCs/>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b/>
                <w:bCs/>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b/>
                <w:bCs/>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b/>
                <w:bCs/>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1368" w:type="dxa"/>
            <w:noWrap w:val="0"/>
            <w:vAlign w:val="bottom"/>
          </w:tcPr>
          <w:p>
            <w:pPr>
              <w:widowControl/>
              <w:jc w:val="center"/>
              <w:textAlignment w:val="bottom"/>
              <w:rPr>
                <w:b/>
                <w:bCs/>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45" w:type="dxa"/>
            <w:noWrap w:val="0"/>
            <w:vAlign w:val="bottom"/>
          </w:tcPr>
          <w:p>
            <w:pPr>
              <w:widowControl/>
              <w:jc w:val="center"/>
              <w:textAlignment w:val="bottom"/>
              <w:rPr>
                <w:b/>
                <w:bCs/>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b/>
                <w:bCs/>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noWrap w:val="0"/>
            <w:vAlign w:val="bottom"/>
          </w:tcPr>
          <w:p>
            <w:pPr>
              <w:widowControl/>
              <w:jc w:val="center"/>
              <w:textAlignment w:val="bottom"/>
              <w:rPr>
                <w:b/>
                <w:bCs/>
                <w:color w:val="000000"/>
                <w:szCs w:val="21"/>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9" w:type="dxa"/>
            <w:noWrap w:val="0"/>
            <w:vAlign w:val="bottom"/>
          </w:tcPr>
          <w:p>
            <w:pPr>
              <w:widowControl/>
              <w:jc w:val="center"/>
              <w:textAlignment w:val="bottom"/>
              <w:rPr>
                <w:b/>
                <w:bCs/>
                <w:color w:val="000000"/>
                <w:kern w:val="0"/>
                <w:szCs w:val="21"/>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68" w:type="dxa"/>
            <w:noWrap w:val="0"/>
            <w:vAlign w:val="bottom"/>
          </w:tcPr>
          <w:p>
            <w:pPr>
              <w:widowControl/>
              <w:jc w:val="center"/>
              <w:textAlignment w:val="bottom"/>
              <w:rPr>
                <w:b/>
                <w:bCs/>
                <w:color w:val="000000"/>
                <w:szCs w:val="21"/>
              </w:rPr>
            </w:pPr>
            <w:r>
              <w:rPr>
                <w:rFonts w:hint="default" w:ascii="Times New Roman" w:hAnsi="Times New Roman" w:eastAsia="宋体" w:cs="Times New Roman"/>
                <w:b/>
                <w:bCs/>
                <w:i w:val="0"/>
                <w:iCs w:val="0"/>
                <w:color w:val="000000"/>
                <w:kern w:val="0"/>
                <w:sz w:val="22"/>
                <w:szCs w:val="22"/>
                <w:u w:val="none"/>
                <w:lang w:val="en-US" w:eastAsia="zh-CN" w:bidi="ar"/>
              </w:rPr>
              <w:t>62</w:t>
            </w:r>
          </w:p>
        </w:tc>
        <w:tc>
          <w:tcPr>
            <w:tcW w:w="1245" w:type="dxa"/>
            <w:noWrap w:val="0"/>
            <w:vAlign w:val="bottom"/>
          </w:tcPr>
          <w:p>
            <w:pPr>
              <w:widowControl/>
              <w:jc w:val="center"/>
              <w:textAlignment w:val="bottom"/>
              <w:rPr>
                <w:b/>
                <w:bCs/>
                <w:color w:val="000000"/>
                <w:szCs w:val="21"/>
              </w:rPr>
            </w:pPr>
            <w:r>
              <w:rPr>
                <w:rFonts w:hint="default" w:ascii="Times New Roman" w:hAnsi="Times New Roman" w:eastAsia="宋体" w:cs="Times New Roman"/>
                <w:b/>
                <w:bCs/>
                <w:i w:val="0"/>
                <w:iCs w:val="0"/>
                <w:color w:val="000000"/>
                <w:kern w:val="0"/>
                <w:sz w:val="22"/>
                <w:szCs w:val="22"/>
                <w:u w:val="none"/>
                <w:lang w:val="en-US" w:eastAsia="zh-CN" w:bidi="ar"/>
              </w:rPr>
              <w:t>46</w:t>
            </w:r>
          </w:p>
        </w:tc>
        <w:tc>
          <w:tcPr>
            <w:tcW w:w="1295" w:type="dxa"/>
            <w:noWrap w:val="0"/>
            <w:vAlign w:val="bottom"/>
          </w:tcPr>
          <w:p>
            <w:pPr>
              <w:widowControl/>
              <w:jc w:val="center"/>
              <w:textAlignment w:val="bottom"/>
              <w:rPr>
                <w:b/>
                <w:bCs/>
                <w:color w:val="000000"/>
                <w:szCs w:val="21"/>
              </w:rPr>
            </w:pPr>
            <w:r>
              <w:rPr>
                <w:rFonts w:hint="default" w:ascii="Times New Roman" w:hAnsi="Times New Roman" w:eastAsia="宋体" w:cs="Times New Roman"/>
                <w:b/>
                <w:bCs/>
                <w:i w:val="0"/>
                <w:iCs w:val="0"/>
                <w:color w:val="000000"/>
                <w:kern w:val="0"/>
                <w:sz w:val="22"/>
                <w:szCs w:val="22"/>
                <w:u w:val="none"/>
                <w:lang w:val="en-US" w:eastAsia="zh-CN" w:bidi="ar"/>
              </w:rPr>
              <w:t>85</w:t>
            </w:r>
          </w:p>
        </w:tc>
        <w:tc>
          <w:tcPr>
            <w:tcW w:w="1295" w:type="dxa"/>
            <w:noWrap w:val="0"/>
            <w:vAlign w:val="bottom"/>
          </w:tcPr>
          <w:p>
            <w:pPr>
              <w:widowControl/>
              <w:jc w:val="center"/>
              <w:textAlignment w:val="bottom"/>
              <w:rPr>
                <w:b/>
                <w:bCs/>
                <w:color w:val="000000"/>
                <w:szCs w:val="21"/>
              </w:rPr>
            </w:pPr>
            <w:r>
              <w:rPr>
                <w:rFonts w:hint="default" w:ascii="Times New Roman" w:hAnsi="Times New Roman" w:eastAsia="宋体" w:cs="Times New Roman"/>
                <w:b/>
                <w:bCs/>
                <w:i w:val="0"/>
                <w:iCs w:val="0"/>
                <w:color w:val="000000"/>
                <w:kern w:val="0"/>
                <w:sz w:val="22"/>
                <w:szCs w:val="22"/>
                <w:u w:val="none"/>
                <w:lang w:val="en-US" w:eastAsia="zh-CN" w:bidi="ar"/>
              </w:rPr>
              <w:t>49</w:t>
            </w:r>
          </w:p>
        </w:tc>
      </w:tr>
    </w:tbl>
    <w:p>
      <w:pPr>
        <w:pStyle w:val="37"/>
        <w:numPr>
          <w:ilvl w:val="0"/>
          <w:numId w:val="0"/>
        </w:numPr>
        <w:spacing w:before="156"/>
        <w:ind w:firstLine="640" w:firstLineChars="200"/>
        <w:rPr>
          <w:rFonts w:hint="eastAsia" w:ascii="楷体_GB2312" w:hAnsi="楷体_GB2312" w:eastAsia="楷体_GB2312" w:cs="楷体_GB2312"/>
          <w:b w:val="0"/>
          <w:bCs w:val="0"/>
        </w:rPr>
      </w:pPr>
      <w:bookmarkStart w:id="15" w:name="_Toc18365"/>
      <w:r>
        <w:rPr>
          <w:rFonts w:hint="eastAsia" w:ascii="楷体_GB2312" w:hAnsi="楷体_GB2312" w:eastAsia="楷体_GB2312" w:cs="楷体_GB2312"/>
          <w:b w:val="0"/>
          <w:bCs w:val="0"/>
        </w:rPr>
        <w:t>（三）本季度流失应届高校毕业生人数</w:t>
      </w:r>
      <w:bookmarkEnd w:id="15"/>
    </w:p>
    <w:p>
      <w:pPr>
        <w:ind w:firstLine="660"/>
        <w:rPr>
          <w:rFonts w:eastAsia="仿宋"/>
          <w:b/>
          <w:sz w:val="32"/>
          <w:szCs w:val="32"/>
        </w:rPr>
      </w:pPr>
      <w:r>
        <w:rPr>
          <w:rFonts w:eastAsia="仿宋"/>
          <w:b/>
          <w:sz w:val="32"/>
          <w:szCs w:val="32"/>
        </w:rPr>
        <w:t>1.制造业样本企业流失应届高校毕业生较多</w:t>
      </w:r>
    </w:p>
    <w:p>
      <w:pPr>
        <w:ind w:firstLine="640" w:firstLineChars="200"/>
        <w:rPr>
          <w:rFonts w:eastAsia="仿宋_GB2312"/>
          <w:color w:val="000000"/>
          <w:sz w:val="32"/>
          <w:szCs w:val="32"/>
        </w:rPr>
      </w:pPr>
      <w:r>
        <w:rPr>
          <w:rFonts w:hint="default" w:eastAsia="仿宋_GB2312"/>
          <w:color w:val="000000"/>
          <w:sz w:val="32"/>
          <w:szCs w:val="32"/>
          <w:lang w:eastAsia="zh-CN"/>
        </w:rPr>
        <w:t>2023年</w:t>
      </w:r>
      <w:r>
        <w:rPr>
          <w:rFonts w:eastAsia="仿宋_GB2312"/>
          <w:color w:val="000000"/>
          <w:sz w:val="32"/>
          <w:szCs w:val="32"/>
        </w:rPr>
        <w:t>，</w:t>
      </w:r>
      <w:r>
        <w:rPr>
          <w:rFonts w:hint="default" w:eastAsia="仿宋_GB2312"/>
          <w:color w:val="000000"/>
          <w:sz w:val="32"/>
          <w:szCs w:val="32"/>
          <w:lang w:val="en-US" w:eastAsia="zh-CN"/>
        </w:rPr>
        <w:t>各季度</w:t>
      </w:r>
      <w:r>
        <w:rPr>
          <w:rFonts w:eastAsia="仿宋_GB2312"/>
          <w:color w:val="000000"/>
          <w:sz w:val="32"/>
          <w:szCs w:val="32"/>
        </w:rPr>
        <w:t>流失应届高校毕业生人数分别为</w:t>
      </w:r>
      <w:r>
        <w:rPr>
          <w:rFonts w:hint="default" w:eastAsia="仿宋_GB2312"/>
          <w:color w:val="000000"/>
          <w:sz w:val="32"/>
          <w:szCs w:val="32"/>
          <w:lang w:val="en-US" w:eastAsia="zh-CN"/>
        </w:rPr>
        <w:t>9</w:t>
      </w:r>
      <w:r>
        <w:rPr>
          <w:rFonts w:eastAsia="仿宋_GB2312"/>
          <w:color w:val="000000"/>
          <w:sz w:val="32"/>
          <w:szCs w:val="32"/>
        </w:rPr>
        <w:t>人、</w:t>
      </w:r>
      <w:r>
        <w:rPr>
          <w:rFonts w:hint="default" w:eastAsia="仿宋_GB2312"/>
          <w:color w:val="000000"/>
          <w:sz w:val="32"/>
          <w:szCs w:val="32"/>
          <w:lang w:val="en-US" w:eastAsia="zh-CN"/>
        </w:rPr>
        <w:t>15</w:t>
      </w:r>
      <w:r>
        <w:rPr>
          <w:rFonts w:eastAsia="仿宋_GB2312"/>
          <w:color w:val="000000"/>
          <w:sz w:val="32"/>
          <w:szCs w:val="32"/>
        </w:rPr>
        <w:t>人、</w:t>
      </w:r>
      <w:r>
        <w:rPr>
          <w:rFonts w:hint="default" w:eastAsia="仿宋_GB2312"/>
          <w:color w:val="000000"/>
          <w:sz w:val="32"/>
          <w:szCs w:val="32"/>
          <w:lang w:val="en-US" w:eastAsia="zh-CN"/>
        </w:rPr>
        <w:t>62</w:t>
      </w:r>
      <w:r>
        <w:rPr>
          <w:rFonts w:eastAsia="仿宋_GB2312"/>
          <w:color w:val="000000"/>
          <w:sz w:val="32"/>
          <w:szCs w:val="32"/>
        </w:rPr>
        <w:t>人和</w:t>
      </w:r>
      <w:r>
        <w:rPr>
          <w:rFonts w:hint="default" w:eastAsia="仿宋_GB2312"/>
          <w:color w:val="000000"/>
          <w:sz w:val="32"/>
          <w:szCs w:val="32"/>
          <w:lang w:val="en-US" w:eastAsia="zh-CN"/>
        </w:rPr>
        <w:t>21</w:t>
      </w:r>
      <w:r>
        <w:rPr>
          <w:rFonts w:eastAsia="仿宋_GB2312"/>
          <w:color w:val="000000"/>
          <w:sz w:val="32"/>
          <w:szCs w:val="32"/>
        </w:rPr>
        <w:t>人</w:t>
      </w:r>
      <w:r>
        <w:rPr>
          <w:rFonts w:hint="default" w:eastAsia="仿宋_GB2312"/>
          <w:color w:val="000000"/>
          <w:sz w:val="32"/>
          <w:szCs w:val="32"/>
        </w:rPr>
        <w:t>，3</w:t>
      </w:r>
      <w:r>
        <w:rPr>
          <w:rFonts w:eastAsia="仿宋_GB2312"/>
          <w:color w:val="000000"/>
          <w:sz w:val="32"/>
          <w:szCs w:val="32"/>
        </w:rPr>
        <w:t>季度最多，</w:t>
      </w:r>
      <w:r>
        <w:rPr>
          <w:rFonts w:hint="default" w:eastAsia="仿宋_GB2312"/>
          <w:color w:val="000000"/>
          <w:sz w:val="32"/>
          <w:szCs w:val="32"/>
        </w:rPr>
        <w:t>1</w:t>
      </w:r>
      <w:r>
        <w:rPr>
          <w:rFonts w:eastAsia="仿宋_GB2312"/>
          <w:color w:val="000000"/>
          <w:sz w:val="32"/>
          <w:szCs w:val="32"/>
        </w:rPr>
        <w:t>季度最少。</w:t>
      </w:r>
      <w:r>
        <w:rPr>
          <w:rFonts w:hint="default" w:eastAsia="仿宋_GB2312"/>
          <w:color w:val="000000"/>
          <w:sz w:val="32"/>
          <w:szCs w:val="32"/>
        </w:rPr>
        <w:t>分行业来看</w:t>
      </w:r>
      <w:r>
        <w:rPr>
          <w:rFonts w:eastAsia="仿宋_GB2312"/>
          <w:color w:val="000000"/>
          <w:sz w:val="32"/>
          <w:szCs w:val="32"/>
        </w:rPr>
        <w:t>，制造业</w:t>
      </w:r>
      <w:r>
        <w:rPr>
          <w:rFonts w:hint="default" w:eastAsia="仿宋_GB2312"/>
          <w:color w:val="000000"/>
          <w:sz w:val="32"/>
          <w:szCs w:val="32"/>
          <w:lang w:eastAsia="zh-CN"/>
        </w:rPr>
        <w:t>、</w:t>
      </w:r>
      <w:r>
        <w:rPr>
          <w:rFonts w:hint="default" w:eastAsia="仿宋_GB2312"/>
          <w:color w:val="000000"/>
          <w:sz w:val="32"/>
          <w:szCs w:val="32"/>
        </w:rPr>
        <w:t>批发和零售业</w:t>
      </w:r>
      <w:r>
        <w:rPr>
          <w:rFonts w:hint="default" w:eastAsia="仿宋_GB2312"/>
          <w:color w:val="000000"/>
          <w:sz w:val="32"/>
          <w:szCs w:val="32"/>
          <w:lang w:val="en-US" w:eastAsia="zh-CN"/>
        </w:rPr>
        <w:t>各</w:t>
      </w:r>
      <w:r>
        <w:rPr>
          <w:rFonts w:eastAsia="仿宋_GB2312"/>
          <w:color w:val="000000"/>
          <w:sz w:val="32"/>
          <w:szCs w:val="32"/>
        </w:rPr>
        <w:t>季度流失的应届高校毕业生人数较多，</w:t>
      </w:r>
      <w:r>
        <w:rPr>
          <w:rFonts w:hint="default" w:eastAsia="仿宋_GB2312"/>
          <w:color w:val="000000"/>
          <w:sz w:val="32"/>
          <w:szCs w:val="32"/>
          <w:lang w:val="en-US" w:eastAsia="zh-CN"/>
        </w:rPr>
        <w:t>平均达到27</w:t>
      </w:r>
      <w:r>
        <w:rPr>
          <w:rFonts w:eastAsia="仿宋_GB2312"/>
          <w:color w:val="000000"/>
          <w:sz w:val="32"/>
          <w:szCs w:val="32"/>
        </w:rPr>
        <w:t>人</w:t>
      </w:r>
      <w:r>
        <w:rPr>
          <w:rFonts w:hint="default" w:eastAsia="仿宋_GB2312"/>
          <w:color w:val="000000"/>
          <w:sz w:val="32"/>
          <w:szCs w:val="32"/>
        </w:rPr>
        <w:t>；</w:t>
      </w:r>
      <w:r>
        <w:rPr>
          <w:rFonts w:eastAsia="仿宋_GB2312"/>
          <w:color w:val="000000"/>
          <w:sz w:val="32"/>
          <w:szCs w:val="32"/>
        </w:rPr>
        <w:t>其他行业流失的应届高校毕业生人数较少（见表</w:t>
      </w:r>
      <w:r>
        <w:rPr>
          <w:rFonts w:hint="eastAsia" w:eastAsia="仿宋_GB2312"/>
          <w:color w:val="000000"/>
          <w:sz w:val="32"/>
          <w:szCs w:val="32"/>
          <w:lang w:val="en-US" w:eastAsia="zh-CN"/>
        </w:rPr>
        <w:t>19</w:t>
      </w:r>
      <w:r>
        <w:rPr>
          <w:rFonts w:eastAsia="仿宋_GB2312"/>
          <w:color w:val="000000"/>
          <w:sz w:val="32"/>
          <w:szCs w:val="32"/>
        </w:rPr>
        <w:t>）。</w:t>
      </w:r>
    </w:p>
    <w:p>
      <w:pPr>
        <w:pStyle w:val="39"/>
        <w:numPr>
          <w:ilvl w:val="0"/>
          <w:numId w:val="0"/>
        </w:numPr>
        <w:ind w:left="420"/>
        <w:rPr>
          <w:rFonts w:eastAsia="宋体"/>
        </w:rPr>
      </w:pPr>
      <w:r>
        <w:rPr>
          <w:rFonts w:hint="eastAsia" w:eastAsia="宋体"/>
        </w:rPr>
        <w:t>表</w:t>
      </w:r>
      <w:r>
        <w:rPr>
          <w:rFonts w:hint="eastAsia" w:eastAsia="宋体"/>
          <w:lang w:val="en-US" w:eastAsia="zh-CN"/>
        </w:rPr>
        <w:t>19</w:t>
      </w:r>
      <w:r>
        <w:rPr>
          <w:rFonts w:hint="eastAsia" w:eastAsia="宋体"/>
        </w:rPr>
        <w:t>：</w:t>
      </w:r>
      <w:r>
        <w:rPr>
          <w:rFonts w:hint="eastAsia" w:eastAsia="宋体"/>
          <w:lang w:eastAsia="zh-CN"/>
        </w:rPr>
        <w:t>2023年</w:t>
      </w:r>
      <w:r>
        <w:rPr>
          <w:rFonts w:eastAsia="宋体"/>
        </w:rPr>
        <w:t>样本企业分行业本季度流失应届高校毕业生人数</w:t>
      </w:r>
    </w:p>
    <w:p>
      <w:pPr>
        <w:jc w:val="right"/>
        <w:rPr>
          <w:b/>
          <w:sz w:val="24"/>
        </w:rPr>
      </w:pPr>
      <w:r>
        <w:rPr>
          <w:b/>
          <w:sz w:val="24"/>
        </w:rPr>
        <w:t>单位：人</w:t>
      </w:r>
    </w:p>
    <w:tbl>
      <w:tblPr>
        <w:tblStyle w:val="13"/>
        <w:tblW w:w="9192" w:type="dxa"/>
        <w:tblInd w:w="93"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4288"/>
        <w:gridCol w:w="1346"/>
        <w:gridCol w:w="1186"/>
        <w:gridCol w:w="1186"/>
        <w:gridCol w:w="1186"/>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49" w:hRule="atLeast"/>
          <w:tblHeader/>
        </w:trPr>
        <w:tc>
          <w:tcPr>
            <w:tcW w:w="4288" w:type="dxa"/>
            <w:shd w:val="clear" w:color="auto" w:fill="92CDDC" w:themeFill="accent5" w:themeFillTint="99"/>
            <w:noWrap w:val="0"/>
            <w:vAlign w:val="center"/>
          </w:tcPr>
          <w:p>
            <w:pPr>
              <w:widowControl/>
              <w:jc w:val="center"/>
              <w:rPr>
                <w:b/>
                <w:bCs/>
                <w:color w:val="000000"/>
                <w:kern w:val="0"/>
              </w:rPr>
            </w:pPr>
            <w:r>
              <w:rPr>
                <w:b/>
                <w:bCs/>
                <w:color w:val="000000"/>
                <w:kern w:val="0"/>
              </w:rPr>
              <w:t>行业</w:t>
            </w:r>
          </w:p>
        </w:tc>
        <w:tc>
          <w:tcPr>
            <w:tcW w:w="1346" w:type="dxa"/>
            <w:shd w:val="clear" w:color="auto" w:fill="92CDDC" w:themeFill="accent5" w:themeFillTint="99"/>
            <w:noWrap w:val="0"/>
            <w:vAlign w:val="center"/>
          </w:tcPr>
          <w:p>
            <w:pPr>
              <w:widowControl/>
              <w:jc w:val="center"/>
              <w:rPr>
                <w:b/>
                <w:bCs/>
                <w:color w:val="000000"/>
                <w:kern w:val="0"/>
              </w:rPr>
            </w:pPr>
            <w:r>
              <w:rPr>
                <w:b/>
                <w:bCs/>
                <w:color w:val="000000"/>
                <w:kern w:val="0"/>
              </w:rPr>
              <w:t>1季度</w:t>
            </w:r>
          </w:p>
        </w:tc>
        <w:tc>
          <w:tcPr>
            <w:tcW w:w="1186" w:type="dxa"/>
            <w:shd w:val="clear" w:color="auto" w:fill="92CDDC" w:themeFill="accent5" w:themeFillTint="99"/>
            <w:noWrap w:val="0"/>
            <w:vAlign w:val="center"/>
          </w:tcPr>
          <w:p>
            <w:pPr>
              <w:widowControl/>
              <w:jc w:val="center"/>
              <w:rPr>
                <w:b/>
                <w:bCs/>
                <w:color w:val="000000"/>
                <w:kern w:val="0"/>
              </w:rPr>
            </w:pPr>
            <w:r>
              <w:rPr>
                <w:b/>
                <w:bCs/>
                <w:color w:val="000000"/>
                <w:kern w:val="0"/>
              </w:rPr>
              <w:t>2季度</w:t>
            </w:r>
          </w:p>
        </w:tc>
        <w:tc>
          <w:tcPr>
            <w:tcW w:w="1186" w:type="dxa"/>
            <w:shd w:val="clear" w:color="auto" w:fill="92CDDC" w:themeFill="accent5" w:themeFillTint="99"/>
            <w:noWrap w:val="0"/>
            <w:vAlign w:val="center"/>
          </w:tcPr>
          <w:p>
            <w:pPr>
              <w:widowControl/>
              <w:jc w:val="center"/>
              <w:rPr>
                <w:b/>
                <w:bCs/>
                <w:color w:val="000000"/>
                <w:kern w:val="0"/>
              </w:rPr>
            </w:pPr>
            <w:r>
              <w:rPr>
                <w:b/>
                <w:bCs/>
                <w:color w:val="000000"/>
                <w:kern w:val="0"/>
              </w:rPr>
              <w:t>3季度</w:t>
            </w:r>
          </w:p>
        </w:tc>
        <w:tc>
          <w:tcPr>
            <w:tcW w:w="1186" w:type="dxa"/>
            <w:shd w:val="clear" w:color="auto" w:fill="92CDDC" w:themeFill="accent5" w:themeFillTint="99"/>
            <w:noWrap w:val="0"/>
            <w:vAlign w:val="center"/>
          </w:tcPr>
          <w:p>
            <w:pPr>
              <w:widowControl/>
              <w:jc w:val="center"/>
              <w:rPr>
                <w:b/>
                <w:bCs/>
                <w:color w:val="000000"/>
                <w:kern w:val="0"/>
              </w:rPr>
            </w:pPr>
            <w:r>
              <w:rPr>
                <w:b/>
                <w:bCs/>
                <w:color w:val="000000"/>
                <w:kern w:val="0"/>
              </w:rPr>
              <w:t>4季度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186" w:type="dxa"/>
            <w:noWrap w:val="0"/>
            <w:vAlign w:val="bottom"/>
          </w:tcPr>
          <w:p>
            <w:pPr>
              <w:widowControl/>
              <w:jc w:val="center"/>
              <w:textAlignment w:val="bottom"/>
              <w:rPr>
                <w:color w:val="000000"/>
                <w:szCs w:val="22"/>
              </w:rPr>
            </w:pPr>
            <w:r>
              <w:rPr>
                <w:rFonts w:hint="eastAsia" w:cs="Times New Roman"/>
                <w:i w:val="0"/>
                <w:iCs w:val="0"/>
                <w:color w:val="000000"/>
                <w:kern w:val="0"/>
                <w:sz w:val="22"/>
                <w:szCs w:val="22"/>
                <w:u w:val="none"/>
                <w:lang w:val="en-US" w:eastAsia="zh-CN" w:bidi="ar"/>
              </w:rPr>
              <w:t>43</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金融业</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教育</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公共管理、社会保障和社会组织</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134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86"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288" w:type="dxa"/>
            <w:noWrap w:val="0"/>
            <w:vAlign w:val="bottom"/>
          </w:tcPr>
          <w:p>
            <w:pPr>
              <w:widowControl/>
              <w:jc w:val="center"/>
              <w:textAlignment w:val="bottom"/>
              <w:rPr>
                <w:b/>
                <w:bCs/>
                <w:color w:val="000000"/>
                <w:kern w:val="0"/>
                <w:szCs w:val="21"/>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46" w:type="dxa"/>
            <w:noWrap w:val="0"/>
            <w:vAlign w:val="bottom"/>
          </w:tcPr>
          <w:p>
            <w:pPr>
              <w:widowControl/>
              <w:jc w:val="center"/>
              <w:textAlignment w:val="bottom"/>
              <w:rPr>
                <w:b/>
                <w:bCs/>
                <w:color w:val="000000"/>
                <w:szCs w:val="21"/>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186" w:type="dxa"/>
            <w:noWrap w:val="0"/>
            <w:vAlign w:val="bottom"/>
          </w:tcPr>
          <w:p>
            <w:pPr>
              <w:widowControl/>
              <w:jc w:val="center"/>
              <w:textAlignment w:val="bottom"/>
              <w:rPr>
                <w:b/>
                <w:bCs/>
                <w:color w:val="000000"/>
                <w:szCs w:val="21"/>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1186" w:type="dxa"/>
            <w:noWrap w:val="0"/>
            <w:vAlign w:val="bottom"/>
          </w:tcPr>
          <w:p>
            <w:pPr>
              <w:widowControl/>
              <w:jc w:val="center"/>
              <w:textAlignment w:val="bottom"/>
              <w:rPr>
                <w:b/>
                <w:bCs/>
                <w:color w:val="000000"/>
                <w:szCs w:val="21"/>
              </w:rPr>
            </w:pPr>
            <w:r>
              <w:rPr>
                <w:rFonts w:hint="eastAsia" w:cs="Times New Roman"/>
                <w:b/>
                <w:bCs/>
                <w:i w:val="0"/>
                <w:iCs w:val="0"/>
                <w:color w:val="000000"/>
                <w:kern w:val="0"/>
                <w:sz w:val="22"/>
                <w:szCs w:val="22"/>
                <w:u w:val="none"/>
                <w:lang w:val="en-US" w:eastAsia="zh-CN" w:bidi="ar"/>
              </w:rPr>
              <w:t>62</w:t>
            </w:r>
          </w:p>
        </w:tc>
        <w:tc>
          <w:tcPr>
            <w:tcW w:w="1186" w:type="dxa"/>
            <w:noWrap w:val="0"/>
            <w:vAlign w:val="bottom"/>
          </w:tcPr>
          <w:p>
            <w:pPr>
              <w:widowControl/>
              <w:jc w:val="center"/>
              <w:textAlignment w:val="bottom"/>
              <w:rPr>
                <w:b/>
                <w:bCs/>
                <w:color w:val="000000"/>
                <w:szCs w:val="21"/>
              </w:rPr>
            </w:pPr>
            <w:r>
              <w:rPr>
                <w:rFonts w:hint="default" w:ascii="Times New Roman" w:hAnsi="Times New Roman" w:eastAsia="宋体" w:cs="Times New Roman"/>
                <w:b/>
                <w:bCs/>
                <w:i w:val="0"/>
                <w:iCs w:val="0"/>
                <w:color w:val="000000"/>
                <w:kern w:val="0"/>
                <w:sz w:val="22"/>
                <w:szCs w:val="22"/>
                <w:u w:val="none"/>
                <w:lang w:val="en-US" w:eastAsia="zh-CN" w:bidi="ar"/>
              </w:rPr>
              <w:t>21</w:t>
            </w:r>
          </w:p>
        </w:tc>
      </w:tr>
    </w:tbl>
    <w:p>
      <w:pPr>
        <w:numPr>
          <w:ilvl w:val="0"/>
          <w:numId w:val="0"/>
        </w:numPr>
        <w:spacing w:before="156"/>
        <w:ind w:firstLine="420" w:firstLineChars="200"/>
        <w:rPr>
          <w:rFonts w:hint="eastAsia"/>
        </w:rPr>
      </w:pPr>
    </w:p>
    <w:p>
      <w:pPr>
        <w:pStyle w:val="37"/>
        <w:numPr>
          <w:ilvl w:val="0"/>
          <w:numId w:val="0"/>
        </w:numPr>
        <w:spacing w:before="156"/>
        <w:ind w:firstLine="640" w:firstLineChars="200"/>
        <w:rPr>
          <w:rFonts w:hint="eastAsia" w:ascii="楷体_GB2312" w:hAnsi="楷体_GB2312" w:eastAsia="楷体_GB2312" w:cs="楷体_GB2312"/>
          <w:b w:val="0"/>
          <w:bCs w:val="0"/>
        </w:rPr>
      </w:pPr>
      <w:bookmarkStart w:id="16" w:name="_Toc30482"/>
      <w:r>
        <w:rPr>
          <w:rFonts w:hint="eastAsia" w:ascii="楷体_GB2312" w:hAnsi="楷体_GB2312" w:eastAsia="楷体_GB2312" w:cs="楷体_GB2312"/>
          <w:b w:val="0"/>
          <w:bCs w:val="0"/>
        </w:rPr>
        <w:t>（四）下季度预计招聘应届高校毕业生人数</w:t>
      </w:r>
      <w:bookmarkEnd w:id="16"/>
    </w:p>
    <w:p>
      <w:pPr>
        <w:widowControl/>
        <w:ind w:firstLine="643" w:firstLineChars="200"/>
        <w:rPr>
          <w:rFonts w:eastAsia="仿宋"/>
          <w:b/>
          <w:sz w:val="32"/>
          <w:szCs w:val="32"/>
        </w:rPr>
      </w:pPr>
      <w:r>
        <w:rPr>
          <w:rFonts w:eastAsia="仿宋"/>
          <w:b/>
          <w:sz w:val="32"/>
          <w:szCs w:val="32"/>
        </w:rPr>
        <w:t>1.制造业</w:t>
      </w:r>
      <w:r>
        <w:rPr>
          <w:rFonts w:hint="eastAsia" w:eastAsia="仿宋"/>
          <w:b/>
          <w:sz w:val="32"/>
          <w:szCs w:val="32"/>
        </w:rPr>
        <w:t>、住宿和餐饮业</w:t>
      </w:r>
      <w:r>
        <w:rPr>
          <w:rFonts w:eastAsia="仿宋"/>
          <w:b/>
          <w:sz w:val="32"/>
          <w:szCs w:val="32"/>
        </w:rPr>
        <w:t>样本企业下季度预计招聘应届高校毕业生最多</w:t>
      </w:r>
    </w:p>
    <w:p>
      <w:pPr>
        <w:widowControl/>
        <w:ind w:firstLine="640" w:firstLineChars="200"/>
        <w:rPr>
          <w:rFonts w:eastAsia="仿宋_GB2312"/>
          <w:color w:val="000000"/>
          <w:sz w:val="32"/>
          <w:szCs w:val="32"/>
        </w:rPr>
      </w:pPr>
      <w:r>
        <w:rPr>
          <w:rFonts w:hint="default" w:eastAsia="仿宋_GB2312"/>
          <w:color w:val="000000"/>
          <w:sz w:val="32"/>
          <w:szCs w:val="32"/>
          <w:lang w:eastAsia="zh-CN"/>
        </w:rPr>
        <w:t>2023年</w:t>
      </w:r>
      <w:r>
        <w:rPr>
          <w:rFonts w:hint="default" w:eastAsia="仿宋_GB2312"/>
          <w:color w:val="000000"/>
          <w:sz w:val="32"/>
          <w:szCs w:val="32"/>
        </w:rPr>
        <w:t>样本企业中</w:t>
      </w:r>
      <w:r>
        <w:rPr>
          <w:rFonts w:eastAsia="仿宋_GB2312"/>
          <w:color w:val="000000"/>
          <w:sz w:val="32"/>
          <w:szCs w:val="32"/>
        </w:rPr>
        <w:t>，下季度预计招聘的应届高校毕业生</w:t>
      </w:r>
      <w:r>
        <w:rPr>
          <w:rFonts w:hint="default" w:eastAsia="仿宋_GB2312"/>
          <w:color w:val="000000"/>
          <w:sz w:val="32"/>
          <w:szCs w:val="32"/>
          <w:lang w:val="en-US" w:eastAsia="zh-CN"/>
        </w:rPr>
        <w:t>的各季度</w:t>
      </w:r>
      <w:r>
        <w:rPr>
          <w:rFonts w:eastAsia="仿宋_GB2312"/>
          <w:color w:val="000000"/>
          <w:sz w:val="32"/>
          <w:szCs w:val="32"/>
        </w:rPr>
        <w:t>人数分别为</w:t>
      </w:r>
      <w:r>
        <w:rPr>
          <w:rFonts w:hint="default" w:eastAsia="仿宋_GB2312"/>
          <w:color w:val="000000"/>
          <w:sz w:val="32"/>
          <w:szCs w:val="32"/>
          <w:lang w:val="en-US" w:eastAsia="zh-CN"/>
        </w:rPr>
        <w:t>120</w:t>
      </w:r>
      <w:r>
        <w:rPr>
          <w:rFonts w:eastAsia="仿宋_GB2312"/>
          <w:color w:val="000000"/>
          <w:sz w:val="32"/>
          <w:szCs w:val="32"/>
        </w:rPr>
        <w:t>人、1</w:t>
      </w:r>
      <w:r>
        <w:rPr>
          <w:rFonts w:hint="default" w:eastAsia="仿宋_GB2312"/>
          <w:color w:val="000000"/>
          <w:sz w:val="32"/>
          <w:szCs w:val="32"/>
          <w:lang w:val="en-US" w:eastAsia="zh-CN"/>
        </w:rPr>
        <w:t>13</w:t>
      </w:r>
      <w:r>
        <w:rPr>
          <w:rFonts w:eastAsia="仿宋_GB2312"/>
          <w:color w:val="000000"/>
          <w:sz w:val="32"/>
          <w:szCs w:val="32"/>
        </w:rPr>
        <w:t>人、</w:t>
      </w:r>
      <w:r>
        <w:rPr>
          <w:rFonts w:hint="default" w:eastAsia="仿宋_GB2312"/>
          <w:color w:val="000000"/>
          <w:sz w:val="32"/>
          <w:szCs w:val="32"/>
          <w:lang w:val="en-US" w:eastAsia="zh-CN"/>
        </w:rPr>
        <w:t>64</w:t>
      </w:r>
      <w:r>
        <w:rPr>
          <w:rFonts w:eastAsia="仿宋_GB2312"/>
          <w:color w:val="000000"/>
          <w:sz w:val="32"/>
          <w:szCs w:val="32"/>
        </w:rPr>
        <w:t>人和</w:t>
      </w:r>
      <w:r>
        <w:rPr>
          <w:rFonts w:hint="default" w:eastAsia="仿宋_GB2312"/>
          <w:color w:val="000000"/>
          <w:sz w:val="32"/>
          <w:szCs w:val="32"/>
          <w:lang w:val="en-US" w:eastAsia="zh-CN"/>
        </w:rPr>
        <w:t>6</w:t>
      </w:r>
      <w:r>
        <w:rPr>
          <w:rFonts w:eastAsia="仿宋_GB2312"/>
          <w:color w:val="000000"/>
          <w:sz w:val="32"/>
          <w:szCs w:val="32"/>
        </w:rPr>
        <w:t>1人，1季度最多，4季度最少。</w:t>
      </w:r>
      <w:r>
        <w:rPr>
          <w:rFonts w:hint="default" w:eastAsia="仿宋_GB2312"/>
          <w:color w:val="000000"/>
          <w:sz w:val="32"/>
          <w:szCs w:val="32"/>
        </w:rPr>
        <w:t>分行业来看</w:t>
      </w:r>
      <w:r>
        <w:rPr>
          <w:rFonts w:eastAsia="仿宋_GB2312"/>
          <w:color w:val="000000"/>
          <w:sz w:val="32"/>
          <w:szCs w:val="32"/>
        </w:rPr>
        <w:t>，制造业</w:t>
      </w:r>
      <w:r>
        <w:rPr>
          <w:rFonts w:hint="default" w:eastAsia="仿宋_GB2312"/>
          <w:color w:val="000000"/>
          <w:sz w:val="32"/>
          <w:szCs w:val="32"/>
        </w:rPr>
        <w:t>、住宿和餐饮业</w:t>
      </w:r>
      <w:r>
        <w:rPr>
          <w:rFonts w:eastAsia="仿宋_GB2312"/>
          <w:color w:val="000000"/>
          <w:sz w:val="32"/>
          <w:szCs w:val="32"/>
        </w:rPr>
        <w:t>下季度预计招聘的应届高校毕业生人数</w:t>
      </w:r>
      <w:r>
        <w:rPr>
          <w:rFonts w:hint="default" w:eastAsia="仿宋_GB2312"/>
          <w:color w:val="000000"/>
          <w:sz w:val="32"/>
          <w:szCs w:val="32"/>
        </w:rPr>
        <w:t>较</w:t>
      </w:r>
      <w:r>
        <w:rPr>
          <w:rFonts w:eastAsia="仿宋_GB2312"/>
          <w:color w:val="000000"/>
          <w:sz w:val="32"/>
          <w:szCs w:val="32"/>
        </w:rPr>
        <w:t>多，其他行业下季度预计招聘的应届高校毕业生人数较少（见表</w:t>
      </w:r>
      <w:r>
        <w:rPr>
          <w:rFonts w:hint="eastAsia" w:eastAsia="仿宋_GB2312"/>
          <w:color w:val="000000"/>
          <w:sz w:val="32"/>
          <w:szCs w:val="32"/>
          <w:lang w:val="en-US" w:eastAsia="zh-CN"/>
        </w:rPr>
        <w:t>20</w:t>
      </w:r>
      <w:r>
        <w:rPr>
          <w:rFonts w:eastAsia="仿宋_GB2312"/>
          <w:color w:val="000000"/>
          <w:sz w:val="32"/>
          <w:szCs w:val="32"/>
        </w:rPr>
        <w:t>）。</w:t>
      </w:r>
    </w:p>
    <w:p>
      <w:pPr>
        <w:pStyle w:val="39"/>
        <w:numPr>
          <w:ilvl w:val="0"/>
          <w:numId w:val="0"/>
        </w:numPr>
        <w:ind w:left="420"/>
        <w:rPr>
          <w:rFonts w:eastAsia="宋体"/>
        </w:rPr>
      </w:pPr>
      <w:r>
        <w:rPr>
          <w:rFonts w:hint="eastAsia" w:eastAsia="宋体"/>
        </w:rPr>
        <w:t>表</w:t>
      </w:r>
      <w:r>
        <w:rPr>
          <w:rFonts w:hint="eastAsia" w:eastAsia="宋体"/>
          <w:lang w:val="en-US" w:eastAsia="zh-CN"/>
        </w:rPr>
        <w:t>20</w:t>
      </w:r>
      <w:r>
        <w:rPr>
          <w:rFonts w:hint="eastAsia" w:eastAsia="宋体"/>
        </w:rPr>
        <w:t>：</w:t>
      </w:r>
      <w:r>
        <w:rPr>
          <w:rFonts w:hint="eastAsia" w:eastAsia="宋体"/>
          <w:lang w:eastAsia="zh-CN"/>
        </w:rPr>
        <w:t>2023年</w:t>
      </w:r>
      <w:r>
        <w:rPr>
          <w:rFonts w:eastAsia="宋体"/>
        </w:rPr>
        <w:t>样本企业分行业下季度预计招聘应届高校毕业生人数</w:t>
      </w:r>
    </w:p>
    <w:p>
      <w:pPr>
        <w:jc w:val="right"/>
        <w:rPr>
          <w:b/>
          <w:sz w:val="24"/>
        </w:rPr>
      </w:pPr>
      <w:r>
        <w:rPr>
          <w:b/>
          <w:sz w:val="24"/>
        </w:rPr>
        <w:t>单位：人</w:t>
      </w:r>
    </w:p>
    <w:tbl>
      <w:tblPr>
        <w:tblStyle w:val="13"/>
        <w:tblW w:w="9190" w:type="dxa"/>
        <w:tblInd w:w="93"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4645"/>
        <w:gridCol w:w="1327"/>
        <w:gridCol w:w="1090"/>
        <w:gridCol w:w="1064"/>
        <w:gridCol w:w="1064"/>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17" w:hRule="atLeast"/>
        </w:trPr>
        <w:tc>
          <w:tcPr>
            <w:tcW w:w="4645" w:type="dxa"/>
            <w:shd w:val="clear" w:color="auto" w:fill="92CDDC" w:themeFill="accent5" w:themeFillTint="99"/>
            <w:noWrap w:val="0"/>
            <w:vAlign w:val="center"/>
          </w:tcPr>
          <w:p>
            <w:pPr>
              <w:widowControl/>
              <w:jc w:val="center"/>
              <w:rPr>
                <w:b/>
                <w:bCs/>
                <w:color w:val="000000"/>
                <w:kern w:val="0"/>
              </w:rPr>
            </w:pPr>
            <w:r>
              <w:rPr>
                <w:b/>
                <w:bCs/>
                <w:color w:val="000000"/>
                <w:kern w:val="0"/>
              </w:rPr>
              <w:t>行业</w:t>
            </w:r>
          </w:p>
        </w:tc>
        <w:tc>
          <w:tcPr>
            <w:tcW w:w="1327" w:type="dxa"/>
            <w:shd w:val="clear" w:color="auto" w:fill="92CDDC" w:themeFill="accent5" w:themeFillTint="99"/>
            <w:noWrap w:val="0"/>
            <w:vAlign w:val="center"/>
          </w:tcPr>
          <w:p>
            <w:pPr>
              <w:widowControl/>
              <w:jc w:val="center"/>
              <w:rPr>
                <w:b/>
                <w:bCs/>
                <w:color w:val="000000"/>
                <w:kern w:val="0"/>
              </w:rPr>
            </w:pPr>
            <w:r>
              <w:rPr>
                <w:b/>
                <w:bCs/>
                <w:color w:val="000000"/>
                <w:kern w:val="0"/>
              </w:rPr>
              <w:t>1季度</w:t>
            </w:r>
          </w:p>
        </w:tc>
        <w:tc>
          <w:tcPr>
            <w:tcW w:w="1090" w:type="dxa"/>
            <w:shd w:val="clear" w:color="auto" w:fill="92CDDC" w:themeFill="accent5" w:themeFillTint="99"/>
            <w:noWrap w:val="0"/>
            <w:vAlign w:val="center"/>
          </w:tcPr>
          <w:p>
            <w:pPr>
              <w:widowControl/>
              <w:jc w:val="center"/>
              <w:rPr>
                <w:b/>
                <w:bCs/>
                <w:color w:val="000000"/>
                <w:kern w:val="0"/>
              </w:rPr>
            </w:pPr>
            <w:r>
              <w:rPr>
                <w:b/>
                <w:bCs/>
                <w:color w:val="000000"/>
                <w:kern w:val="0"/>
              </w:rPr>
              <w:t>2季度</w:t>
            </w:r>
          </w:p>
        </w:tc>
        <w:tc>
          <w:tcPr>
            <w:tcW w:w="1064" w:type="dxa"/>
            <w:shd w:val="clear" w:color="auto" w:fill="92CDDC" w:themeFill="accent5" w:themeFillTint="99"/>
            <w:noWrap w:val="0"/>
            <w:vAlign w:val="center"/>
          </w:tcPr>
          <w:p>
            <w:pPr>
              <w:widowControl/>
              <w:jc w:val="center"/>
              <w:rPr>
                <w:b/>
                <w:bCs/>
                <w:color w:val="000000"/>
                <w:kern w:val="0"/>
              </w:rPr>
            </w:pPr>
            <w:r>
              <w:rPr>
                <w:b/>
                <w:bCs/>
                <w:color w:val="000000"/>
                <w:kern w:val="0"/>
              </w:rPr>
              <w:t>3季度</w:t>
            </w:r>
          </w:p>
        </w:tc>
        <w:tc>
          <w:tcPr>
            <w:tcW w:w="1064" w:type="dxa"/>
            <w:shd w:val="clear" w:color="auto" w:fill="92CDDC" w:themeFill="accent5" w:themeFillTint="99"/>
            <w:noWrap w:val="0"/>
            <w:vAlign w:val="center"/>
          </w:tcPr>
          <w:p>
            <w:pPr>
              <w:widowControl/>
              <w:jc w:val="center"/>
              <w:rPr>
                <w:b/>
                <w:bCs/>
                <w:color w:val="000000"/>
                <w:kern w:val="0"/>
              </w:rPr>
            </w:pPr>
            <w:r>
              <w:rPr>
                <w:b/>
                <w:bCs/>
                <w:color w:val="000000"/>
                <w:kern w:val="0"/>
              </w:rPr>
              <w:t>4季度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90</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100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41</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47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20</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5</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5</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4</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2</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6</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2</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金融业</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教育</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公共管理、社会保障和社会组织</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1327"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90"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0</w:t>
            </w:r>
          </w:p>
        </w:tc>
        <w:tc>
          <w:tcPr>
            <w:tcW w:w="1064" w:type="dxa"/>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645" w:type="dxa"/>
            <w:noWrap w:val="0"/>
            <w:vAlign w:val="bottom"/>
          </w:tcPr>
          <w:p>
            <w:pPr>
              <w:widowControl/>
              <w:jc w:val="center"/>
              <w:textAlignment w:val="bottom"/>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27" w:type="dxa"/>
            <w:noWrap w:val="0"/>
            <w:vAlign w:val="bottom"/>
          </w:tcPr>
          <w:p>
            <w:pPr>
              <w:widowControl/>
              <w:jc w:val="center"/>
              <w:textAlignment w:val="bottom"/>
            </w:pPr>
            <w:r>
              <w:rPr>
                <w:rFonts w:hint="default" w:ascii="Times New Roman" w:hAnsi="Times New Roman" w:eastAsia="宋体" w:cs="Times New Roman"/>
                <w:b/>
                <w:bCs/>
                <w:i w:val="0"/>
                <w:iCs w:val="0"/>
                <w:color w:val="000000"/>
                <w:kern w:val="0"/>
                <w:sz w:val="22"/>
                <w:szCs w:val="22"/>
                <w:u w:val="none"/>
                <w:lang w:val="en-US" w:eastAsia="zh-CN" w:bidi="ar"/>
              </w:rPr>
              <w:t>120</w:t>
            </w:r>
          </w:p>
        </w:tc>
        <w:tc>
          <w:tcPr>
            <w:tcW w:w="1090" w:type="dxa"/>
            <w:noWrap w:val="0"/>
            <w:vAlign w:val="bottom"/>
          </w:tcPr>
          <w:p>
            <w:pPr>
              <w:widowControl/>
              <w:jc w:val="center"/>
              <w:textAlignment w:val="bottom"/>
            </w:pPr>
            <w:r>
              <w:rPr>
                <w:rFonts w:hint="default" w:ascii="Times New Roman" w:hAnsi="Times New Roman" w:eastAsia="宋体" w:cs="Times New Roman"/>
                <w:b/>
                <w:bCs/>
                <w:i w:val="0"/>
                <w:iCs w:val="0"/>
                <w:color w:val="000000"/>
                <w:kern w:val="0"/>
                <w:sz w:val="22"/>
                <w:szCs w:val="22"/>
                <w:u w:val="none"/>
                <w:lang w:val="en-US" w:eastAsia="zh-CN" w:bidi="ar"/>
              </w:rPr>
              <w:t>113</w:t>
            </w:r>
          </w:p>
        </w:tc>
        <w:tc>
          <w:tcPr>
            <w:tcW w:w="1064" w:type="dxa"/>
            <w:noWrap w:val="0"/>
            <w:vAlign w:val="bottom"/>
          </w:tcPr>
          <w:p>
            <w:pPr>
              <w:widowControl/>
              <w:jc w:val="center"/>
              <w:textAlignment w:val="bottom"/>
            </w:pPr>
            <w:r>
              <w:rPr>
                <w:rFonts w:hint="default" w:ascii="Times New Roman" w:hAnsi="Times New Roman" w:eastAsia="宋体" w:cs="Times New Roman"/>
                <w:b/>
                <w:bCs/>
                <w:i w:val="0"/>
                <w:iCs w:val="0"/>
                <w:color w:val="000000"/>
                <w:kern w:val="0"/>
                <w:sz w:val="22"/>
                <w:szCs w:val="22"/>
                <w:u w:val="none"/>
                <w:lang w:val="en-US" w:eastAsia="zh-CN" w:bidi="ar"/>
              </w:rPr>
              <w:t>64</w:t>
            </w:r>
          </w:p>
        </w:tc>
        <w:tc>
          <w:tcPr>
            <w:tcW w:w="1064" w:type="dxa"/>
            <w:noWrap w:val="0"/>
            <w:vAlign w:val="bottom"/>
          </w:tcPr>
          <w:p>
            <w:pPr>
              <w:widowControl/>
              <w:jc w:val="center"/>
              <w:textAlignment w:val="bottom"/>
            </w:pPr>
            <w:r>
              <w:rPr>
                <w:rFonts w:hint="default" w:ascii="Times New Roman" w:hAnsi="Times New Roman" w:eastAsia="宋体" w:cs="Times New Roman"/>
                <w:b/>
                <w:bCs/>
                <w:i w:val="0"/>
                <w:iCs w:val="0"/>
                <w:color w:val="000000"/>
                <w:kern w:val="0"/>
                <w:sz w:val="22"/>
                <w:szCs w:val="22"/>
                <w:u w:val="none"/>
                <w:lang w:val="en-US" w:eastAsia="zh-CN" w:bidi="ar"/>
              </w:rPr>
              <w:t>61</w:t>
            </w:r>
          </w:p>
        </w:tc>
      </w:tr>
    </w:tbl>
    <w:p>
      <w:pPr>
        <w:numPr>
          <w:ilvl w:val="0"/>
          <w:numId w:val="0"/>
        </w:numPr>
        <w:spacing w:before="156"/>
        <w:ind w:firstLine="420" w:firstLineChars="200"/>
        <w:rPr>
          <w:rFonts w:hint="eastAsia"/>
        </w:rPr>
      </w:pPr>
    </w:p>
    <w:p>
      <w:pPr>
        <w:pStyle w:val="37"/>
        <w:numPr>
          <w:ilvl w:val="0"/>
          <w:numId w:val="0"/>
        </w:numPr>
        <w:spacing w:before="156"/>
        <w:ind w:firstLine="640" w:firstLineChars="200"/>
        <w:rPr>
          <w:rFonts w:hint="eastAsia" w:ascii="楷体_GB2312" w:hAnsi="楷体_GB2312" w:eastAsia="楷体_GB2312" w:cs="楷体_GB2312"/>
          <w:b w:val="0"/>
          <w:bCs w:val="0"/>
        </w:rPr>
      </w:pPr>
      <w:bookmarkStart w:id="17" w:name="_Toc6262"/>
      <w:r>
        <w:rPr>
          <w:rFonts w:hint="eastAsia" w:ascii="楷体_GB2312" w:hAnsi="楷体_GB2312" w:eastAsia="楷体_GB2312" w:cs="楷体_GB2312"/>
          <w:b w:val="0"/>
          <w:bCs w:val="0"/>
        </w:rPr>
        <w:t>（五）目前招聘应届高校毕业生人均工资水平</w:t>
      </w:r>
      <w:bookmarkEnd w:id="17"/>
    </w:p>
    <w:p>
      <w:pPr>
        <w:ind w:firstLine="643" w:firstLineChars="200"/>
        <w:rPr>
          <w:rFonts w:eastAsia="仿宋"/>
          <w:b/>
          <w:sz w:val="32"/>
          <w:szCs w:val="32"/>
        </w:rPr>
      </w:pPr>
      <w:r>
        <w:rPr>
          <w:rFonts w:eastAsia="仿宋"/>
          <w:b/>
          <w:sz w:val="32"/>
          <w:szCs w:val="32"/>
        </w:rPr>
        <w:t>1.</w:t>
      </w:r>
      <w:r>
        <w:rPr>
          <w:rFonts w:hint="eastAsia"/>
        </w:rPr>
        <w:t xml:space="preserve"> </w:t>
      </w:r>
      <w:r>
        <w:rPr>
          <w:rFonts w:hint="eastAsia" w:eastAsia="仿宋"/>
          <w:b/>
          <w:sz w:val="32"/>
          <w:szCs w:val="32"/>
        </w:rPr>
        <w:t>水利、环境和公共设施管理业</w:t>
      </w:r>
      <w:r>
        <w:rPr>
          <w:rFonts w:eastAsia="仿宋"/>
          <w:b/>
          <w:sz w:val="32"/>
          <w:szCs w:val="32"/>
        </w:rPr>
        <w:t>企业</w:t>
      </w:r>
      <w:r>
        <w:rPr>
          <w:rFonts w:hint="eastAsia" w:eastAsia="仿宋"/>
          <w:b/>
          <w:sz w:val="32"/>
          <w:szCs w:val="32"/>
        </w:rPr>
        <w:t>招聘</w:t>
      </w:r>
      <w:r>
        <w:rPr>
          <w:rFonts w:eastAsia="仿宋"/>
          <w:b/>
          <w:sz w:val="32"/>
          <w:szCs w:val="32"/>
        </w:rPr>
        <w:t>应届高校毕业生人均工资最</w:t>
      </w:r>
      <w:r>
        <w:rPr>
          <w:rFonts w:hint="eastAsia" w:eastAsia="仿宋"/>
          <w:b/>
          <w:sz w:val="32"/>
          <w:szCs w:val="32"/>
        </w:rPr>
        <w:t>高，电力、热力、燃气及水生产和供应业</w:t>
      </w:r>
      <w:r>
        <w:rPr>
          <w:rFonts w:eastAsia="仿宋"/>
          <w:b/>
          <w:sz w:val="32"/>
          <w:szCs w:val="32"/>
        </w:rPr>
        <w:t>企业最低</w:t>
      </w:r>
    </w:p>
    <w:p>
      <w:pPr>
        <w:ind w:firstLine="640" w:firstLineChars="200"/>
        <w:rPr>
          <w:rFonts w:eastAsia="仿宋_GB2312"/>
          <w:color w:val="000000"/>
          <w:sz w:val="32"/>
          <w:szCs w:val="32"/>
        </w:rPr>
      </w:pPr>
      <w:r>
        <w:rPr>
          <w:rFonts w:hint="default" w:eastAsia="仿宋_GB2312"/>
          <w:color w:val="000000"/>
          <w:sz w:val="32"/>
          <w:szCs w:val="32"/>
          <w:lang w:eastAsia="zh-CN"/>
        </w:rPr>
        <w:t>2023年</w:t>
      </w:r>
      <w:r>
        <w:rPr>
          <w:rFonts w:eastAsia="仿宋_GB2312"/>
          <w:color w:val="000000"/>
          <w:sz w:val="32"/>
          <w:szCs w:val="32"/>
        </w:rPr>
        <w:t>，</w:t>
      </w:r>
      <w:r>
        <w:rPr>
          <w:rFonts w:hint="default" w:eastAsia="仿宋_GB2312"/>
          <w:color w:val="000000"/>
          <w:sz w:val="32"/>
          <w:szCs w:val="32"/>
          <w:lang w:val="en-US" w:eastAsia="zh-CN"/>
        </w:rPr>
        <w:t>各季度</w:t>
      </w:r>
      <w:r>
        <w:rPr>
          <w:rFonts w:eastAsia="仿宋_GB2312"/>
          <w:color w:val="000000"/>
          <w:sz w:val="32"/>
          <w:szCs w:val="32"/>
        </w:rPr>
        <w:t>招聘应届高校毕业生人均工资分别为</w:t>
      </w:r>
      <w:r>
        <w:rPr>
          <w:rFonts w:hint="default" w:eastAsia="仿宋_GB2312"/>
          <w:color w:val="000000"/>
          <w:sz w:val="32"/>
          <w:szCs w:val="32"/>
          <w:lang w:val="en-US" w:eastAsia="zh-CN"/>
        </w:rPr>
        <w:t>4750.00</w:t>
      </w:r>
      <w:r>
        <w:rPr>
          <w:rFonts w:hint="default" w:eastAsia="仿宋_GB2312"/>
          <w:color w:val="000000"/>
          <w:sz w:val="32"/>
          <w:szCs w:val="32"/>
        </w:rPr>
        <w:t>元/月</w:t>
      </w:r>
      <w:r>
        <w:rPr>
          <w:rFonts w:eastAsia="仿宋_GB2312"/>
          <w:color w:val="000000"/>
          <w:sz w:val="32"/>
          <w:szCs w:val="32"/>
        </w:rPr>
        <w:t>、</w:t>
      </w:r>
      <w:r>
        <w:rPr>
          <w:rFonts w:hint="default" w:eastAsia="仿宋_GB2312"/>
          <w:color w:val="000000"/>
          <w:sz w:val="32"/>
          <w:szCs w:val="32"/>
          <w:lang w:val="en-US" w:eastAsia="zh-CN"/>
        </w:rPr>
        <w:t>4587.62</w:t>
      </w:r>
      <w:r>
        <w:rPr>
          <w:rFonts w:hint="default" w:eastAsia="仿宋_GB2312"/>
          <w:color w:val="000000"/>
          <w:sz w:val="32"/>
          <w:szCs w:val="32"/>
        </w:rPr>
        <w:t>元/月</w:t>
      </w:r>
      <w:r>
        <w:rPr>
          <w:rFonts w:eastAsia="仿宋_GB2312"/>
          <w:color w:val="000000"/>
          <w:sz w:val="32"/>
          <w:szCs w:val="32"/>
        </w:rPr>
        <w:t>、</w:t>
      </w:r>
      <w:r>
        <w:rPr>
          <w:rFonts w:hint="default" w:eastAsia="仿宋_GB2312"/>
          <w:color w:val="000000"/>
          <w:sz w:val="32"/>
          <w:szCs w:val="32"/>
          <w:lang w:val="en-US" w:eastAsia="zh-CN"/>
        </w:rPr>
        <w:t>4503.32</w:t>
      </w:r>
      <w:r>
        <w:rPr>
          <w:rFonts w:hint="default" w:eastAsia="仿宋_GB2312"/>
          <w:color w:val="000000"/>
          <w:sz w:val="32"/>
          <w:szCs w:val="32"/>
        </w:rPr>
        <w:t>元/月</w:t>
      </w:r>
      <w:r>
        <w:rPr>
          <w:rFonts w:eastAsia="仿宋_GB2312"/>
          <w:color w:val="000000"/>
          <w:sz w:val="32"/>
          <w:szCs w:val="32"/>
        </w:rPr>
        <w:t>和</w:t>
      </w:r>
      <w:r>
        <w:rPr>
          <w:rFonts w:hint="default" w:eastAsia="仿宋_GB2312"/>
          <w:color w:val="000000"/>
          <w:sz w:val="32"/>
          <w:szCs w:val="32"/>
          <w:lang w:val="en-US" w:eastAsia="zh-CN"/>
        </w:rPr>
        <w:t>4479.87</w:t>
      </w:r>
      <w:r>
        <w:rPr>
          <w:rFonts w:hint="default" w:eastAsia="仿宋_GB2312"/>
          <w:color w:val="000000"/>
          <w:sz w:val="32"/>
          <w:szCs w:val="32"/>
        </w:rPr>
        <w:t>元/月</w:t>
      </w:r>
      <w:r>
        <w:rPr>
          <w:rFonts w:eastAsia="仿宋_GB2312"/>
          <w:color w:val="000000"/>
          <w:sz w:val="32"/>
          <w:szCs w:val="32"/>
        </w:rPr>
        <w:t>，</w:t>
      </w:r>
      <w:r>
        <w:rPr>
          <w:rFonts w:hint="default" w:eastAsia="仿宋_GB2312"/>
          <w:color w:val="000000"/>
          <w:sz w:val="32"/>
          <w:szCs w:val="32"/>
          <w:lang w:val="en-US" w:eastAsia="zh-CN"/>
        </w:rPr>
        <w:t>1</w:t>
      </w:r>
      <w:r>
        <w:rPr>
          <w:rFonts w:eastAsia="仿宋_GB2312"/>
          <w:color w:val="000000"/>
          <w:sz w:val="32"/>
          <w:szCs w:val="32"/>
        </w:rPr>
        <w:t>季度最多，</w:t>
      </w:r>
      <w:r>
        <w:rPr>
          <w:rFonts w:hint="default" w:eastAsia="仿宋_GB2312"/>
          <w:color w:val="000000"/>
          <w:sz w:val="32"/>
          <w:szCs w:val="32"/>
          <w:lang w:val="en-US" w:eastAsia="zh-CN"/>
        </w:rPr>
        <w:t>4</w:t>
      </w:r>
      <w:r>
        <w:rPr>
          <w:rFonts w:eastAsia="仿宋_GB2312"/>
          <w:color w:val="000000"/>
          <w:sz w:val="32"/>
          <w:szCs w:val="32"/>
        </w:rPr>
        <w:t>季度最少。分行业来看，</w:t>
      </w:r>
      <w:r>
        <w:rPr>
          <w:rFonts w:hint="default" w:eastAsia="仿宋_GB2312"/>
          <w:color w:val="000000"/>
          <w:sz w:val="32"/>
          <w:szCs w:val="32"/>
        </w:rPr>
        <w:t>水利、环境和公共设施管理业</w:t>
      </w:r>
      <w:r>
        <w:rPr>
          <w:rFonts w:eastAsia="仿宋_GB2312"/>
          <w:color w:val="000000"/>
          <w:sz w:val="32"/>
          <w:szCs w:val="32"/>
        </w:rPr>
        <w:t>招聘应届高校毕业生人均工资最高，</w:t>
      </w:r>
      <w:r>
        <w:rPr>
          <w:rFonts w:hint="default" w:eastAsia="仿宋_GB2312"/>
          <w:color w:val="000000"/>
          <w:sz w:val="32"/>
          <w:szCs w:val="32"/>
        </w:rPr>
        <w:t>平均</w:t>
      </w:r>
      <w:r>
        <w:rPr>
          <w:rFonts w:eastAsia="仿宋_GB2312"/>
          <w:color w:val="000000"/>
          <w:sz w:val="32"/>
          <w:szCs w:val="32"/>
        </w:rPr>
        <w:t>为</w:t>
      </w:r>
      <w:r>
        <w:rPr>
          <w:rFonts w:hint="default" w:eastAsia="仿宋_GB2312"/>
          <w:color w:val="000000"/>
          <w:sz w:val="32"/>
          <w:szCs w:val="32"/>
          <w:lang w:val="en-US" w:eastAsia="zh-CN"/>
        </w:rPr>
        <w:t>6650</w:t>
      </w:r>
      <w:r>
        <w:rPr>
          <w:rFonts w:eastAsia="仿宋_GB2312"/>
          <w:color w:val="000000"/>
          <w:sz w:val="32"/>
          <w:szCs w:val="32"/>
        </w:rPr>
        <w:t>元/月；</w:t>
      </w:r>
      <w:r>
        <w:rPr>
          <w:rFonts w:hint="default" w:eastAsia="仿宋_GB2312"/>
          <w:color w:val="000000"/>
          <w:sz w:val="32"/>
          <w:szCs w:val="32"/>
        </w:rPr>
        <w:t>电力、热力、燃气及水生产和供应业</w:t>
      </w:r>
      <w:r>
        <w:rPr>
          <w:rFonts w:eastAsia="仿宋_GB2312"/>
          <w:color w:val="000000"/>
          <w:sz w:val="32"/>
          <w:szCs w:val="32"/>
        </w:rPr>
        <w:t>的人均工资最低，</w:t>
      </w:r>
      <w:r>
        <w:rPr>
          <w:rFonts w:hint="default" w:eastAsia="仿宋_GB2312"/>
          <w:color w:val="000000"/>
          <w:sz w:val="32"/>
          <w:szCs w:val="32"/>
        </w:rPr>
        <w:t>平均</w:t>
      </w:r>
      <w:r>
        <w:rPr>
          <w:rFonts w:eastAsia="仿宋_GB2312"/>
          <w:color w:val="000000"/>
          <w:sz w:val="32"/>
          <w:szCs w:val="32"/>
        </w:rPr>
        <w:t>为</w:t>
      </w:r>
      <w:r>
        <w:rPr>
          <w:rFonts w:hint="default" w:eastAsia="仿宋_GB2312"/>
          <w:color w:val="000000"/>
          <w:sz w:val="32"/>
          <w:szCs w:val="32"/>
          <w:lang w:val="en-US" w:eastAsia="zh-CN"/>
        </w:rPr>
        <w:t>2975</w:t>
      </w:r>
      <w:r>
        <w:rPr>
          <w:rFonts w:eastAsia="仿宋_GB2312"/>
          <w:color w:val="000000"/>
          <w:sz w:val="32"/>
          <w:szCs w:val="32"/>
        </w:rPr>
        <w:t>元/月</w:t>
      </w:r>
      <w:r>
        <w:rPr>
          <w:rFonts w:hint="default" w:eastAsia="仿宋_GB2312"/>
          <w:color w:val="000000"/>
          <w:sz w:val="32"/>
          <w:szCs w:val="32"/>
        </w:rPr>
        <w:t>；其他行业</w:t>
      </w:r>
      <w:r>
        <w:rPr>
          <w:rFonts w:eastAsia="仿宋_GB2312"/>
          <w:color w:val="000000"/>
          <w:sz w:val="32"/>
          <w:szCs w:val="32"/>
        </w:rPr>
        <w:t>的人均工资</w:t>
      </w:r>
      <w:r>
        <w:rPr>
          <w:rFonts w:hint="default" w:eastAsia="仿宋_GB2312"/>
          <w:color w:val="000000"/>
          <w:sz w:val="32"/>
          <w:szCs w:val="32"/>
        </w:rPr>
        <w:t>在3</w:t>
      </w:r>
      <w:r>
        <w:rPr>
          <w:rFonts w:eastAsia="仿宋_GB2312"/>
          <w:color w:val="000000"/>
          <w:sz w:val="32"/>
          <w:szCs w:val="32"/>
        </w:rPr>
        <w:t>0</w:t>
      </w:r>
      <w:r>
        <w:rPr>
          <w:rFonts w:hint="default" w:eastAsia="仿宋_GB2312"/>
          <w:color w:val="000000"/>
          <w:sz w:val="32"/>
          <w:szCs w:val="32"/>
        </w:rPr>
        <w:t>00-</w:t>
      </w:r>
      <w:r>
        <w:rPr>
          <w:rFonts w:hint="default" w:eastAsia="仿宋_GB2312"/>
          <w:color w:val="000000"/>
          <w:sz w:val="32"/>
          <w:szCs w:val="32"/>
          <w:lang w:val="en-US" w:eastAsia="zh-CN"/>
        </w:rPr>
        <w:t>6</w:t>
      </w:r>
      <w:r>
        <w:rPr>
          <w:rFonts w:eastAsia="仿宋_GB2312"/>
          <w:color w:val="000000"/>
          <w:sz w:val="32"/>
          <w:szCs w:val="32"/>
        </w:rPr>
        <w:t>0</w:t>
      </w:r>
      <w:r>
        <w:rPr>
          <w:rFonts w:hint="default" w:eastAsia="仿宋_GB2312"/>
          <w:color w:val="000000"/>
          <w:sz w:val="32"/>
          <w:szCs w:val="32"/>
        </w:rPr>
        <w:t>00元/月之间</w:t>
      </w:r>
      <w:r>
        <w:rPr>
          <w:rFonts w:eastAsia="仿宋_GB2312"/>
          <w:color w:val="000000"/>
          <w:sz w:val="32"/>
          <w:szCs w:val="32"/>
        </w:rPr>
        <w:t>（见表</w:t>
      </w:r>
      <w:r>
        <w:rPr>
          <w:rFonts w:hint="eastAsia" w:eastAsia="仿宋_GB2312"/>
          <w:color w:val="000000"/>
          <w:sz w:val="32"/>
          <w:szCs w:val="32"/>
          <w:lang w:val="en-US" w:eastAsia="zh-CN"/>
        </w:rPr>
        <w:t>21</w:t>
      </w:r>
      <w:r>
        <w:rPr>
          <w:rFonts w:eastAsia="仿宋_GB2312"/>
          <w:color w:val="000000"/>
          <w:sz w:val="32"/>
          <w:szCs w:val="32"/>
        </w:rPr>
        <w:t>）。</w:t>
      </w:r>
    </w:p>
    <w:p>
      <w:pPr>
        <w:pStyle w:val="39"/>
        <w:numPr>
          <w:ilvl w:val="0"/>
          <w:numId w:val="0"/>
        </w:numPr>
        <w:ind w:left="420"/>
        <w:rPr>
          <w:rFonts w:eastAsia="宋体"/>
        </w:rPr>
      </w:pPr>
      <w:r>
        <w:rPr>
          <w:rStyle w:val="38"/>
          <w:rFonts w:hint="eastAsia" w:eastAsia="宋体"/>
          <w:b/>
        </w:rPr>
        <w:t>表</w:t>
      </w:r>
      <w:r>
        <w:rPr>
          <w:rStyle w:val="38"/>
          <w:rFonts w:hint="eastAsia" w:eastAsia="宋体"/>
          <w:b/>
          <w:lang w:val="en-US" w:eastAsia="zh-CN"/>
        </w:rPr>
        <w:t>21</w:t>
      </w:r>
      <w:r>
        <w:rPr>
          <w:rStyle w:val="38"/>
          <w:rFonts w:hint="eastAsia" w:eastAsia="宋体"/>
          <w:b/>
        </w:rPr>
        <w:t>：</w:t>
      </w:r>
      <w:r>
        <w:rPr>
          <w:rStyle w:val="38"/>
          <w:rFonts w:hint="eastAsia" w:eastAsia="宋体"/>
          <w:b/>
          <w:lang w:eastAsia="zh-CN"/>
        </w:rPr>
        <w:t>2023年</w:t>
      </w:r>
      <w:r>
        <w:rPr>
          <w:rStyle w:val="38"/>
          <w:rFonts w:hint="eastAsia" w:eastAsia="宋体"/>
          <w:b/>
        </w:rPr>
        <w:t>样本企业中</w:t>
      </w:r>
      <w:r>
        <w:rPr>
          <w:rStyle w:val="38"/>
          <w:rFonts w:eastAsia="宋体"/>
          <w:b/>
        </w:rPr>
        <w:t>样本企业分行业目前招聘应届高校毕业生人均工资</w:t>
      </w:r>
      <w:r>
        <w:rPr>
          <w:rFonts w:eastAsia="宋体"/>
        </w:rPr>
        <w:t>水平</w:t>
      </w:r>
    </w:p>
    <w:p>
      <w:pPr>
        <w:jc w:val="right"/>
        <w:rPr>
          <w:b/>
          <w:sz w:val="24"/>
        </w:rPr>
      </w:pPr>
      <w:r>
        <w:rPr>
          <w:b/>
          <w:sz w:val="24"/>
        </w:rPr>
        <w:t>单位：（元/月）</w:t>
      </w:r>
    </w:p>
    <w:tbl>
      <w:tblPr>
        <w:tblStyle w:val="13"/>
        <w:tblW w:w="9190" w:type="dxa"/>
        <w:tblInd w:w="93"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798"/>
        <w:gridCol w:w="1348"/>
        <w:gridCol w:w="1348"/>
        <w:gridCol w:w="1348"/>
        <w:gridCol w:w="13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798" w:type="dxa"/>
            <w:shd w:val="clear" w:color="auto" w:fill="92CDDC" w:themeFill="accent5" w:themeFillTint="99"/>
            <w:noWrap w:val="0"/>
            <w:vAlign w:val="center"/>
          </w:tcPr>
          <w:p>
            <w:pPr>
              <w:widowControl/>
              <w:jc w:val="center"/>
              <w:rPr>
                <w:b/>
                <w:bCs/>
                <w:color w:val="000000"/>
                <w:kern w:val="0"/>
              </w:rPr>
            </w:pPr>
            <w:r>
              <w:rPr>
                <w:b/>
                <w:bCs/>
                <w:color w:val="000000"/>
                <w:kern w:val="0"/>
              </w:rPr>
              <w:t>行业</w:t>
            </w:r>
          </w:p>
        </w:tc>
        <w:tc>
          <w:tcPr>
            <w:tcW w:w="1348" w:type="dxa"/>
            <w:shd w:val="clear" w:color="auto" w:fill="92CDDC" w:themeFill="accent5" w:themeFillTint="99"/>
            <w:noWrap w:val="0"/>
            <w:vAlign w:val="center"/>
          </w:tcPr>
          <w:p>
            <w:pPr>
              <w:widowControl/>
              <w:jc w:val="center"/>
              <w:rPr>
                <w:b/>
                <w:bCs/>
                <w:color w:val="000000"/>
                <w:kern w:val="0"/>
              </w:rPr>
            </w:pPr>
            <w:r>
              <w:rPr>
                <w:b/>
                <w:bCs/>
                <w:color w:val="000000"/>
                <w:kern w:val="0"/>
              </w:rPr>
              <w:t>1季度</w:t>
            </w:r>
          </w:p>
        </w:tc>
        <w:tc>
          <w:tcPr>
            <w:tcW w:w="1348" w:type="dxa"/>
            <w:shd w:val="clear" w:color="auto" w:fill="92CDDC" w:themeFill="accent5" w:themeFillTint="99"/>
            <w:noWrap w:val="0"/>
            <w:vAlign w:val="center"/>
          </w:tcPr>
          <w:p>
            <w:pPr>
              <w:widowControl/>
              <w:jc w:val="center"/>
              <w:rPr>
                <w:b/>
                <w:bCs/>
                <w:color w:val="000000"/>
                <w:kern w:val="0"/>
              </w:rPr>
            </w:pPr>
            <w:r>
              <w:rPr>
                <w:b/>
                <w:bCs/>
                <w:color w:val="000000"/>
                <w:kern w:val="0"/>
              </w:rPr>
              <w:t>2季度</w:t>
            </w:r>
          </w:p>
        </w:tc>
        <w:tc>
          <w:tcPr>
            <w:tcW w:w="1348" w:type="dxa"/>
            <w:shd w:val="clear" w:color="auto" w:fill="92CDDC" w:themeFill="accent5" w:themeFillTint="99"/>
            <w:noWrap w:val="0"/>
            <w:vAlign w:val="center"/>
          </w:tcPr>
          <w:p>
            <w:pPr>
              <w:widowControl/>
              <w:jc w:val="center"/>
              <w:rPr>
                <w:b/>
                <w:bCs/>
                <w:color w:val="000000"/>
                <w:kern w:val="0"/>
              </w:rPr>
            </w:pPr>
            <w:r>
              <w:rPr>
                <w:b/>
                <w:bCs/>
                <w:color w:val="000000"/>
                <w:kern w:val="0"/>
              </w:rPr>
              <w:t>3季度</w:t>
            </w:r>
          </w:p>
        </w:tc>
        <w:tc>
          <w:tcPr>
            <w:tcW w:w="1348" w:type="dxa"/>
            <w:shd w:val="clear" w:color="auto" w:fill="92CDDC" w:themeFill="accent5" w:themeFillTint="99"/>
            <w:noWrap w:val="0"/>
            <w:vAlign w:val="center"/>
          </w:tcPr>
          <w:p>
            <w:pPr>
              <w:widowControl/>
              <w:jc w:val="center"/>
              <w:rPr>
                <w:b/>
                <w:bCs/>
                <w:color w:val="000000"/>
                <w:kern w:val="0"/>
              </w:rPr>
            </w:pPr>
            <w:r>
              <w:rPr>
                <w:b/>
                <w:bCs/>
                <w:color w:val="000000"/>
                <w:kern w:val="0"/>
              </w:rPr>
              <w:t>4季度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9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1348" w:type="dxa"/>
            <w:noWrap w:val="0"/>
            <w:vAlign w:val="bottom"/>
          </w:tcPr>
          <w:p>
            <w:pPr>
              <w:widowControl/>
              <w:jc w:val="center"/>
              <w:textAlignment w:val="auto"/>
              <w:rPr>
                <w:color w:val="000000"/>
                <w:szCs w:val="22"/>
              </w:rPr>
            </w:pPr>
            <w:r>
              <w:rPr>
                <w:rFonts w:hint="default"/>
                <w:color w:val="000000"/>
                <w:kern w:val="0"/>
                <w:sz w:val="22"/>
                <w:szCs w:val="22"/>
                <w:lang w:eastAsia="zh-CN" w:bidi="ar"/>
              </w:rPr>
              <w:t>——</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6800.00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6500.00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9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6000.00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9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5195.00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5087.69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4636.88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4678.91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9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5000.00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4750.00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9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4950.00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4900.00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4808.50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4584.50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9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4500.00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4500.00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9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4500.00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9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4200.00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4350.00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9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3800.00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3800.00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9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4000.00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3437.50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3628.33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3596.25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9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2800.00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2800.00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5000.00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3900.00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9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3500.00 </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c>
          <w:tcPr>
            <w:tcW w:w="1348" w:type="dxa"/>
            <w:noWrap w:val="0"/>
            <w:vAlign w:val="bottom"/>
          </w:tcPr>
          <w:p>
            <w:pPr>
              <w:widowControl/>
              <w:jc w:val="center"/>
              <w:textAlignment w:val="auto"/>
              <w:rPr>
                <w:color w:val="000000"/>
                <w:kern w:val="2"/>
                <w:sz w:val="21"/>
                <w:szCs w:val="22"/>
                <w:lang w:val="en-US" w:eastAsia="zh-CN" w:bidi="ar-SA"/>
              </w:rPr>
            </w:pPr>
            <w:r>
              <w:rPr>
                <w:rFonts w:hint="default"/>
                <w:color w:val="000000"/>
                <w:kern w:val="0"/>
                <w:sz w:val="22"/>
                <w:szCs w:val="22"/>
                <w:lang w:eastAsia="zh-CN" w:bidi="ar"/>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9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3850.00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3850.00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3275.00 </w:t>
            </w:r>
          </w:p>
        </w:tc>
        <w:tc>
          <w:tcPr>
            <w:tcW w:w="1348" w:type="dxa"/>
            <w:noWrap w:val="0"/>
            <w:vAlign w:val="bottom"/>
          </w:tcPr>
          <w:p>
            <w:pPr>
              <w:widowControl/>
              <w:jc w:val="center"/>
              <w:textAlignment w:val="bottom"/>
              <w:rPr>
                <w:color w:val="000000"/>
                <w:szCs w:val="22"/>
              </w:rPr>
            </w:pPr>
            <w:r>
              <w:rPr>
                <w:rFonts w:hint="default" w:ascii="Times New Roman" w:hAnsi="Times New Roman" w:eastAsia="宋体" w:cs="Times New Roman"/>
                <w:i w:val="0"/>
                <w:iCs w:val="0"/>
                <w:color w:val="000000"/>
                <w:kern w:val="0"/>
                <w:sz w:val="22"/>
                <w:szCs w:val="22"/>
                <w:u w:val="none"/>
                <w:lang w:val="en-US" w:eastAsia="zh-CN" w:bidi="ar"/>
              </w:rPr>
              <w:t xml:space="preserve">2700.00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98" w:type="dxa"/>
            <w:noWrap w:val="0"/>
            <w:vAlign w:val="bottom"/>
          </w:tcPr>
          <w:p>
            <w:pPr>
              <w:widowControl/>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b/>
                <w:bCs/>
                <w:color w:val="000000"/>
                <w:kern w:val="0"/>
                <w:sz w:val="22"/>
                <w:szCs w:val="22"/>
                <w:lang w:bidi="ar"/>
              </w:rPr>
              <w:t>平均</w:t>
            </w:r>
          </w:p>
        </w:tc>
        <w:tc>
          <w:tcPr>
            <w:tcW w:w="1348" w:type="dxa"/>
            <w:noWrap w:val="0"/>
            <w:vAlign w:val="bottom"/>
          </w:tcPr>
          <w:p>
            <w:pPr>
              <w:widowControl/>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4750.00</w:t>
            </w:r>
          </w:p>
        </w:tc>
        <w:tc>
          <w:tcPr>
            <w:tcW w:w="1348" w:type="dxa"/>
            <w:noWrap w:val="0"/>
            <w:vAlign w:val="bottom"/>
          </w:tcPr>
          <w:p>
            <w:pPr>
              <w:widowControl/>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4587.62</w:t>
            </w:r>
          </w:p>
        </w:tc>
        <w:tc>
          <w:tcPr>
            <w:tcW w:w="1348" w:type="dxa"/>
            <w:noWrap w:val="0"/>
            <w:vAlign w:val="bottom"/>
          </w:tcPr>
          <w:p>
            <w:pPr>
              <w:widowControl/>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4503.32</w:t>
            </w:r>
          </w:p>
        </w:tc>
        <w:tc>
          <w:tcPr>
            <w:tcW w:w="1348" w:type="dxa"/>
            <w:noWrap w:val="0"/>
            <w:vAlign w:val="bottom"/>
          </w:tcPr>
          <w:p>
            <w:pPr>
              <w:widowControl/>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4479.87</w:t>
            </w:r>
          </w:p>
        </w:tc>
      </w:tr>
    </w:tbl>
    <w:p>
      <w:pPr>
        <w:spacing w:line="240" w:lineRule="auto"/>
        <w:ind w:firstLine="0" w:firstLineChars="0"/>
        <w:rPr>
          <w:rFonts w:hint="default"/>
          <w:lang w:val="en-US"/>
        </w:rPr>
      </w:pPr>
    </w:p>
    <w:p>
      <w:pPr>
        <w:pStyle w:val="2"/>
        <w:spacing w:before="156"/>
        <w:ind w:firstLine="643" w:firstLineChars="200"/>
      </w:pPr>
      <w:bookmarkStart w:id="18" w:name="_Toc27216"/>
      <w:r>
        <w:rPr>
          <w:rFonts w:hint="eastAsia"/>
          <w:lang w:val="en-US" w:eastAsia="zh-CN"/>
        </w:rPr>
        <w:t>三</w:t>
      </w:r>
      <w:r>
        <w:t>、样本企业的生产经营情况</w:t>
      </w:r>
      <w:bookmarkEnd w:id="18"/>
    </w:p>
    <w:p>
      <w:pPr>
        <w:pStyle w:val="37"/>
        <w:numPr>
          <w:ilvl w:val="0"/>
          <w:numId w:val="0"/>
        </w:numPr>
        <w:spacing w:before="0" w:beforeLines="0"/>
        <w:ind w:firstLine="640" w:firstLineChars="200"/>
        <w:rPr>
          <w:rFonts w:hint="eastAsia" w:ascii="楷体_GB2312" w:hAnsi="楷体_GB2312" w:eastAsia="楷体_GB2312" w:cs="楷体_GB2312"/>
          <w:b w:val="0"/>
          <w:bCs w:val="0"/>
        </w:rPr>
      </w:pPr>
      <w:bookmarkStart w:id="19" w:name="_Toc17953"/>
      <w:r>
        <w:rPr>
          <w:rFonts w:hint="eastAsia" w:ascii="楷体_GB2312" w:hAnsi="楷体_GB2312" w:eastAsia="楷体_GB2312" w:cs="楷体_GB2312"/>
          <w:b w:val="0"/>
          <w:bCs w:val="0"/>
        </w:rPr>
        <w:t>（一）本季度生产经营情况</w:t>
      </w:r>
      <w:bookmarkEnd w:id="19"/>
    </w:p>
    <w:p>
      <w:pPr>
        <w:spacing w:beforeLines="0" w:line="360" w:lineRule="auto"/>
        <w:ind w:firstLine="643" w:firstLineChars="200"/>
        <w:rPr>
          <w:rFonts w:hint="eastAsia" w:eastAsia="仿宋"/>
          <w:b/>
          <w:sz w:val="32"/>
          <w:szCs w:val="32"/>
        </w:rPr>
      </w:pPr>
      <w:r>
        <w:rPr>
          <w:rFonts w:eastAsia="仿宋"/>
          <w:b/>
          <w:sz w:val="32"/>
          <w:szCs w:val="32"/>
        </w:rPr>
        <w:t>1.企业</w:t>
      </w:r>
      <w:r>
        <w:rPr>
          <w:rFonts w:hint="eastAsia" w:eastAsia="仿宋"/>
          <w:b/>
          <w:sz w:val="32"/>
          <w:szCs w:val="32"/>
        </w:rPr>
        <w:t>生产</w:t>
      </w:r>
      <w:r>
        <w:rPr>
          <w:rFonts w:eastAsia="仿宋"/>
          <w:b/>
          <w:sz w:val="32"/>
          <w:szCs w:val="32"/>
        </w:rPr>
        <w:t>经营状况</w:t>
      </w:r>
      <w:r>
        <w:rPr>
          <w:rFonts w:hint="eastAsia" w:eastAsia="仿宋"/>
          <w:b/>
          <w:sz w:val="32"/>
          <w:szCs w:val="32"/>
          <w:lang w:val="en-US" w:eastAsia="zh-CN"/>
        </w:rPr>
        <w:t>以正常为主</w:t>
      </w:r>
    </w:p>
    <w:p>
      <w:pPr>
        <w:spacing w:line="240" w:lineRule="auto"/>
        <w:ind w:firstLine="640" w:firstLineChars="200"/>
        <w:rPr>
          <w:rFonts w:hint="eastAsia" w:eastAsia="仿宋_GB2312"/>
          <w:bCs w:val="0"/>
          <w:color w:val="000000"/>
          <w:sz w:val="32"/>
          <w:szCs w:val="32"/>
        </w:rPr>
      </w:pPr>
      <w:r>
        <w:rPr>
          <w:rFonts w:hint="default" w:eastAsia="仿宋_GB2312"/>
          <w:bCs w:val="0"/>
          <w:color w:val="000000"/>
          <w:sz w:val="32"/>
          <w:szCs w:val="32"/>
          <w:lang w:eastAsia="zh-CN"/>
        </w:rPr>
        <w:t>2023年</w:t>
      </w:r>
      <w:r>
        <w:rPr>
          <w:rFonts w:hint="default" w:eastAsia="仿宋_GB2312"/>
          <w:bCs w:val="0"/>
          <w:color w:val="000000"/>
          <w:sz w:val="32"/>
          <w:szCs w:val="32"/>
        </w:rPr>
        <w:t>，样本企业生产经营</w:t>
      </w:r>
      <w:r>
        <w:rPr>
          <w:rFonts w:eastAsia="仿宋_GB2312"/>
          <w:bCs w:val="0"/>
          <w:color w:val="000000"/>
          <w:sz w:val="32"/>
          <w:szCs w:val="32"/>
        </w:rPr>
        <w:t>状况</w:t>
      </w:r>
      <w:r>
        <w:rPr>
          <w:rFonts w:hint="default" w:eastAsia="仿宋_GB2312"/>
          <w:bCs w:val="0"/>
          <w:color w:val="000000"/>
          <w:sz w:val="32"/>
          <w:szCs w:val="32"/>
        </w:rPr>
        <w:t>“</w:t>
      </w:r>
      <w:r>
        <w:rPr>
          <w:rFonts w:eastAsia="仿宋_GB2312"/>
          <w:bCs w:val="0"/>
          <w:color w:val="000000"/>
          <w:sz w:val="32"/>
          <w:szCs w:val="32"/>
        </w:rPr>
        <w:t>正常</w:t>
      </w:r>
      <w:r>
        <w:rPr>
          <w:rFonts w:hint="default" w:eastAsia="仿宋_GB2312"/>
          <w:bCs w:val="0"/>
          <w:color w:val="000000"/>
          <w:sz w:val="32"/>
          <w:szCs w:val="32"/>
        </w:rPr>
        <w:t>”</w:t>
      </w:r>
      <w:r>
        <w:rPr>
          <w:rFonts w:eastAsia="仿宋_GB2312"/>
          <w:bCs w:val="0"/>
          <w:color w:val="000000"/>
          <w:sz w:val="32"/>
          <w:szCs w:val="32"/>
        </w:rPr>
        <w:t>的</w:t>
      </w:r>
      <w:r>
        <w:rPr>
          <w:rFonts w:hint="default" w:eastAsia="仿宋_GB2312"/>
          <w:bCs w:val="0"/>
          <w:color w:val="000000"/>
          <w:sz w:val="32"/>
          <w:szCs w:val="32"/>
        </w:rPr>
        <w:t>约占</w:t>
      </w:r>
      <w:r>
        <w:rPr>
          <w:rFonts w:hint="default" w:eastAsia="仿宋_GB2312"/>
          <w:bCs w:val="0"/>
          <w:color w:val="000000"/>
          <w:sz w:val="32"/>
          <w:szCs w:val="32"/>
          <w:lang w:val="en-US" w:eastAsia="zh-CN"/>
        </w:rPr>
        <w:t>64</w:t>
      </w:r>
      <w:r>
        <w:rPr>
          <w:rFonts w:eastAsia="仿宋_GB2312"/>
          <w:bCs w:val="0"/>
          <w:color w:val="000000"/>
          <w:sz w:val="32"/>
          <w:szCs w:val="32"/>
        </w:rPr>
        <w:t>%</w:t>
      </w:r>
      <w:r>
        <w:rPr>
          <w:rFonts w:hint="default" w:eastAsia="仿宋_GB2312"/>
          <w:bCs w:val="0"/>
          <w:color w:val="000000"/>
          <w:sz w:val="32"/>
          <w:szCs w:val="32"/>
        </w:rPr>
        <w:t>，仅有</w:t>
      </w:r>
      <w:r>
        <w:rPr>
          <w:rFonts w:hint="default" w:eastAsia="仿宋_GB2312"/>
          <w:bCs w:val="0"/>
          <w:color w:val="000000"/>
          <w:sz w:val="32"/>
          <w:szCs w:val="32"/>
          <w:lang w:val="en-US" w:eastAsia="zh-CN"/>
        </w:rPr>
        <w:t>15</w:t>
      </w:r>
      <w:r>
        <w:rPr>
          <w:rFonts w:hint="default" w:eastAsia="仿宋_GB2312"/>
          <w:bCs w:val="0"/>
          <w:color w:val="000000"/>
          <w:sz w:val="32"/>
          <w:szCs w:val="32"/>
        </w:rPr>
        <w:t>%左右的样本企业生产经营状况“</w:t>
      </w:r>
      <w:r>
        <w:rPr>
          <w:rFonts w:eastAsia="仿宋_GB2312"/>
          <w:bCs w:val="0"/>
          <w:color w:val="000000"/>
          <w:sz w:val="32"/>
          <w:szCs w:val="32"/>
        </w:rPr>
        <w:t>良好</w:t>
      </w:r>
      <w:r>
        <w:rPr>
          <w:rFonts w:hint="default" w:eastAsia="仿宋_GB2312"/>
          <w:bCs w:val="0"/>
          <w:color w:val="000000"/>
          <w:sz w:val="32"/>
          <w:szCs w:val="32"/>
        </w:rPr>
        <w:t>”</w:t>
      </w:r>
      <w:r>
        <w:rPr>
          <w:rFonts w:eastAsia="仿宋_GB2312"/>
          <w:bCs w:val="0"/>
          <w:color w:val="000000"/>
          <w:sz w:val="32"/>
          <w:szCs w:val="32"/>
        </w:rPr>
        <w:t>。</w:t>
      </w:r>
      <w:r>
        <w:rPr>
          <w:rFonts w:hint="eastAsia" w:eastAsia="仿宋_GB2312"/>
          <w:bCs w:val="0"/>
          <w:color w:val="000000"/>
          <w:sz w:val="32"/>
          <w:szCs w:val="32"/>
          <w:lang w:val="en-US" w:eastAsia="zh-CN"/>
        </w:rPr>
        <w:t>部分企业仍存</w:t>
      </w:r>
      <w:r>
        <w:rPr>
          <w:rFonts w:hint="default" w:eastAsia="仿宋_GB2312"/>
          <w:bCs w:val="0"/>
          <w:color w:val="000000"/>
          <w:sz w:val="32"/>
          <w:szCs w:val="32"/>
        </w:rPr>
        <w:t>在一定的困难，生产</w:t>
      </w:r>
      <w:r>
        <w:rPr>
          <w:rFonts w:eastAsia="仿宋_GB2312"/>
          <w:bCs w:val="0"/>
          <w:color w:val="000000"/>
          <w:sz w:val="32"/>
          <w:szCs w:val="32"/>
        </w:rPr>
        <w:t>经营状况“困难”的</w:t>
      </w:r>
      <w:r>
        <w:rPr>
          <w:rFonts w:hint="default" w:eastAsia="仿宋_GB2312"/>
          <w:bCs w:val="0"/>
          <w:color w:val="000000"/>
          <w:sz w:val="32"/>
          <w:szCs w:val="32"/>
        </w:rPr>
        <w:t>占比</w:t>
      </w:r>
      <w:r>
        <w:rPr>
          <w:rFonts w:eastAsia="仿宋_GB2312"/>
          <w:bCs w:val="0"/>
          <w:color w:val="000000"/>
          <w:sz w:val="32"/>
          <w:szCs w:val="32"/>
        </w:rPr>
        <w:t>在</w:t>
      </w:r>
      <w:r>
        <w:rPr>
          <w:rFonts w:hint="default" w:eastAsia="仿宋_GB2312"/>
          <w:bCs w:val="0"/>
          <w:color w:val="000000"/>
          <w:sz w:val="32"/>
          <w:szCs w:val="32"/>
          <w:lang w:val="en-US" w:eastAsia="zh-CN"/>
        </w:rPr>
        <w:t>21</w:t>
      </w:r>
      <w:r>
        <w:rPr>
          <w:rFonts w:hint="default" w:eastAsia="仿宋_GB2312"/>
          <w:bCs w:val="0"/>
          <w:color w:val="000000"/>
          <w:sz w:val="32"/>
          <w:szCs w:val="32"/>
        </w:rPr>
        <w:t>%</w:t>
      </w:r>
      <w:r>
        <w:rPr>
          <w:rFonts w:eastAsia="仿宋_GB2312"/>
          <w:bCs w:val="0"/>
          <w:color w:val="000000"/>
          <w:sz w:val="32"/>
          <w:szCs w:val="32"/>
        </w:rPr>
        <w:t>左右，</w:t>
      </w:r>
      <w:r>
        <w:rPr>
          <w:rFonts w:hint="default" w:eastAsia="仿宋_GB2312"/>
          <w:bCs w:val="0"/>
          <w:color w:val="000000"/>
          <w:sz w:val="32"/>
          <w:szCs w:val="32"/>
          <w:lang w:val="en-US" w:eastAsia="zh-CN"/>
        </w:rPr>
        <w:t>1</w:t>
      </w:r>
      <w:r>
        <w:rPr>
          <w:rFonts w:hint="default" w:eastAsia="仿宋_GB2312"/>
          <w:bCs w:val="0"/>
          <w:color w:val="000000"/>
          <w:sz w:val="32"/>
          <w:szCs w:val="32"/>
        </w:rPr>
        <w:t>季度占比更高达</w:t>
      </w:r>
      <w:r>
        <w:rPr>
          <w:rFonts w:hint="default" w:eastAsia="仿宋_GB2312"/>
          <w:bCs w:val="0"/>
          <w:color w:val="000000"/>
          <w:sz w:val="32"/>
          <w:szCs w:val="32"/>
          <w:lang w:val="en-US" w:eastAsia="zh-CN"/>
        </w:rPr>
        <w:t>27.9</w:t>
      </w:r>
      <w:r>
        <w:rPr>
          <w:rFonts w:eastAsia="仿宋_GB2312"/>
          <w:bCs w:val="0"/>
          <w:color w:val="000000"/>
          <w:sz w:val="32"/>
          <w:szCs w:val="32"/>
        </w:rPr>
        <w:t>%（见表</w:t>
      </w:r>
      <w:r>
        <w:rPr>
          <w:rFonts w:hint="eastAsia" w:eastAsia="仿宋_GB2312"/>
          <w:bCs w:val="0"/>
          <w:color w:val="000000"/>
          <w:sz w:val="32"/>
          <w:szCs w:val="32"/>
          <w:lang w:eastAsia="zh-CN"/>
        </w:rPr>
        <w:t>2</w:t>
      </w:r>
      <w:r>
        <w:rPr>
          <w:rFonts w:hint="eastAsia" w:eastAsia="仿宋_GB2312"/>
          <w:bCs w:val="0"/>
          <w:color w:val="000000"/>
          <w:sz w:val="32"/>
          <w:szCs w:val="32"/>
          <w:lang w:val="en-US" w:eastAsia="zh-CN"/>
        </w:rPr>
        <w:t>2</w:t>
      </w:r>
      <w:r>
        <w:rPr>
          <w:rFonts w:eastAsia="仿宋_GB2312"/>
          <w:bCs w:val="0"/>
          <w:color w:val="000000"/>
          <w:sz w:val="32"/>
          <w:szCs w:val="32"/>
        </w:rPr>
        <w:t>）</w:t>
      </w:r>
      <w:r>
        <w:rPr>
          <w:rFonts w:hint="eastAsia" w:eastAsia="仿宋_GB2312"/>
          <w:bCs w:val="0"/>
          <w:color w:val="000000"/>
          <w:sz w:val="32"/>
          <w:szCs w:val="32"/>
          <w:lang w:eastAsia="zh-CN"/>
        </w:rPr>
        <w:t>。</w:t>
      </w:r>
    </w:p>
    <w:p>
      <w:pPr>
        <w:pStyle w:val="39"/>
        <w:numPr>
          <w:ilvl w:val="0"/>
          <w:numId w:val="0"/>
        </w:numPr>
        <w:rPr>
          <w:rFonts w:eastAsia="宋体"/>
        </w:rPr>
      </w:pPr>
      <w:r>
        <w:rPr>
          <w:rFonts w:hint="eastAsia" w:eastAsia="宋体"/>
        </w:rPr>
        <w:t>表</w:t>
      </w:r>
      <w:r>
        <w:rPr>
          <w:rFonts w:hint="eastAsia" w:eastAsia="宋体"/>
          <w:lang w:val="en-US" w:eastAsia="zh-CN"/>
        </w:rPr>
        <w:t>22</w:t>
      </w:r>
      <w:r>
        <w:rPr>
          <w:rFonts w:hint="eastAsia" w:eastAsia="宋体"/>
        </w:rPr>
        <w:t>：</w:t>
      </w:r>
      <w:r>
        <w:rPr>
          <w:rFonts w:hint="eastAsia" w:eastAsia="宋体"/>
          <w:lang w:eastAsia="zh-CN"/>
        </w:rPr>
        <w:t>2023年</w:t>
      </w:r>
      <w:r>
        <w:rPr>
          <w:rFonts w:eastAsia="宋体"/>
        </w:rPr>
        <w:t>样本企业本季度生产经营情况</w:t>
      </w:r>
    </w:p>
    <w:p>
      <w:pPr>
        <w:jc w:val="right"/>
        <w:rPr>
          <w:b/>
          <w:sz w:val="24"/>
        </w:rPr>
      </w:pPr>
      <w:r>
        <w:rPr>
          <w:b/>
          <w:sz w:val="28"/>
          <w:szCs w:val="28"/>
        </w:rPr>
        <w:t xml:space="preserve">                                            </w:t>
      </w:r>
      <w:r>
        <w:rPr>
          <w:b/>
          <w:sz w:val="24"/>
        </w:rPr>
        <w:t xml:space="preserve">        单位：%</w:t>
      </w:r>
    </w:p>
    <w:tbl>
      <w:tblPr>
        <w:tblStyle w:val="13"/>
        <w:tblW w:w="8752" w:type="dxa"/>
        <w:tblInd w:w="534"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932"/>
        <w:gridCol w:w="2630"/>
        <w:gridCol w:w="1411"/>
        <w:gridCol w:w="1307"/>
        <w:gridCol w:w="1236"/>
        <w:gridCol w:w="1236"/>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82" w:hRule="atLeast"/>
          <w:tblHeader/>
        </w:trPr>
        <w:tc>
          <w:tcPr>
            <w:tcW w:w="3562" w:type="dxa"/>
            <w:gridSpan w:val="2"/>
            <w:shd w:val="clear" w:color="auto" w:fill="92CDDC" w:themeFill="accent5" w:themeFillTint="99"/>
            <w:noWrap w:val="0"/>
            <w:vAlign w:val="center"/>
          </w:tcPr>
          <w:p>
            <w:pPr>
              <w:widowControl/>
              <w:jc w:val="center"/>
              <w:rPr>
                <w:b/>
                <w:bCs/>
                <w:color w:val="000000"/>
                <w:kern w:val="0"/>
              </w:rPr>
            </w:pPr>
            <w:r>
              <w:rPr>
                <w:b/>
                <w:bCs/>
                <w:color w:val="000000"/>
                <w:kern w:val="0"/>
              </w:rPr>
              <w:t>生产经营状况</w:t>
            </w:r>
          </w:p>
        </w:tc>
        <w:tc>
          <w:tcPr>
            <w:tcW w:w="1411" w:type="dxa"/>
            <w:shd w:val="clear" w:color="auto" w:fill="92CDDC" w:themeFill="accent5" w:themeFillTint="99"/>
            <w:noWrap w:val="0"/>
            <w:vAlign w:val="center"/>
          </w:tcPr>
          <w:p>
            <w:pPr>
              <w:widowControl/>
              <w:jc w:val="center"/>
              <w:rPr>
                <w:b/>
                <w:bCs/>
                <w:color w:val="000000"/>
                <w:kern w:val="0"/>
              </w:rPr>
            </w:pPr>
            <w:r>
              <w:rPr>
                <w:b/>
                <w:bCs/>
                <w:color w:val="000000"/>
                <w:kern w:val="0"/>
              </w:rPr>
              <w:t>1季度</w:t>
            </w:r>
          </w:p>
        </w:tc>
        <w:tc>
          <w:tcPr>
            <w:tcW w:w="1307" w:type="dxa"/>
            <w:shd w:val="clear" w:color="auto" w:fill="92CDDC" w:themeFill="accent5" w:themeFillTint="99"/>
            <w:noWrap w:val="0"/>
            <w:vAlign w:val="center"/>
          </w:tcPr>
          <w:p>
            <w:pPr>
              <w:widowControl/>
              <w:jc w:val="center"/>
              <w:rPr>
                <w:b/>
                <w:bCs/>
                <w:color w:val="000000"/>
                <w:kern w:val="0"/>
              </w:rPr>
            </w:pPr>
            <w:r>
              <w:rPr>
                <w:b/>
                <w:bCs/>
                <w:color w:val="000000"/>
                <w:kern w:val="0"/>
              </w:rPr>
              <w:t>2季度</w:t>
            </w:r>
          </w:p>
        </w:tc>
        <w:tc>
          <w:tcPr>
            <w:tcW w:w="1236" w:type="dxa"/>
            <w:shd w:val="clear" w:color="auto" w:fill="92CDDC" w:themeFill="accent5" w:themeFillTint="99"/>
            <w:noWrap w:val="0"/>
            <w:vAlign w:val="center"/>
          </w:tcPr>
          <w:p>
            <w:pPr>
              <w:widowControl/>
              <w:jc w:val="center"/>
              <w:rPr>
                <w:b/>
                <w:bCs/>
                <w:color w:val="000000"/>
                <w:kern w:val="0"/>
              </w:rPr>
            </w:pPr>
            <w:r>
              <w:rPr>
                <w:b/>
                <w:bCs/>
                <w:color w:val="000000"/>
                <w:kern w:val="0"/>
              </w:rPr>
              <w:t>3季度</w:t>
            </w:r>
          </w:p>
        </w:tc>
        <w:tc>
          <w:tcPr>
            <w:tcW w:w="1236" w:type="dxa"/>
            <w:shd w:val="clear" w:color="auto" w:fill="92CDDC" w:themeFill="accent5" w:themeFillTint="99"/>
            <w:noWrap w:val="0"/>
            <w:vAlign w:val="center"/>
          </w:tcPr>
          <w:p>
            <w:pPr>
              <w:widowControl/>
              <w:jc w:val="center"/>
              <w:rPr>
                <w:b/>
                <w:bCs/>
                <w:color w:val="000000"/>
                <w:kern w:val="0"/>
              </w:rPr>
            </w:pPr>
            <w:r>
              <w:rPr>
                <w:b/>
                <w:bCs/>
                <w:color w:val="000000"/>
                <w:kern w:val="0"/>
              </w:rPr>
              <w:t>4季度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trPr>
        <w:tc>
          <w:tcPr>
            <w:tcW w:w="3562" w:type="dxa"/>
            <w:gridSpan w:val="2"/>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良好</w:t>
            </w:r>
          </w:p>
        </w:tc>
        <w:tc>
          <w:tcPr>
            <w:tcW w:w="141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8.6 </w:t>
            </w:r>
          </w:p>
        </w:tc>
        <w:tc>
          <w:tcPr>
            <w:tcW w:w="1307"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14.3 </w:t>
            </w:r>
          </w:p>
        </w:tc>
        <w:tc>
          <w:tcPr>
            <w:tcW w:w="123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16.4 </w:t>
            </w:r>
          </w:p>
        </w:tc>
        <w:tc>
          <w:tcPr>
            <w:tcW w:w="123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18.6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trPr>
        <w:tc>
          <w:tcPr>
            <w:tcW w:w="3562" w:type="dxa"/>
            <w:gridSpan w:val="2"/>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正常</w:t>
            </w:r>
          </w:p>
        </w:tc>
        <w:tc>
          <w:tcPr>
            <w:tcW w:w="141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63.5 </w:t>
            </w:r>
          </w:p>
        </w:tc>
        <w:tc>
          <w:tcPr>
            <w:tcW w:w="1307"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62.8 </w:t>
            </w:r>
          </w:p>
        </w:tc>
        <w:tc>
          <w:tcPr>
            <w:tcW w:w="123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67.2 </w:t>
            </w:r>
          </w:p>
        </w:tc>
        <w:tc>
          <w:tcPr>
            <w:tcW w:w="123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63.5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trPr>
        <w:tc>
          <w:tcPr>
            <w:tcW w:w="3562" w:type="dxa"/>
            <w:gridSpan w:val="2"/>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困难</w:t>
            </w:r>
          </w:p>
        </w:tc>
        <w:tc>
          <w:tcPr>
            <w:tcW w:w="141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27.9 </w:t>
            </w:r>
          </w:p>
        </w:tc>
        <w:tc>
          <w:tcPr>
            <w:tcW w:w="1307"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22.9 </w:t>
            </w:r>
          </w:p>
        </w:tc>
        <w:tc>
          <w:tcPr>
            <w:tcW w:w="123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16.4 </w:t>
            </w:r>
          </w:p>
        </w:tc>
        <w:tc>
          <w:tcPr>
            <w:tcW w:w="123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17.9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trPr>
        <w:tc>
          <w:tcPr>
            <w:tcW w:w="932" w:type="dxa"/>
            <w:vMerge w:val="restart"/>
            <w:noWrap w:val="0"/>
            <w:vAlign w:val="center"/>
          </w:tcPr>
          <w:p>
            <w:pPr>
              <w:widowControl/>
              <w:jc w:val="center"/>
              <w:textAlignment w:val="center"/>
              <w:rPr>
                <w:b/>
                <w:bCs/>
                <w:color w:val="000000"/>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2630" w:type="dxa"/>
            <w:noWrap w:val="0"/>
            <w:vAlign w:val="center"/>
          </w:tcPr>
          <w:p>
            <w:pPr>
              <w:widowControl/>
              <w:jc w:val="center"/>
              <w:textAlignment w:val="center"/>
              <w:rPr>
                <w:b/>
                <w:bCs/>
                <w:color w:val="000000"/>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百分比</w:t>
            </w:r>
          </w:p>
        </w:tc>
        <w:tc>
          <w:tcPr>
            <w:tcW w:w="1411"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307"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236"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236"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trPr>
        <w:tc>
          <w:tcPr>
            <w:tcW w:w="932" w:type="dxa"/>
            <w:vMerge w:val="continue"/>
            <w:noWrap w:val="0"/>
            <w:vAlign w:val="center"/>
          </w:tcPr>
          <w:p>
            <w:pPr>
              <w:widowControl/>
              <w:jc w:val="center"/>
              <w:rPr>
                <w:b/>
                <w:bCs/>
                <w:color w:val="000000"/>
                <w:kern w:val="0"/>
                <w:szCs w:val="21"/>
              </w:rPr>
            </w:pPr>
          </w:p>
        </w:tc>
        <w:tc>
          <w:tcPr>
            <w:tcW w:w="2630" w:type="dxa"/>
            <w:noWrap w:val="0"/>
            <w:vAlign w:val="center"/>
          </w:tcPr>
          <w:p>
            <w:pPr>
              <w:widowControl/>
              <w:jc w:val="center"/>
              <w:textAlignment w:val="center"/>
              <w:rPr>
                <w:b/>
                <w:bCs/>
                <w:color w:val="000000"/>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企业个数（个）</w:t>
            </w:r>
          </w:p>
        </w:tc>
        <w:tc>
          <w:tcPr>
            <w:tcW w:w="1411"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140</w:t>
            </w:r>
          </w:p>
        </w:tc>
        <w:tc>
          <w:tcPr>
            <w:tcW w:w="1307"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140</w:t>
            </w:r>
          </w:p>
        </w:tc>
        <w:tc>
          <w:tcPr>
            <w:tcW w:w="1236"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140</w:t>
            </w:r>
          </w:p>
        </w:tc>
        <w:tc>
          <w:tcPr>
            <w:tcW w:w="1236"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140</w:t>
            </w:r>
          </w:p>
        </w:tc>
      </w:tr>
    </w:tbl>
    <w:p>
      <w:pPr>
        <w:numPr>
          <w:ilvl w:val="0"/>
          <w:numId w:val="0"/>
        </w:numPr>
        <w:spacing w:before="156"/>
        <w:ind w:firstLine="420" w:firstLineChars="200"/>
        <w:rPr>
          <w:rFonts w:hint="eastAsia"/>
        </w:rPr>
      </w:pPr>
    </w:p>
    <w:p>
      <w:pPr>
        <w:pStyle w:val="37"/>
        <w:numPr>
          <w:ilvl w:val="0"/>
          <w:numId w:val="0"/>
        </w:numPr>
        <w:spacing w:before="156"/>
        <w:ind w:firstLine="640" w:firstLineChars="200"/>
        <w:rPr>
          <w:rFonts w:hint="eastAsia" w:ascii="楷体_GB2312" w:hAnsi="楷体_GB2312" w:eastAsia="楷体_GB2312" w:cs="楷体_GB2312"/>
          <w:b w:val="0"/>
          <w:bCs w:val="0"/>
        </w:rPr>
      </w:pPr>
      <w:bookmarkStart w:id="20" w:name="_Toc9284"/>
      <w:r>
        <w:rPr>
          <w:rFonts w:hint="eastAsia" w:ascii="楷体_GB2312" w:hAnsi="楷体_GB2312" w:eastAsia="楷体_GB2312" w:cs="楷体_GB2312"/>
          <w:b w:val="0"/>
          <w:bCs w:val="0"/>
        </w:rPr>
        <w:t>（二）与上季度相比生产经营情况</w:t>
      </w:r>
      <w:bookmarkEnd w:id="20"/>
    </w:p>
    <w:p>
      <w:pPr>
        <w:ind w:firstLine="643" w:firstLineChars="200"/>
        <w:rPr>
          <w:rFonts w:eastAsia="仿宋"/>
          <w:b/>
          <w:sz w:val="32"/>
          <w:szCs w:val="32"/>
        </w:rPr>
      </w:pPr>
      <w:r>
        <w:rPr>
          <w:rFonts w:eastAsia="仿宋"/>
          <w:b/>
          <w:sz w:val="32"/>
          <w:szCs w:val="32"/>
        </w:rPr>
        <w:t>1.企业本季度的经营状况</w:t>
      </w:r>
      <w:r>
        <w:rPr>
          <w:rFonts w:hint="eastAsia" w:eastAsia="仿宋"/>
          <w:b/>
          <w:sz w:val="32"/>
          <w:szCs w:val="32"/>
          <w:lang w:val="en-US" w:eastAsia="zh-CN"/>
        </w:rPr>
        <w:t>有所好转</w:t>
      </w:r>
    </w:p>
    <w:p>
      <w:pPr>
        <w:spacing w:line="360" w:lineRule="auto"/>
        <w:ind w:firstLine="640" w:firstLineChars="200"/>
        <w:rPr>
          <w:rFonts w:hint="eastAsia" w:eastAsia="仿宋"/>
          <w:bCs/>
          <w:sz w:val="32"/>
          <w:szCs w:val="32"/>
        </w:rPr>
      </w:pPr>
      <w:r>
        <w:rPr>
          <w:rFonts w:hint="default" w:eastAsia="仿宋_GB2312"/>
          <w:bCs w:val="0"/>
          <w:color w:val="000000"/>
          <w:sz w:val="32"/>
          <w:szCs w:val="32"/>
          <w:lang w:eastAsia="zh-CN"/>
        </w:rPr>
        <w:t>2023年</w:t>
      </w:r>
      <w:r>
        <w:rPr>
          <w:rFonts w:hint="default" w:eastAsia="仿宋_GB2312"/>
          <w:bCs w:val="0"/>
          <w:color w:val="000000"/>
          <w:sz w:val="32"/>
          <w:szCs w:val="32"/>
        </w:rPr>
        <w:t>，</w:t>
      </w:r>
      <w:r>
        <w:rPr>
          <w:rFonts w:eastAsia="仿宋_GB2312"/>
          <w:bCs w:val="0"/>
          <w:color w:val="000000"/>
          <w:sz w:val="32"/>
          <w:szCs w:val="32"/>
        </w:rPr>
        <w:t>样本企业</w:t>
      </w:r>
      <w:r>
        <w:rPr>
          <w:rFonts w:hint="eastAsia" w:eastAsia="仿宋_GB2312"/>
          <w:bCs w:val="0"/>
          <w:color w:val="000000"/>
          <w:sz w:val="32"/>
          <w:szCs w:val="32"/>
          <w:lang w:val="en-US" w:eastAsia="zh-CN"/>
        </w:rPr>
        <w:t>本季度</w:t>
      </w:r>
      <w:r>
        <w:rPr>
          <w:rFonts w:eastAsia="仿宋_GB2312"/>
          <w:bCs w:val="0"/>
          <w:color w:val="000000"/>
          <w:sz w:val="32"/>
          <w:szCs w:val="32"/>
        </w:rPr>
        <w:t>生产经营状况</w:t>
      </w:r>
      <w:r>
        <w:rPr>
          <w:rFonts w:hint="eastAsia" w:eastAsia="仿宋_GB2312"/>
          <w:bCs w:val="0"/>
          <w:color w:val="000000"/>
          <w:sz w:val="32"/>
          <w:szCs w:val="32"/>
          <w:lang w:val="en-US" w:eastAsia="zh-CN"/>
        </w:rPr>
        <w:t>与上季度相比，</w:t>
      </w:r>
      <w:r>
        <w:rPr>
          <w:rFonts w:eastAsia="仿宋_GB2312"/>
          <w:bCs w:val="0"/>
          <w:color w:val="000000"/>
          <w:sz w:val="32"/>
          <w:szCs w:val="32"/>
        </w:rPr>
        <w:t>生产经营状况与上季度“持平”的</w:t>
      </w:r>
      <w:r>
        <w:rPr>
          <w:rFonts w:hint="default" w:eastAsia="仿宋_GB2312"/>
          <w:bCs w:val="0"/>
          <w:color w:val="000000"/>
          <w:sz w:val="32"/>
          <w:szCs w:val="32"/>
        </w:rPr>
        <w:t>占比</w:t>
      </w:r>
      <w:r>
        <w:rPr>
          <w:rFonts w:eastAsia="仿宋_GB2312"/>
          <w:bCs w:val="0"/>
          <w:color w:val="000000"/>
          <w:sz w:val="32"/>
          <w:szCs w:val="32"/>
        </w:rPr>
        <w:t>在</w:t>
      </w:r>
      <w:r>
        <w:rPr>
          <w:rFonts w:hint="default" w:eastAsia="仿宋_GB2312"/>
          <w:bCs w:val="0"/>
          <w:color w:val="000000"/>
          <w:sz w:val="32"/>
          <w:szCs w:val="32"/>
          <w:lang w:val="en-US" w:eastAsia="zh-CN"/>
        </w:rPr>
        <w:t>65</w:t>
      </w:r>
      <w:r>
        <w:rPr>
          <w:rFonts w:hint="default" w:eastAsia="仿宋_GB2312"/>
          <w:bCs w:val="0"/>
          <w:color w:val="000000"/>
          <w:sz w:val="32"/>
          <w:szCs w:val="32"/>
        </w:rPr>
        <w:t>%</w:t>
      </w:r>
      <w:r>
        <w:rPr>
          <w:rFonts w:eastAsia="仿宋_GB2312"/>
          <w:bCs w:val="0"/>
          <w:color w:val="000000"/>
          <w:sz w:val="32"/>
          <w:szCs w:val="32"/>
        </w:rPr>
        <w:t>左右，</w:t>
      </w:r>
      <w:r>
        <w:rPr>
          <w:rFonts w:hint="default" w:eastAsia="仿宋_GB2312"/>
          <w:bCs w:val="0"/>
          <w:color w:val="000000"/>
          <w:sz w:val="32"/>
          <w:szCs w:val="32"/>
        </w:rPr>
        <w:t>有</w:t>
      </w:r>
      <w:r>
        <w:rPr>
          <w:rFonts w:hint="default" w:eastAsia="仿宋_GB2312"/>
          <w:bCs w:val="0"/>
          <w:color w:val="000000"/>
          <w:sz w:val="32"/>
          <w:szCs w:val="32"/>
          <w:lang w:val="en-US" w:eastAsia="zh-CN"/>
        </w:rPr>
        <w:t>17</w:t>
      </w:r>
      <w:r>
        <w:rPr>
          <w:rFonts w:eastAsia="仿宋_GB2312"/>
          <w:bCs w:val="0"/>
          <w:color w:val="000000"/>
          <w:sz w:val="32"/>
          <w:szCs w:val="32"/>
        </w:rPr>
        <w:t>%</w:t>
      </w:r>
      <w:r>
        <w:rPr>
          <w:rFonts w:hint="default" w:eastAsia="仿宋_GB2312"/>
          <w:bCs w:val="0"/>
          <w:color w:val="000000"/>
          <w:sz w:val="32"/>
          <w:szCs w:val="32"/>
        </w:rPr>
        <w:t>左右</w:t>
      </w:r>
      <w:r>
        <w:rPr>
          <w:rFonts w:eastAsia="仿宋_GB2312"/>
          <w:bCs w:val="0"/>
          <w:color w:val="000000"/>
          <w:sz w:val="32"/>
          <w:szCs w:val="32"/>
        </w:rPr>
        <w:t>的</w:t>
      </w:r>
      <w:r>
        <w:rPr>
          <w:rFonts w:hint="default" w:eastAsia="仿宋_GB2312"/>
          <w:bCs w:val="0"/>
          <w:color w:val="000000"/>
          <w:sz w:val="32"/>
          <w:szCs w:val="32"/>
        </w:rPr>
        <w:t>样本企业</w:t>
      </w:r>
      <w:r>
        <w:rPr>
          <w:rFonts w:eastAsia="仿宋_GB2312"/>
          <w:bCs w:val="0"/>
          <w:color w:val="000000"/>
          <w:sz w:val="32"/>
          <w:szCs w:val="32"/>
        </w:rPr>
        <w:t>生产经营状况“好转”</w:t>
      </w:r>
      <w:r>
        <w:rPr>
          <w:rFonts w:hint="eastAsia" w:eastAsia="仿宋_GB2312"/>
          <w:bCs w:val="0"/>
          <w:color w:val="000000"/>
          <w:sz w:val="32"/>
          <w:szCs w:val="32"/>
          <w:lang w:eastAsia="zh-CN"/>
        </w:rPr>
        <w:t>，</w:t>
      </w:r>
      <w:r>
        <w:rPr>
          <w:rFonts w:eastAsia="仿宋_GB2312"/>
          <w:bCs w:val="0"/>
          <w:color w:val="000000"/>
          <w:sz w:val="32"/>
          <w:szCs w:val="32"/>
        </w:rPr>
        <w:t>“困难”的样本企业占比</w:t>
      </w:r>
      <w:r>
        <w:rPr>
          <w:rFonts w:hint="eastAsia" w:eastAsia="仿宋_GB2312"/>
          <w:bCs w:val="0"/>
          <w:color w:val="000000"/>
          <w:sz w:val="32"/>
          <w:szCs w:val="32"/>
          <w:lang w:val="en-US" w:eastAsia="zh-CN"/>
        </w:rPr>
        <w:t>逐步下降</w:t>
      </w:r>
      <w:r>
        <w:rPr>
          <w:rFonts w:eastAsia="仿宋_GB2312"/>
          <w:bCs w:val="0"/>
          <w:color w:val="000000"/>
          <w:sz w:val="32"/>
          <w:szCs w:val="32"/>
        </w:rPr>
        <w:t>（见表</w:t>
      </w:r>
      <w:r>
        <w:rPr>
          <w:rFonts w:hint="eastAsia" w:eastAsia="仿宋_GB2312"/>
          <w:bCs w:val="0"/>
          <w:color w:val="000000"/>
          <w:sz w:val="32"/>
          <w:szCs w:val="32"/>
          <w:lang w:eastAsia="zh-CN"/>
        </w:rPr>
        <w:t>2</w:t>
      </w:r>
      <w:r>
        <w:rPr>
          <w:rFonts w:hint="eastAsia" w:eastAsia="仿宋_GB2312"/>
          <w:bCs w:val="0"/>
          <w:color w:val="000000"/>
          <w:sz w:val="32"/>
          <w:szCs w:val="32"/>
          <w:lang w:val="en-US" w:eastAsia="zh-CN"/>
        </w:rPr>
        <w:t>3</w:t>
      </w:r>
      <w:r>
        <w:rPr>
          <w:rFonts w:eastAsia="仿宋_GB2312"/>
          <w:bCs w:val="0"/>
          <w:color w:val="000000"/>
          <w:sz w:val="32"/>
          <w:szCs w:val="32"/>
        </w:rPr>
        <w:t>）。</w:t>
      </w:r>
    </w:p>
    <w:p>
      <w:pPr>
        <w:pStyle w:val="39"/>
        <w:numPr>
          <w:ilvl w:val="0"/>
          <w:numId w:val="0"/>
        </w:numPr>
        <w:rPr>
          <w:rFonts w:eastAsia="宋体"/>
          <w:szCs w:val="24"/>
        </w:rPr>
      </w:pPr>
      <w:r>
        <w:rPr>
          <w:rFonts w:hint="eastAsia" w:eastAsia="宋体"/>
        </w:rPr>
        <w:t>表</w:t>
      </w:r>
      <w:r>
        <w:rPr>
          <w:rFonts w:hint="eastAsia" w:eastAsia="宋体"/>
          <w:lang w:val="en-US" w:eastAsia="zh-CN"/>
        </w:rPr>
        <w:t>23</w:t>
      </w:r>
      <w:r>
        <w:rPr>
          <w:rFonts w:hint="eastAsia" w:eastAsia="宋体"/>
        </w:rPr>
        <w:t>：</w:t>
      </w:r>
      <w:r>
        <w:rPr>
          <w:rFonts w:hint="eastAsia" w:eastAsia="宋体"/>
          <w:lang w:eastAsia="zh-CN"/>
        </w:rPr>
        <w:t>2023年</w:t>
      </w:r>
      <w:r>
        <w:rPr>
          <w:rFonts w:eastAsia="宋体"/>
        </w:rPr>
        <w:t>样本企业各季度与上季度相比生产经营情况</w:t>
      </w:r>
    </w:p>
    <w:p>
      <w:pPr>
        <w:jc w:val="right"/>
        <w:rPr>
          <w:b/>
          <w:sz w:val="24"/>
        </w:rPr>
      </w:pPr>
      <w:r>
        <w:rPr>
          <w:b/>
          <w:sz w:val="24"/>
        </w:rPr>
        <w:t>单位：%</w:t>
      </w:r>
    </w:p>
    <w:tbl>
      <w:tblPr>
        <w:tblStyle w:val="13"/>
        <w:tblW w:w="8752"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781"/>
        <w:gridCol w:w="1781"/>
        <w:gridCol w:w="1411"/>
        <w:gridCol w:w="1307"/>
        <w:gridCol w:w="1236"/>
        <w:gridCol w:w="1236"/>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27" w:hRule="atLeast"/>
          <w:tblHeader/>
          <w:jc w:val="center"/>
        </w:trPr>
        <w:tc>
          <w:tcPr>
            <w:tcW w:w="3562" w:type="dxa"/>
            <w:gridSpan w:val="2"/>
            <w:shd w:val="clear" w:color="auto" w:fill="92CDDC" w:themeFill="accent5" w:themeFillTint="99"/>
            <w:noWrap w:val="0"/>
            <w:vAlign w:val="center"/>
          </w:tcPr>
          <w:p>
            <w:pPr>
              <w:widowControl/>
              <w:jc w:val="center"/>
              <w:rPr>
                <w:b/>
                <w:bCs/>
                <w:color w:val="000000"/>
                <w:kern w:val="0"/>
              </w:rPr>
            </w:pPr>
            <w:r>
              <w:rPr>
                <w:b/>
                <w:bCs/>
                <w:color w:val="000000"/>
                <w:kern w:val="0"/>
              </w:rPr>
              <w:t>生产经营状况</w:t>
            </w:r>
          </w:p>
        </w:tc>
        <w:tc>
          <w:tcPr>
            <w:tcW w:w="1411" w:type="dxa"/>
            <w:shd w:val="clear" w:color="auto" w:fill="92CDDC" w:themeFill="accent5" w:themeFillTint="99"/>
            <w:noWrap w:val="0"/>
            <w:vAlign w:val="center"/>
          </w:tcPr>
          <w:p>
            <w:pPr>
              <w:widowControl/>
              <w:jc w:val="center"/>
              <w:rPr>
                <w:b/>
                <w:bCs/>
                <w:color w:val="000000"/>
                <w:kern w:val="0"/>
              </w:rPr>
            </w:pPr>
            <w:r>
              <w:rPr>
                <w:b/>
                <w:bCs/>
                <w:color w:val="000000"/>
                <w:kern w:val="0"/>
              </w:rPr>
              <w:t>1季度</w:t>
            </w:r>
          </w:p>
        </w:tc>
        <w:tc>
          <w:tcPr>
            <w:tcW w:w="1307" w:type="dxa"/>
            <w:shd w:val="clear" w:color="auto" w:fill="92CDDC" w:themeFill="accent5" w:themeFillTint="99"/>
            <w:noWrap w:val="0"/>
            <w:vAlign w:val="center"/>
          </w:tcPr>
          <w:p>
            <w:pPr>
              <w:widowControl/>
              <w:jc w:val="center"/>
              <w:rPr>
                <w:b/>
                <w:bCs/>
                <w:color w:val="000000"/>
                <w:kern w:val="0"/>
              </w:rPr>
            </w:pPr>
            <w:r>
              <w:rPr>
                <w:b/>
                <w:bCs/>
                <w:color w:val="000000"/>
                <w:kern w:val="0"/>
              </w:rPr>
              <w:t>2季度</w:t>
            </w:r>
          </w:p>
        </w:tc>
        <w:tc>
          <w:tcPr>
            <w:tcW w:w="1236" w:type="dxa"/>
            <w:shd w:val="clear" w:color="auto" w:fill="92CDDC" w:themeFill="accent5" w:themeFillTint="99"/>
            <w:noWrap w:val="0"/>
            <w:vAlign w:val="center"/>
          </w:tcPr>
          <w:p>
            <w:pPr>
              <w:widowControl/>
              <w:jc w:val="center"/>
              <w:rPr>
                <w:b/>
                <w:bCs/>
                <w:color w:val="000000"/>
                <w:kern w:val="0"/>
              </w:rPr>
            </w:pPr>
            <w:r>
              <w:rPr>
                <w:b/>
                <w:bCs/>
                <w:color w:val="000000"/>
                <w:kern w:val="0"/>
              </w:rPr>
              <w:t>3季度</w:t>
            </w:r>
          </w:p>
        </w:tc>
        <w:tc>
          <w:tcPr>
            <w:tcW w:w="1236" w:type="dxa"/>
            <w:shd w:val="clear" w:color="auto" w:fill="92CDDC" w:themeFill="accent5" w:themeFillTint="99"/>
            <w:noWrap w:val="0"/>
            <w:vAlign w:val="center"/>
          </w:tcPr>
          <w:p>
            <w:pPr>
              <w:widowControl/>
              <w:jc w:val="center"/>
              <w:rPr>
                <w:b/>
                <w:bCs/>
                <w:color w:val="000000"/>
                <w:kern w:val="0"/>
              </w:rPr>
            </w:pPr>
            <w:r>
              <w:rPr>
                <w:b/>
                <w:bCs/>
                <w:color w:val="000000"/>
                <w:kern w:val="0"/>
              </w:rPr>
              <w:t>4季度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3562" w:type="dxa"/>
            <w:gridSpan w:val="2"/>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好转</w:t>
            </w:r>
          </w:p>
        </w:tc>
        <w:tc>
          <w:tcPr>
            <w:tcW w:w="141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14.3 </w:t>
            </w:r>
          </w:p>
        </w:tc>
        <w:tc>
          <w:tcPr>
            <w:tcW w:w="1307"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23.6 </w:t>
            </w:r>
          </w:p>
        </w:tc>
        <w:tc>
          <w:tcPr>
            <w:tcW w:w="123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13.6 </w:t>
            </w:r>
          </w:p>
        </w:tc>
        <w:tc>
          <w:tcPr>
            <w:tcW w:w="123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14.3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3562" w:type="dxa"/>
            <w:gridSpan w:val="2"/>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持平</w:t>
            </w:r>
          </w:p>
        </w:tc>
        <w:tc>
          <w:tcPr>
            <w:tcW w:w="141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57.1 </w:t>
            </w:r>
          </w:p>
        </w:tc>
        <w:tc>
          <w:tcPr>
            <w:tcW w:w="1307"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57.8 </w:t>
            </w:r>
          </w:p>
        </w:tc>
        <w:tc>
          <w:tcPr>
            <w:tcW w:w="123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73.5 </w:t>
            </w:r>
          </w:p>
        </w:tc>
        <w:tc>
          <w:tcPr>
            <w:tcW w:w="123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71.4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3562" w:type="dxa"/>
            <w:gridSpan w:val="2"/>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困难</w:t>
            </w:r>
          </w:p>
        </w:tc>
        <w:tc>
          <w:tcPr>
            <w:tcW w:w="141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28.6 </w:t>
            </w:r>
          </w:p>
        </w:tc>
        <w:tc>
          <w:tcPr>
            <w:tcW w:w="1307"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18.6 </w:t>
            </w:r>
          </w:p>
        </w:tc>
        <w:tc>
          <w:tcPr>
            <w:tcW w:w="123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12.9 </w:t>
            </w:r>
          </w:p>
        </w:tc>
        <w:tc>
          <w:tcPr>
            <w:tcW w:w="123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14.3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1781" w:type="dxa"/>
            <w:vMerge w:val="restart"/>
            <w:noWrap w:val="0"/>
            <w:vAlign w:val="center"/>
          </w:tcPr>
          <w:p>
            <w:pPr>
              <w:widowControl/>
              <w:jc w:val="center"/>
              <w:textAlignment w:val="center"/>
              <w:rPr>
                <w:b/>
                <w:bCs/>
                <w:color w:val="000000"/>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1781" w:type="dxa"/>
            <w:noWrap w:val="0"/>
            <w:vAlign w:val="center"/>
          </w:tcPr>
          <w:p>
            <w:pPr>
              <w:widowControl/>
              <w:jc w:val="center"/>
              <w:textAlignment w:val="center"/>
              <w:rPr>
                <w:b/>
                <w:bCs/>
                <w:color w:val="000000"/>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百分比</w:t>
            </w:r>
          </w:p>
        </w:tc>
        <w:tc>
          <w:tcPr>
            <w:tcW w:w="1411"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307"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236"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236"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1781" w:type="dxa"/>
            <w:vMerge w:val="continue"/>
            <w:noWrap w:val="0"/>
            <w:vAlign w:val="center"/>
          </w:tcPr>
          <w:p>
            <w:pPr>
              <w:widowControl/>
              <w:jc w:val="center"/>
              <w:rPr>
                <w:b/>
                <w:bCs/>
                <w:color w:val="000000"/>
                <w:kern w:val="0"/>
                <w:szCs w:val="21"/>
              </w:rPr>
            </w:pPr>
          </w:p>
        </w:tc>
        <w:tc>
          <w:tcPr>
            <w:tcW w:w="1781" w:type="dxa"/>
            <w:noWrap w:val="0"/>
            <w:vAlign w:val="center"/>
          </w:tcPr>
          <w:p>
            <w:pPr>
              <w:widowControl/>
              <w:jc w:val="center"/>
              <w:textAlignment w:val="center"/>
              <w:rPr>
                <w:b/>
                <w:bCs/>
                <w:color w:val="000000"/>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企业个数（个）</w:t>
            </w:r>
          </w:p>
        </w:tc>
        <w:tc>
          <w:tcPr>
            <w:tcW w:w="1411"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140</w:t>
            </w:r>
          </w:p>
        </w:tc>
        <w:tc>
          <w:tcPr>
            <w:tcW w:w="1307"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140</w:t>
            </w:r>
          </w:p>
        </w:tc>
        <w:tc>
          <w:tcPr>
            <w:tcW w:w="1236"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140</w:t>
            </w:r>
          </w:p>
        </w:tc>
        <w:tc>
          <w:tcPr>
            <w:tcW w:w="1236"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140</w:t>
            </w:r>
          </w:p>
        </w:tc>
      </w:tr>
    </w:tbl>
    <w:p>
      <w:pPr>
        <w:numPr>
          <w:ilvl w:val="0"/>
          <w:numId w:val="0"/>
        </w:numPr>
        <w:spacing w:before="156"/>
        <w:ind w:firstLine="420" w:firstLineChars="200"/>
        <w:rPr>
          <w:rFonts w:hint="eastAsia"/>
        </w:rPr>
      </w:pPr>
    </w:p>
    <w:p>
      <w:pPr>
        <w:pStyle w:val="37"/>
        <w:numPr>
          <w:ilvl w:val="0"/>
          <w:numId w:val="0"/>
        </w:numPr>
        <w:spacing w:before="0" w:beforeLines="0"/>
        <w:ind w:firstLine="640" w:firstLineChars="200"/>
        <w:rPr>
          <w:rFonts w:hint="eastAsia" w:ascii="楷体_GB2312" w:hAnsi="楷体_GB2312" w:eastAsia="楷体_GB2312" w:cs="楷体_GB2312"/>
          <w:b w:val="0"/>
          <w:bCs w:val="0"/>
        </w:rPr>
      </w:pPr>
      <w:bookmarkStart w:id="21" w:name="_Toc17413"/>
      <w:r>
        <w:rPr>
          <w:rFonts w:hint="eastAsia" w:ascii="楷体_GB2312" w:hAnsi="楷体_GB2312" w:eastAsia="楷体_GB2312" w:cs="楷体_GB2312"/>
          <w:b w:val="0"/>
          <w:bCs w:val="0"/>
        </w:rPr>
        <w:t>（三）预计下季度生产经营情况</w:t>
      </w:r>
      <w:bookmarkEnd w:id="21"/>
    </w:p>
    <w:p>
      <w:pPr>
        <w:ind w:firstLine="643" w:firstLineChars="200"/>
        <w:rPr>
          <w:rFonts w:eastAsia="仿宋"/>
          <w:b/>
          <w:sz w:val="32"/>
          <w:szCs w:val="32"/>
        </w:rPr>
      </w:pPr>
      <w:r>
        <w:rPr>
          <w:rFonts w:eastAsia="仿宋"/>
          <w:b/>
          <w:sz w:val="32"/>
          <w:szCs w:val="32"/>
        </w:rPr>
        <w:t>1.企业</w:t>
      </w:r>
      <w:r>
        <w:rPr>
          <w:rFonts w:hint="eastAsia" w:eastAsia="仿宋"/>
          <w:b/>
          <w:sz w:val="32"/>
          <w:szCs w:val="32"/>
          <w:lang w:val="en-US" w:eastAsia="zh-CN"/>
        </w:rPr>
        <w:t>对2024年一</w:t>
      </w:r>
      <w:r>
        <w:rPr>
          <w:rFonts w:eastAsia="仿宋"/>
          <w:b/>
          <w:sz w:val="32"/>
          <w:szCs w:val="32"/>
        </w:rPr>
        <w:t>季度生产经营情况</w:t>
      </w:r>
      <w:r>
        <w:rPr>
          <w:rFonts w:hint="eastAsia" w:eastAsia="仿宋"/>
          <w:b/>
          <w:sz w:val="32"/>
          <w:szCs w:val="32"/>
          <w:lang w:val="en-US" w:eastAsia="zh-CN"/>
        </w:rPr>
        <w:t>持审慎态度</w:t>
      </w:r>
    </w:p>
    <w:p>
      <w:pPr>
        <w:ind w:firstLine="640" w:firstLineChars="200"/>
        <w:rPr>
          <w:rFonts w:eastAsia="仿宋_GB2312"/>
          <w:color w:val="000000"/>
          <w:sz w:val="32"/>
          <w:szCs w:val="32"/>
        </w:rPr>
      </w:pPr>
      <w:r>
        <w:rPr>
          <w:rFonts w:hint="default" w:eastAsia="仿宋_GB2312"/>
          <w:bCs w:val="0"/>
          <w:color w:val="000000"/>
          <w:sz w:val="32"/>
          <w:szCs w:val="32"/>
          <w:lang w:eastAsia="zh-CN"/>
        </w:rPr>
        <w:t>2023年</w:t>
      </w:r>
      <w:r>
        <w:rPr>
          <w:rFonts w:hint="eastAsia" w:eastAsia="仿宋_GB2312"/>
          <w:bCs w:val="0"/>
          <w:color w:val="000000"/>
          <w:sz w:val="32"/>
          <w:szCs w:val="32"/>
          <w:lang w:val="en-US" w:eastAsia="zh-CN"/>
        </w:rPr>
        <w:t>4季度</w:t>
      </w:r>
      <w:r>
        <w:rPr>
          <w:rFonts w:hint="default" w:eastAsia="仿宋_GB2312"/>
          <w:bCs w:val="0"/>
          <w:color w:val="000000"/>
          <w:sz w:val="32"/>
          <w:szCs w:val="32"/>
        </w:rPr>
        <w:t>，</w:t>
      </w:r>
      <w:r>
        <w:rPr>
          <w:rFonts w:eastAsia="仿宋_GB2312"/>
          <w:color w:val="000000"/>
          <w:sz w:val="32"/>
          <w:szCs w:val="32"/>
        </w:rPr>
        <w:t>预计下季度</w:t>
      </w:r>
      <w:r>
        <w:rPr>
          <w:rFonts w:eastAsia="仿宋_GB2312"/>
          <w:bCs w:val="0"/>
          <w:color w:val="000000"/>
          <w:sz w:val="32"/>
          <w:szCs w:val="32"/>
        </w:rPr>
        <w:t>生产经营状况</w:t>
      </w:r>
      <w:r>
        <w:rPr>
          <w:rFonts w:hint="default" w:eastAsia="仿宋_GB2312"/>
          <w:bCs w:val="0"/>
          <w:color w:val="000000"/>
          <w:sz w:val="32"/>
          <w:szCs w:val="32"/>
        </w:rPr>
        <w:t>仍然</w:t>
      </w:r>
      <w:r>
        <w:rPr>
          <w:rFonts w:eastAsia="仿宋_GB2312"/>
          <w:bCs w:val="0"/>
          <w:color w:val="000000"/>
          <w:sz w:val="32"/>
          <w:szCs w:val="32"/>
        </w:rPr>
        <w:t>“困难”的</w:t>
      </w:r>
      <w:r>
        <w:rPr>
          <w:rFonts w:eastAsia="仿宋_GB2312"/>
          <w:color w:val="000000"/>
          <w:sz w:val="32"/>
          <w:szCs w:val="32"/>
        </w:rPr>
        <w:t>样本企业</w:t>
      </w:r>
      <w:r>
        <w:rPr>
          <w:rFonts w:eastAsia="仿宋_GB2312"/>
          <w:bCs w:val="0"/>
          <w:color w:val="000000"/>
          <w:sz w:val="32"/>
          <w:szCs w:val="32"/>
        </w:rPr>
        <w:t>占比</w:t>
      </w:r>
      <w:r>
        <w:rPr>
          <w:rFonts w:hint="eastAsia" w:eastAsia="仿宋_GB2312"/>
          <w:bCs w:val="0"/>
          <w:color w:val="000000"/>
          <w:sz w:val="32"/>
          <w:szCs w:val="32"/>
          <w:lang w:val="en-US" w:eastAsia="zh-CN"/>
        </w:rPr>
        <w:t>为23.6</w:t>
      </w:r>
      <w:r>
        <w:rPr>
          <w:rFonts w:eastAsia="仿宋_GB2312"/>
          <w:bCs w:val="0"/>
          <w:color w:val="000000"/>
          <w:sz w:val="32"/>
          <w:szCs w:val="32"/>
        </w:rPr>
        <w:t>%</w:t>
      </w:r>
      <w:r>
        <w:rPr>
          <w:rFonts w:hint="default" w:eastAsia="仿宋_GB2312"/>
          <w:bCs w:val="0"/>
          <w:color w:val="000000"/>
          <w:sz w:val="32"/>
          <w:szCs w:val="32"/>
        </w:rPr>
        <w:t>，</w:t>
      </w:r>
      <w:r>
        <w:rPr>
          <w:rFonts w:eastAsia="仿宋_GB2312"/>
          <w:color w:val="000000"/>
          <w:sz w:val="32"/>
          <w:szCs w:val="32"/>
        </w:rPr>
        <w:t>预计下季度</w:t>
      </w:r>
      <w:r>
        <w:rPr>
          <w:rFonts w:eastAsia="仿宋_GB2312"/>
          <w:bCs w:val="0"/>
          <w:color w:val="000000"/>
          <w:sz w:val="32"/>
          <w:szCs w:val="32"/>
        </w:rPr>
        <w:t>生产经营状况与上季度“持平”的</w:t>
      </w:r>
      <w:r>
        <w:rPr>
          <w:rFonts w:hint="default" w:eastAsia="仿宋_GB2312"/>
          <w:bCs w:val="0"/>
          <w:color w:val="000000"/>
          <w:sz w:val="32"/>
          <w:szCs w:val="32"/>
        </w:rPr>
        <w:t>样本企业占比</w:t>
      </w:r>
      <w:r>
        <w:rPr>
          <w:rFonts w:hint="eastAsia" w:eastAsia="仿宋_GB2312"/>
          <w:bCs w:val="0"/>
          <w:color w:val="000000"/>
          <w:sz w:val="32"/>
          <w:szCs w:val="32"/>
          <w:lang w:val="en-US" w:eastAsia="zh-CN"/>
        </w:rPr>
        <w:t>为66.4%</w:t>
      </w:r>
      <w:r>
        <w:rPr>
          <w:rFonts w:eastAsia="仿宋_GB2312"/>
          <w:bCs w:val="0"/>
          <w:color w:val="000000"/>
          <w:sz w:val="32"/>
          <w:szCs w:val="32"/>
        </w:rPr>
        <w:t>，</w:t>
      </w:r>
      <w:r>
        <w:rPr>
          <w:rFonts w:hint="default" w:eastAsia="仿宋_GB2312"/>
          <w:bCs w:val="0"/>
          <w:color w:val="000000"/>
          <w:sz w:val="32"/>
          <w:szCs w:val="32"/>
        </w:rPr>
        <w:t>仅有</w:t>
      </w:r>
      <w:r>
        <w:rPr>
          <w:rFonts w:hint="default" w:eastAsia="仿宋_GB2312"/>
          <w:bCs w:val="0"/>
          <w:color w:val="000000"/>
          <w:sz w:val="32"/>
          <w:szCs w:val="32"/>
          <w:lang w:val="en-US" w:eastAsia="zh-CN"/>
        </w:rPr>
        <w:t>1</w:t>
      </w:r>
      <w:r>
        <w:rPr>
          <w:rFonts w:hint="eastAsia" w:eastAsia="仿宋_GB2312"/>
          <w:bCs w:val="0"/>
          <w:color w:val="000000"/>
          <w:sz w:val="32"/>
          <w:szCs w:val="32"/>
          <w:lang w:val="en-US" w:eastAsia="zh-CN"/>
        </w:rPr>
        <w:t>0</w:t>
      </w:r>
      <w:r>
        <w:rPr>
          <w:rFonts w:eastAsia="仿宋_GB2312"/>
          <w:bCs w:val="0"/>
          <w:color w:val="000000"/>
          <w:sz w:val="32"/>
          <w:szCs w:val="32"/>
        </w:rPr>
        <w:t>%的</w:t>
      </w:r>
      <w:r>
        <w:rPr>
          <w:rFonts w:hint="default" w:eastAsia="仿宋_GB2312"/>
          <w:bCs w:val="0"/>
          <w:color w:val="000000"/>
          <w:sz w:val="32"/>
          <w:szCs w:val="32"/>
        </w:rPr>
        <w:t>样本企业预计下季度</w:t>
      </w:r>
      <w:r>
        <w:rPr>
          <w:rFonts w:eastAsia="仿宋_GB2312"/>
          <w:bCs w:val="0"/>
          <w:color w:val="000000"/>
          <w:sz w:val="32"/>
          <w:szCs w:val="32"/>
        </w:rPr>
        <w:t>生产经营状况“好转”</w:t>
      </w:r>
      <w:r>
        <w:rPr>
          <w:rFonts w:eastAsia="仿宋_GB2312"/>
          <w:color w:val="000000"/>
          <w:sz w:val="32"/>
          <w:szCs w:val="32"/>
        </w:rPr>
        <w:t>（见表</w:t>
      </w:r>
      <w:r>
        <w:rPr>
          <w:rFonts w:hint="eastAsia" w:eastAsia="仿宋_GB2312"/>
          <w:color w:val="000000"/>
          <w:sz w:val="32"/>
          <w:szCs w:val="32"/>
          <w:lang w:eastAsia="zh-CN"/>
        </w:rPr>
        <w:t>2</w:t>
      </w:r>
      <w:r>
        <w:rPr>
          <w:rFonts w:hint="eastAsia" w:eastAsia="仿宋_GB2312"/>
          <w:color w:val="000000"/>
          <w:sz w:val="32"/>
          <w:szCs w:val="32"/>
          <w:lang w:val="en-US" w:eastAsia="zh-CN"/>
        </w:rPr>
        <w:t>4</w:t>
      </w:r>
      <w:r>
        <w:rPr>
          <w:rFonts w:eastAsia="仿宋_GB2312"/>
          <w:color w:val="000000"/>
          <w:sz w:val="32"/>
          <w:szCs w:val="32"/>
        </w:rPr>
        <w:t>）。</w:t>
      </w:r>
    </w:p>
    <w:p>
      <w:pPr>
        <w:pStyle w:val="39"/>
        <w:numPr>
          <w:ilvl w:val="0"/>
          <w:numId w:val="0"/>
        </w:numPr>
        <w:rPr>
          <w:rFonts w:eastAsia="宋体"/>
        </w:rPr>
      </w:pPr>
      <w:r>
        <w:rPr>
          <w:rFonts w:hint="eastAsia" w:eastAsia="宋体"/>
        </w:rPr>
        <w:t>表</w:t>
      </w:r>
      <w:r>
        <w:rPr>
          <w:rFonts w:hint="eastAsia" w:eastAsia="宋体"/>
          <w:lang w:val="en-US" w:eastAsia="zh-CN"/>
        </w:rPr>
        <w:t>24</w:t>
      </w:r>
      <w:r>
        <w:rPr>
          <w:rFonts w:hint="eastAsia" w:eastAsia="宋体"/>
        </w:rPr>
        <w:t>：</w:t>
      </w:r>
      <w:r>
        <w:rPr>
          <w:rFonts w:hint="eastAsia" w:eastAsia="宋体"/>
          <w:lang w:eastAsia="zh-CN"/>
        </w:rPr>
        <w:t>2023年</w:t>
      </w:r>
      <w:r>
        <w:rPr>
          <w:rFonts w:eastAsia="宋体"/>
        </w:rPr>
        <w:t>样本企业预计下季度生产经营情况</w:t>
      </w:r>
    </w:p>
    <w:p>
      <w:pPr>
        <w:jc w:val="right"/>
        <w:rPr>
          <w:b/>
          <w:sz w:val="24"/>
        </w:rPr>
      </w:pPr>
      <w:r>
        <w:rPr>
          <w:b/>
          <w:sz w:val="24"/>
        </w:rPr>
        <w:t>单位：%</w:t>
      </w:r>
    </w:p>
    <w:tbl>
      <w:tblPr>
        <w:tblStyle w:val="13"/>
        <w:tblW w:w="9036"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949"/>
        <w:gridCol w:w="1950"/>
        <w:gridCol w:w="1316"/>
        <w:gridCol w:w="1317"/>
        <w:gridCol w:w="1252"/>
        <w:gridCol w:w="1252"/>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3899" w:type="dxa"/>
            <w:gridSpan w:val="2"/>
            <w:shd w:val="clear" w:color="auto" w:fill="92CDDC" w:themeFill="accent5" w:themeFillTint="99"/>
            <w:noWrap w:val="0"/>
            <w:vAlign w:val="center"/>
          </w:tcPr>
          <w:p>
            <w:pPr>
              <w:widowControl/>
              <w:jc w:val="center"/>
              <w:rPr>
                <w:b/>
                <w:bCs/>
                <w:color w:val="000000"/>
                <w:kern w:val="0"/>
              </w:rPr>
            </w:pPr>
            <w:r>
              <w:rPr>
                <w:b/>
                <w:bCs/>
                <w:color w:val="000000"/>
                <w:kern w:val="0"/>
              </w:rPr>
              <w:t>生产经营状况</w:t>
            </w:r>
          </w:p>
        </w:tc>
        <w:tc>
          <w:tcPr>
            <w:tcW w:w="1316" w:type="dxa"/>
            <w:shd w:val="clear" w:color="auto" w:fill="92CDDC" w:themeFill="accent5" w:themeFillTint="99"/>
            <w:noWrap w:val="0"/>
            <w:vAlign w:val="center"/>
          </w:tcPr>
          <w:p>
            <w:pPr>
              <w:widowControl/>
              <w:jc w:val="center"/>
              <w:rPr>
                <w:b/>
                <w:bCs/>
                <w:color w:val="000000"/>
                <w:kern w:val="0"/>
              </w:rPr>
            </w:pPr>
            <w:r>
              <w:rPr>
                <w:b/>
                <w:bCs/>
                <w:color w:val="000000"/>
                <w:kern w:val="0"/>
              </w:rPr>
              <w:t>1季度</w:t>
            </w:r>
          </w:p>
        </w:tc>
        <w:tc>
          <w:tcPr>
            <w:tcW w:w="1317" w:type="dxa"/>
            <w:shd w:val="clear" w:color="auto" w:fill="92CDDC" w:themeFill="accent5" w:themeFillTint="99"/>
            <w:noWrap w:val="0"/>
            <w:vAlign w:val="center"/>
          </w:tcPr>
          <w:p>
            <w:pPr>
              <w:widowControl/>
              <w:jc w:val="center"/>
              <w:rPr>
                <w:b/>
                <w:bCs/>
                <w:color w:val="000000"/>
                <w:kern w:val="0"/>
              </w:rPr>
            </w:pPr>
            <w:r>
              <w:rPr>
                <w:b/>
                <w:bCs/>
                <w:color w:val="000000"/>
                <w:kern w:val="0"/>
              </w:rPr>
              <w:t>2季度</w:t>
            </w:r>
          </w:p>
        </w:tc>
        <w:tc>
          <w:tcPr>
            <w:tcW w:w="1252" w:type="dxa"/>
            <w:shd w:val="clear" w:color="auto" w:fill="92CDDC" w:themeFill="accent5" w:themeFillTint="99"/>
            <w:noWrap w:val="0"/>
            <w:vAlign w:val="center"/>
          </w:tcPr>
          <w:p>
            <w:pPr>
              <w:widowControl/>
              <w:jc w:val="center"/>
              <w:rPr>
                <w:b/>
                <w:bCs/>
                <w:color w:val="000000"/>
                <w:kern w:val="0"/>
              </w:rPr>
            </w:pPr>
            <w:r>
              <w:rPr>
                <w:b/>
                <w:bCs/>
                <w:color w:val="000000"/>
                <w:kern w:val="0"/>
              </w:rPr>
              <w:t>3季度</w:t>
            </w:r>
          </w:p>
        </w:tc>
        <w:tc>
          <w:tcPr>
            <w:tcW w:w="1252" w:type="dxa"/>
            <w:shd w:val="clear" w:color="auto" w:fill="92CDDC" w:themeFill="accent5" w:themeFillTint="99"/>
            <w:noWrap w:val="0"/>
            <w:vAlign w:val="center"/>
          </w:tcPr>
          <w:p>
            <w:pPr>
              <w:widowControl/>
              <w:jc w:val="center"/>
              <w:rPr>
                <w:b/>
                <w:bCs/>
                <w:color w:val="000000"/>
                <w:kern w:val="0"/>
              </w:rPr>
            </w:pPr>
            <w:r>
              <w:rPr>
                <w:b/>
                <w:bCs/>
                <w:color w:val="000000"/>
                <w:kern w:val="0"/>
              </w:rPr>
              <w:t>4季度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9" w:type="dxa"/>
            <w:gridSpan w:val="2"/>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好转</w:t>
            </w:r>
          </w:p>
        </w:tc>
        <w:tc>
          <w:tcPr>
            <w:tcW w:w="131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22.9 </w:t>
            </w:r>
          </w:p>
        </w:tc>
        <w:tc>
          <w:tcPr>
            <w:tcW w:w="1317"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15.7 </w:t>
            </w:r>
          </w:p>
        </w:tc>
        <w:tc>
          <w:tcPr>
            <w:tcW w:w="125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9.3 </w:t>
            </w:r>
          </w:p>
        </w:tc>
        <w:tc>
          <w:tcPr>
            <w:tcW w:w="125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9" w:type="dxa"/>
            <w:gridSpan w:val="2"/>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持平</w:t>
            </w:r>
          </w:p>
        </w:tc>
        <w:tc>
          <w:tcPr>
            <w:tcW w:w="131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61.4 </w:t>
            </w:r>
          </w:p>
        </w:tc>
        <w:tc>
          <w:tcPr>
            <w:tcW w:w="1317"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65.7 </w:t>
            </w:r>
          </w:p>
        </w:tc>
        <w:tc>
          <w:tcPr>
            <w:tcW w:w="125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71.4 </w:t>
            </w:r>
          </w:p>
        </w:tc>
        <w:tc>
          <w:tcPr>
            <w:tcW w:w="125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66.4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9" w:type="dxa"/>
            <w:gridSpan w:val="2"/>
            <w:noWrap w:val="0"/>
            <w:vAlign w:val="center"/>
          </w:tcPr>
          <w:p>
            <w:pPr>
              <w:widowControl/>
              <w:jc w:val="center"/>
              <w:textAlignment w:val="center"/>
              <w:rPr>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困难</w:t>
            </w:r>
          </w:p>
        </w:tc>
        <w:tc>
          <w:tcPr>
            <w:tcW w:w="1316"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15.7 </w:t>
            </w:r>
          </w:p>
        </w:tc>
        <w:tc>
          <w:tcPr>
            <w:tcW w:w="1317"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18.6 </w:t>
            </w:r>
          </w:p>
        </w:tc>
        <w:tc>
          <w:tcPr>
            <w:tcW w:w="125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19.3 </w:t>
            </w:r>
          </w:p>
        </w:tc>
        <w:tc>
          <w:tcPr>
            <w:tcW w:w="125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23.6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949" w:type="dxa"/>
            <w:vMerge w:val="restart"/>
            <w:noWrap w:val="0"/>
            <w:vAlign w:val="center"/>
          </w:tcPr>
          <w:p>
            <w:pPr>
              <w:widowControl/>
              <w:jc w:val="center"/>
              <w:textAlignment w:val="center"/>
              <w:rPr>
                <w:b/>
                <w:bCs/>
                <w:color w:val="000000"/>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1950" w:type="dxa"/>
            <w:noWrap w:val="0"/>
            <w:vAlign w:val="center"/>
          </w:tcPr>
          <w:p>
            <w:pPr>
              <w:widowControl/>
              <w:jc w:val="center"/>
              <w:textAlignment w:val="center"/>
              <w:rPr>
                <w:b/>
                <w:bCs/>
                <w:color w:val="000000"/>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百分比</w:t>
            </w:r>
          </w:p>
        </w:tc>
        <w:tc>
          <w:tcPr>
            <w:tcW w:w="1316"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317"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252"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c>
          <w:tcPr>
            <w:tcW w:w="1252"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 xml:space="preserve">100.0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949" w:type="dxa"/>
            <w:vMerge w:val="continue"/>
            <w:noWrap w:val="0"/>
            <w:vAlign w:val="center"/>
          </w:tcPr>
          <w:p>
            <w:pPr>
              <w:widowControl/>
              <w:jc w:val="center"/>
              <w:rPr>
                <w:b/>
                <w:bCs/>
                <w:color w:val="000000"/>
                <w:kern w:val="0"/>
                <w:szCs w:val="21"/>
              </w:rPr>
            </w:pPr>
          </w:p>
        </w:tc>
        <w:tc>
          <w:tcPr>
            <w:tcW w:w="1950" w:type="dxa"/>
            <w:noWrap w:val="0"/>
            <w:vAlign w:val="center"/>
          </w:tcPr>
          <w:p>
            <w:pPr>
              <w:widowControl/>
              <w:jc w:val="center"/>
              <w:textAlignment w:val="center"/>
              <w:rPr>
                <w:b/>
                <w:bCs/>
                <w:color w:val="000000"/>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企业个数（个）</w:t>
            </w:r>
          </w:p>
        </w:tc>
        <w:tc>
          <w:tcPr>
            <w:tcW w:w="1316"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140</w:t>
            </w:r>
          </w:p>
        </w:tc>
        <w:tc>
          <w:tcPr>
            <w:tcW w:w="1317"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140</w:t>
            </w:r>
          </w:p>
        </w:tc>
        <w:tc>
          <w:tcPr>
            <w:tcW w:w="1252"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140</w:t>
            </w:r>
          </w:p>
        </w:tc>
        <w:tc>
          <w:tcPr>
            <w:tcW w:w="1252" w:type="dxa"/>
            <w:noWrap w:val="0"/>
            <w:vAlign w:val="center"/>
          </w:tcPr>
          <w:p>
            <w:pPr>
              <w:widowControl/>
              <w:jc w:val="center"/>
              <w:textAlignment w:val="center"/>
              <w:rPr>
                <w:b/>
                <w:bCs/>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140</w:t>
            </w:r>
          </w:p>
        </w:tc>
      </w:tr>
    </w:tbl>
    <w:p>
      <w:pPr>
        <w:spacing w:beforeLines="0" w:line="360" w:lineRule="auto"/>
        <w:ind w:firstLine="420" w:firstLineChars="200"/>
        <w:rPr>
          <w:rFonts w:hint="default"/>
          <w:lang w:val="en-US"/>
        </w:rPr>
      </w:pPr>
    </w:p>
    <w:p>
      <w:pPr>
        <w:pStyle w:val="2"/>
        <w:spacing w:before="0" w:beforeLines="0"/>
        <w:ind w:firstLine="643" w:firstLineChars="200"/>
      </w:pPr>
      <w:bookmarkStart w:id="22" w:name="_Toc18803"/>
      <w:r>
        <w:rPr>
          <w:rFonts w:hint="eastAsia"/>
          <w:lang w:val="en-US" w:eastAsia="zh-CN"/>
        </w:rPr>
        <w:t>四</w:t>
      </w:r>
      <w:r>
        <w:rPr>
          <w:rFonts w:hint="eastAsia"/>
        </w:rPr>
        <w:t>、</w:t>
      </w:r>
      <w:r>
        <w:rPr>
          <w:rFonts w:hint="eastAsia"/>
          <w:lang w:val="en-US" w:eastAsia="zh-CN"/>
        </w:rPr>
        <w:t>调查数据</w:t>
      </w:r>
      <w:r>
        <w:rPr>
          <w:rFonts w:hint="eastAsia"/>
        </w:rPr>
        <w:t>综合性总结</w:t>
      </w:r>
      <w:bookmarkEnd w:id="22"/>
    </w:p>
    <w:p>
      <w:pPr>
        <w:spacing w:beforeLines="0"/>
        <w:ind w:firstLine="640" w:firstLineChars="200"/>
        <w:rPr>
          <w:rFonts w:hint="eastAsia" w:eastAsia="仿宋_GB2312"/>
          <w:color w:val="000000"/>
          <w:sz w:val="32"/>
          <w:szCs w:val="32"/>
        </w:rPr>
      </w:pPr>
      <w:r>
        <w:rPr>
          <w:rFonts w:hint="eastAsia" w:eastAsia="仿宋_GB2312"/>
          <w:color w:val="000000"/>
          <w:sz w:val="32"/>
          <w:szCs w:val="32"/>
        </w:rPr>
        <w:t>根据2023年从化区用工定点监测</w:t>
      </w:r>
      <w:r>
        <w:rPr>
          <w:rFonts w:hint="eastAsia" w:eastAsia="仿宋_GB2312"/>
          <w:color w:val="000000"/>
          <w:sz w:val="32"/>
          <w:szCs w:val="32"/>
          <w:lang w:val="en-US" w:eastAsia="zh-CN"/>
        </w:rPr>
        <w:t>调查</w:t>
      </w:r>
      <w:r>
        <w:rPr>
          <w:rFonts w:hint="eastAsia" w:eastAsia="仿宋_GB2312"/>
          <w:color w:val="000000"/>
          <w:sz w:val="32"/>
          <w:szCs w:val="32"/>
        </w:rPr>
        <w:t>数据结果，</w:t>
      </w:r>
      <w:r>
        <w:rPr>
          <w:rFonts w:hint="eastAsia" w:eastAsia="仿宋_GB2312"/>
          <w:color w:val="000000"/>
          <w:sz w:val="32"/>
          <w:szCs w:val="32"/>
          <w:lang w:val="en-US" w:eastAsia="zh-CN"/>
        </w:rPr>
        <w:t>从化</w:t>
      </w:r>
      <w:r>
        <w:rPr>
          <w:rFonts w:hint="eastAsia" w:eastAsia="仿宋_GB2312"/>
          <w:color w:val="000000"/>
          <w:sz w:val="32"/>
          <w:szCs w:val="32"/>
        </w:rPr>
        <w:t>区劳动力市场存在以下几个问题需引起重视：</w:t>
      </w:r>
    </w:p>
    <w:p>
      <w:pPr>
        <w:pStyle w:val="37"/>
        <w:numPr>
          <w:ilvl w:val="0"/>
          <w:numId w:val="0"/>
        </w:numPr>
        <w:spacing w:before="0" w:beforeLines="0"/>
        <w:ind w:firstLine="640" w:firstLineChars="200"/>
        <w:rPr>
          <w:rFonts w:hint="default" w:ascii="楷体_GB2312" w:hAnsi="楷体_GB2312" w:eastAsia="楷体_GB2312" w:cs="楷体_GB2312"/>
          <w:b w:val="0"/>
          <w:bCs w:val="0"/>
        </w:rPr>
      </w:pPr>
      <w:bookmarkStart w:id="23" w:name="_Toc4492"/>
      <w:r>
        <w:rPr>
          <w:rFonts w:hint="default" w:ascii="楷体_GB2312" w:hAnsi="楷体_GB2312" w:eastAsia="楷体_GB2312" w:cs="楷体_GB2312"/>
          <w:b w:val="0"/>
          <w:bCs w:val="0"/>
        </w:rPr>
        <w:t>（</w:t>
      </w:r>
      <w:r>
        <w:rPr>
          <w:rFonts w:hint="default" w:ascii="楷体_GB2312" w:hAnsi="楷体_GB2312" w:eastAsia="楷体_GB2312" w:cs="楷体_GB2312"/>
          <w:b w:val="0"/>
          <w:bCs w:val="0"/>
          <w:lang w:val="en-US" w:eastAsia="zh-CN"/>
        </w:rPr>
        <w:t>一</w:t>
      </w:r>
      <w:r>
        <w:rPr>
          <w:rFonts w:hint="default" w:ascii="楷体_GB2312" w:hAnsi="楷体_GB2312" w:eastAsia="楷体_GB2312" w:cs="楷体_GB2312"/>
          <w:b w:val="0"/>
          <w:bCs w:val="0"/>
        </w:rPr>
        <w:t>）服务业</w:t>
      </w:r>
      <w:r>
        <w:rPr>
          <w:rFonts w:hint="eastAsia" w:ascii="楷体_GB2312" w:hAnsi="楷体_GB2312" w:eastAsia="楷体_GB2312" w:cs="楷体_GB2312"/>
          <w:b w:val="0"/>
          <w:bCs w:val="0"/>
          <w:lang w:val="en-US" w:eastAsia="zh-CN"/>
        </w:rPr>
        <w:t>人员</w:t>
      </w:r>
      <w:r>
        <w:rPr>
          <w:rFonts w:hint="default" w:ascii="楷体_GB2312" w:hAnsi="楷体_GB2312" w:eastAsia="楷体_GB2312" w:cs="楷体_GB2312"/>
          <w:b w:val="0"/>
          <w:bCs w:val="0"/>
        </w:rPr>
        <w:t>流失</w:t>
      </w:r>
      <w:r>
        <w:rPr>
          <w:rFonts w:hint="eastAsia" w:ascii="楷体_GB2312" w:hAnsi="楷体_GB2312" w:eastAsia="楷体_GB2312" w:cs="楷体_GB2312"/>
          <w:b w:val="0"/>
          <w:bCs w:val="0"/>
          <w:lang w:val="en-US" w:eastAsia="zh-CN"/>
        </w:rPr>
        <w:t>率高，还需实施更加积极的就业政策</w:t>
      </w:r>
      <w:bookmarkEnd w:id="23"/>
    </w:p>
    <w:p>
      <w:pPr>
        <w:ind w:firstLine="640" w:firstLineChars="200"/>
        <w:rPr>
          <w:rFonts w:hint="eastAsia" w:eastAsia="仿宋_GB2312"/>
          <w:color w:val="000000"/>
          <w:sz w:val="32"/>
          <w:szCs w:val="32"/>
        </w:rPr>
      </w:pPr>
      <w:r>
        <w:rPr>
          <w:rFonts w:hint="eastAsia" w:eastAsia="仿宋_GB2312"/>
          <w:color w:val="000000"/>
          <w:sz w:val="32"/>
          <w:szCs w:val="32"/>
        </w:rPr>
        <w:t>监测调查数据显示，2023年样本企业人员流失率</w:t>
      </w:r>
      <w:r>
        <w:rPr>
          <w:rFonts w:hint="eastAsia" w:eastAsia="仿宋_GB2312"/>
          <w:color w:val="000000"/>
          <w:sz w:val="32"/>
          <w:szCs w:val="32"/>
          <w:lang w:val="en-US" w:eastAsia="zh-CN"/>
        </w:rPr>
        <w:t>全年平均</w:t>
      </w:r>
      <w:r>
        <w:rPr>
          <w:rFonts w:hint="eastAsia" w:eastAsia="仿宋_GB2312"/>
          <w:color w:val="000000"/>
          <w:sz w:val="32"/>
          <w:szCs w:val="32"/>
        </w:rPr>
        <w:t>为</w:t>
      </w:r>
      <w:r>
        <w:rPr>
          <w:rFonts w:hint="eastAsia" w:eastAsia="仿宋_GB2312"/>
          <w:color w:val="000000"/>
          <w:sz w:val="32"/>
          <w:szCs w:val="32"/>
          <w:lang w:eastAsia="zh-CN"/>
        </w:rPr>
        <w:t>7</w:t>
      </w:r>
      <w:r>
        <w:rPr>
          <w:rFonts w:hint="eastAsia" w:eastAsia="仿宋_GB2312"/>
          <w:color w:val="000000"/>
          <w:sz w:val="32"/>
          <w:szCs w:val="32"/>
          <w:lang w:val="en-US" w:eastAsia="zh-CN"/>
        </w:rPr>
        <w:t>.6</w:t>
      </w:r>
      <w:r>
        <w:rPr>
          <w:rFonts w:hint="eastAsia" w:eastAsia="仿宋_GB2312"/>
          <w:color w:val="000000"/>
          <w:sz w:val="32"/>
          <w:szCs w:val="32"/>
        </w:rPr>
        <w:t>%。按行业</w:t>
      </w:r>
      <w:r>
        <w:rPr>
          <w:rFonts w:hint="eastAsia" w:eastAsia="仿宋_GB2312"/>
          <w:color w:val="000000"/>
          <w:sz w:val="32"/>
          <w:szCs w:val="32"/>
          <w:lang w:val="en-US" w:eastAsia="zh-CN"/>
        </w:rPr>
        <w:t>来看</w:t>
      </w:r>
      <w:r>
        <w:rPr>
          <w:rFonts w:hint="eastAsia" w:eastAsia="仿宋_GB2312"/>
          <w:color w:val="000000"/>
          <w:sz w:val="32"/>
          <w:szCs w:val="32"/>
        </w:rPr>
        <w:t>，信息传输、软件和信息技术服务业，科学研究和技术服务业，批发和零售业</w:t>
      </w:r>
      <w:r>
        <w:rPr>
          <w:rFonts w:hint="eastAsia" w:eastAsia="仿宋_GB2312"/>
          <w:color w:val="000000"/>
          <w:sz w:val="32"/>
          <w:szCs w:val="32"/>
          <w:lang w:eastAsia="zh-CN"/>
        </w:rPr>
        <w:t>，</w:t>
      </w:r>
      <w:r>
        <w:rPr>
          <w:rFonts w:hint="eastAsia" w:eastAsia="仿宋_GB2312"/>
          <w:color w:val="000000"/>
          <w:sz w:val="32"/>
          <w:szCs w:val="32"/>
        </w:rPr>
        <w:t>交通运输、仓储和邮政业，文化、体育和娱乐业</w:t>
      </w:r>
      <w:r>
        <w:rPr>
          <w:rFonts w:hint="eastAsia" w:eastAsia="仿宋_GB2312"/>
          <w:color w:val="000000"/>
          <w:sz w:val="32"/>
          <w:szCs w:val="32"/>
          <w:lang w:eastAsia="zh-CN"/>
        </w:rPr>
        <w:t>，住宿和餐饮业</w:t>
      </w:r>
      <w:r>
        <w:rPr>
          <w:rFonts w:hint="eastAsia" w:eastAsia="仿宋_GB2312"/>
          <w:color w:val="000000"/>
          <w:sz w:val="32"/>
          <w:szCs w:val="32"/>
          <w:lang w:val="en-US" w:eastAsia="zh-CN"/>
        </w:rPr>
        <w:t>6</w:t>
      </w:r>
      <w:r>
        <w:rPr>
          <w:rFonts w:hint="eastAsia" w:eastAsia="仿宋_GB2312"/>
          <w:color w:val="000000"/>
          <w:sz w:val="32"/>
          <w:szCs w:val="32"/>
        </w:rPr>
        <w:t>个行业的人员流失率全年平均</w:t>
      </w:r>
      <w:r>
        <w:rPr>
          <w:rFonts w:hint="eastAsia" w:eastAsia="仿宋_GB2312"/>
          <w:color w:val="000000"/>
          <w:sz w:val="32"/>
          <w:szCs w:val="32"/>
          <w:lang w:val="en-US" w:eastAsia="zh-CN"/>
        </w:rPr>
        <w:t>数</w:t>
      </w:r>
      <w:r>
        <w:rPr>
          <w:rFonts w:hint="eastAsia" w:eastAsia="仿宋_GB2312"/>
          <w:color w:val="000000"/>
          <w:sz w:val="32"/>
          <w:szCs w:val="32"/>
        </w:rPr>
        <w:t>高于全区水平。</w:t>
      </w:r>
      <w:r>
        <w:rPr>
          <w:rFonts w:hint="eastAsia" w:eastAsia="仿宋_GB2312"/>
          <w:color w:val="000000"/>
          <w:sz w:val="32"/>
          <w:szCs w:val="32"/>
          <w:lang w:val="en-US" w:eastAsia="zh-CN"/>
        </w:rPr>
        <w:t>有关</w:t>
      </w:r>
      <w:r>
        <w:rPr>
          <w:rFonts w:hint="eastAsia" w:eastAsia="仿宋_GB2312"/>
          <w:color w:val="000000"/>
          <w:sz w:val="32"/>
          <w:szCs w:val="32"/>
        </w:rPr>
        <w:t>部门应重视</w:t>
      </w:r>
      <w:r>
        <w:rPr>
          <w:rFonts w:hint="eastAsia" w:eastAsia="仿宋_GB2312"/>
          <w:color w:val="000000"/>
          <w:sz w:val="32"/>
          <w:szCs w:val="32"/>
          <w:lang w:val="en-US" w:eastAsia="zh-CN"/>
        </w:rPr>
        <w:t>以上</w:t>
      </w:r>
      <w:r>
        <w:rPr>
          <w:rFonts w:hint="eastAsia" w:eastAsia="仿宋_GB2312"/>
          <w:color w:val="000000"/>
          <w:sz w:val="32"/>
          <w:szCs w:val="32"/>
        </w:rPr>
        <w:t>服务行业人</w:t>
      </w:r>
      <w:r>
        <w:rPr>
          <w:rFonts w:hint="eastAsia" w:eastAsia="仿宋_GB2312"/>
          <w:color w:val="000000"/>
          <w:sz w:val="32"/>
          <w:szCs w:val="32"/>
          <w:lang w:val="en-US" w:eastAsia="zh-CN"/>
        </w:rPr>
        <w:t>员</w:t>
      </w:r>
      <w:r>
        <w:rPr>
          <w:rFonts w:hint="eastAsia" w:eastAsia="仿宋_GB2312"/>
          <w:color w:val="000000"/>
          <w:sz w:val="32"/>
          <w:szCs w:val="32"/>
        </w:rPr>
        <w:t>流失</w:t>
      </w:r>
      <w:r>
        <w:rPr>
          <w:rFonts w:hint="eastAsia" w:eastAsia="仿宋_GB2312"/>
          <w:color w:val="000000"/>
          <w:sz w:val="32"/>
          <w:szCs w:val="32"/>
          <w:lang w:val="en-US" w:eastAsia="zh-CN"/>
        </w:rPr>
        <w:t>的</w:t>
      </w:r>
      <w:r>
        <w:rPr>
          <w:rFonts w:hint="eastAsia" w:eastAsia="仿宋_GB2312"/>
          <w:color w:val="000000"/>
          <w:sz w:val="32"/>
          <w:szCs w:val="32"/>
        </w:rPr>
        <w:t>问题，加强对企业就业风险信息的搜集、上报和处置，及早掌握就业风险事件的苗头性、倾向性问题，防范、化解规模性失业风险和人才流失。</w:t>
      </w:r>
      <w:r>
        <w:rPr>
          <w:rFonts w:hint="eastAsia" w:eastAsia="仿宋_GB2312"/>
          <w:color w:val="000000"/>
          <w:sz w:val="32"/>
          <w:szCs w:val="32"/>
          <w:lang w:val="en-US" w:eastAsia="zh-CN"/>
        </w:rPr>
        <w:t>除此以外，有关部门</w:t>
      </w:r>
      <w:r>
        <w:rPr>
          <w:rFonts w:hint="eastAsia" w:eastAsia="仿宋_GB2312"/>
          <w:color w:val="000000"/>
          <w:sz w:val="32"/>
          <w:szCs w:val="32"/>
        </w:rPr>
        <w:t>应实施更加积极的就业政策，不断扩大就业规模，开展系列就业服务专项活动。通过开展“春风行动”等招聘活动，解决企业用工和求职者就业等问题。</w:t>
      </w:r>
    </w:p>
    <w:p>
      <w:pPr>
        <w:pStyle w:val="37"/>
        <w:numPr>
          <w:ilvl w:val="0"/>
          <w:numId w:val="0"/>
        </w:numPr>
        <w:spacing w:before="0" w:beforeLines="0"/>
        <w:ind w:firstLine="640" w:firstLineChars="200"/>
        <w:rPr>
          <w:rFonts w:hint="eastAsia" w:ascii="楷体_GB2312" w:hAnsi="楷体_GB2312" w:eastAsia="楷体_GB2312" w:cs="楷体_GB2312"/>
          <w:b w:val="0"/>
          <w:bCs w:val="0"/>
        </w:rPr>
      </w:pPr>
      <w:bookmarkStart w:id="24" w:name="_Toc23750"/>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val="en-US" w:eastAsia="zh-CN"/>
        </w:rPr>
        <w:t>二</w:t>
      </w:r>
      <w:r>
        <w:rPr>
          <w:rFonts w:hint="eastAsia" w:ascii="楷体_GB2312" w:hAnsi="楷体_GB2312" w:eastAsia="楷体_GB2312" w:cs="楷体_GB2312"/>
          <w:b w:val="0"/>
          <w:bCs w:val="0"/>
        </w:rPr>
        <w:t>）普工流失人数及占比均为最高，招聘存在较大困难</w:t>
      </w:r>
      <w:bookmarkEnd w:id="24"/>
    </w:p>
    <w:p>
      <w:pPr>
        <w:ind w:firstLine="640" w:firstLineChars="200"/>
        <w:rPr>
          <w:rFonts w:hint="eastAsia" w:eastAsia="仿宋_GB2312"/>
          <w:color w:val="000000"/>
          <w:sz w:val="32"/>
          <w:szCs w:val="32"/>
        </w:rPr>
      </w:pPr>
      <w:r>
        <w:rPr>
          <w:rFonts w:hint="eastAsia" w:eastAsia="仿宋_GB2312"/>
          <w:color w:val="000000"/>
          <w:sz w:val="32"/>
          <w:szCs w:val="32"/>
        </w:rPr>
        <w:t>监测调查数据显示，2023年样本企业</w:t>
      </w:r>
      <w:r>
        <w:rPr>
          <w:rFonts w:hint="eastAsia" w:eastAsia="仿宋_GB2312"/>
          <w:color w:val="000000"/>
          <w:sz w:val="32"/>
          <w:szCs w:val="32"/>
          <w:lang w:val="en-US" w:eastAsia="zh-CN"/>
        </w:rPr>
        <w:t>中</w:t>
      </w:r>
      <w:r>
        <w:rPr>
          <w:rFonts w:hint="eastAsia" w:eastAsia="仿宋_GB2312"/>
          <w:color w:val="000000"/>
          <w:sz w:val="32"/>
          <w:szCs w:val="32"/>
        </w:rPr>
        <w:t>，普工的流失人数及占比均较高，各季度普工流失人数占比均超过69%</w:t>
      </w:r>
      <w:r>
        <w:rPr>
          <w:rFonts w:hint="eastAsia" w:eastAsia="仿宋_GB2312"/>
          <w:color w:val="000000"/>
          <w:sz w:val="32"/>
          <w:szCs w:val="32"/>
          <w:lang w:eastAsia="zh-CN"/>
        </w:rPr>
        <w:t>。</w:t>
      </w:r>
      <w:r>
        <w:rPr>
          <w:rFonts w:hint="eastAsia" w:eastAsia="仿宋_GB2312"/>
          <w:color w:val="000000"/>
          <w:sz w:val="32"/>
          <w:szCs w:val="32"/>
        </w:rPr>
        <w:t>与此同时，样本企业表示，简单体力劳动人员、保洁员、生产运输设备操作人员和销售服务人员等普工是主要紧缺的工种。普工在企业中的稳定性值得引起关注。总体来看，普工的月平均工资为四个工种中最低，故部分企业给出的用工条件与劳动者不断提升的就业预期存在一定的错位，部分企业认为应聘者对薪水要求过高是招聘难的最主要原因；另一方面，普工的高人员流动性和企业稳定用工需求不相适应，加大了企业的用工困难。相关职能部门可以帮助企业开展招聘活动，加强对职工的在岗培训，提升员工的人力资本、工作技能和对企业的忠诚度，建立合理的薪酬福利体系，及有效的激励机制。同时，应积极发挥工会职能，帮助职工解决工作和生活上的困难，保护职工合理权益，增强职工的归属感，缓解企业员工流失情况。</w:t>
      </w:r>
    </w:p>
    <w:p>
      <w:pPr>
        <w:pStyle w:val="37"/>
        <w:numPr>
          <w:ilvl w:val="0"/>
          <w:numId w:val="0"/>
        </w:numPr>
        <w:spacing w:before="0" w:beforeLines="0"/>
        <w:ind w:firstLine="640" w:firstLineChars="200"/>
        <w:rPr>
          <w:rFonts w:hint="eastAsia" w:ascii="楷体_GB2312" w:hAnsi="楷体_GB2312" w:eastAsia="楷体_GB2312" w:cs="楷体_GB2312"/>
          <w:b w:val="0"/>
          <w:bCs w:val="0"/>
        </w:rPr>
      </w:pPr>
      <w:bookmarkStart w:id="25" w:name="_Toc19063"/>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val="en-US" w:eastAsia="zh-CN"/>
        </w:rPr>
        <w:t>三</w:t>
      </w:r>
      <w:r>
        <w:rPr>
          <w:rFonts w:hint="eastAsia" w:ascii="楷体_GB2312" w:hAnsi="楷体_GB2312" w:eastAsia="楷体_GB2312" w:cs="楷体_GB2312"/>
          <w:b w:val="0"/>
          <w:bCs w:val="0"/>
        </w:rPr>
        <w:t>）样本企业工资收入水平的行业差距和工种差距明显</w:t>
      </w:r>
      <w:bookmarkEnd w:id="25"/>
    </w:p>
    <w:p>
      <w:pPr>
        <w:ind w:firstLine="640" w:firstLineChars="200"/>
        <w:rPr>
          <w:rFonts w:hint="eastAsia" w:eastAsia="仿宋_GB2312"/>
          <w:color w:val="000000"/>
          <w:sz w:val="32"/>
          <w:szCs w:val="32"/>
        </w:rPr>
      </w:pPr>
      <w:r>
        <w:rPr>
          <w:rFonts w:hint="eastAsia" w:eastAsia="仿宋_GB2312"/>
          <w:color w:val="000000"/>
          <w:sz w:val="32"/>
          <w:szCs w:val="32"/>
        </w:rPr>
        <w:t>监测调查数据显示，相比2022年，</w:t>
      </w:r>
      <w:r>
        <w:rPr>
          <w:rFonts w:hint="eastAsia" w:eastAsia="仿宋_GB2312"/>
          <w:color w:val="000000"/>
          <w:sz w:val="32"/>
          <w:szCs w:val="32"/>
          <w:lang w:val="en-US" w:eastAsia="zh-CN"/>
        </w:rPr>
        <w:t>各工种</w:t>
      </w:r>
      <w:r>
        <w:rPr>
          <w:rFonts w:hint="eastAsia" w:eastAsia="仿宋_GB2312"/>
          <w:color w:val="000000"/>
          <w:sz w:val="32"/>
          <w:szCs w:val="32"/>
        </w:rPr>
        <w:t>人员的月工资</w:t>
      </w:r>
      <w:r>
        <w:rPr>
          <w:rFonts w:hint="eastAsia" w:eastAsia="仿宋_GB2312"/>
          <w:color w:val="000000"/>
          <w:sz w:val="32"/>
          <w:szCs w:val="32"/>
          <w:lang w:val="en-US" w:eastAsia="zh-CN"/>
        </w:rPr>
        <w:t>均有</w:t>
      </w:r>
      <w:r>
        <w:rPr>
          <w:rFonts w:hint="eastAsia" w:eastAsia="仿宋_GB2312"/>
          <w:color w:val="000000"/>
          <w:sz w:val="32"/>
          <w:szCs w:val="32"/>
        </w:rPr>
        <w:t>上涨，</w:t>
      </w:r>
      <w:r>
        <w:rPr>
          <w:rFonts w:hint="eastAsia" w:eastAsia="仿宋_GB2312"/>
          <w:color w:val="000000"/>
          <w:sz w:val="32"/>
          <w:szCs w:val="32"/>
          <w:lang w:val="en-US" w:eastAsia="zh-CN"/>
        </w:rPr>
        <w:t>上涨幅度约500-</w:t>
      </w:r>
      <w:r>
        <w:rPr>
          <w:rFonts w:hint="eastAsia" w:eastAsia="仿宋_GB2312"/>
          <w:color w:val="000000"/>
          <w:sz w:val="32"/>
          <w:szCs w:val="32"/>
        </w:rPr>
        <w:t>1000元。行业间工资待遇水平的差距</w:t>
      </w:r>
      <w:r>
        <w:rPr>
          <w:rFonts w:hint="eastAsia" w:eastAsia="仿宋_GB2312"/>
          <w:color w:val="000000"/>
          <w:sz w:val="32"/>
          <w:szCs w:val="32"/>
          <w:lang w:val="en-US" w:eastAsia="zh-CN"/>
        </w:rPr>
        <w:t>较</w:t>
      </w:r>
      <w:r>
        <w:rPr>
          <w:rFonts w:hint="eastAsia" w:eastAsia="仿宋_GB2312"/>
          <w:color w:val="000000"/>
          <w:sz w:val="32"/>
          <w:szCs w:val="32"/>
        </w:rPr>
        <w:t>大，月工资最低的不足4000元，最高的超过</w:t>
      </w:r>
      <w:r>
        <w:rPr>
          <w:rFonts w:hint="eastAsia" w:eastAsia="仿宋_GB2312"/>
          <w:color w:val="000000"/>
          <w:sz w:val="32"/>
          <w:szCs w:val="32"/>
          <w:lang w:val="en-US" w:eastAsia="zh-CN"/>
        </w:rPr>
        <w:t>10</w:t>
      </w:r>
      <w:r>
        <w:rPr>
          <w:rFonts w:hint="eastAsia" w:eastAsia="仿宋_GB2312"/>
          <w:color w:val="000000"/>
          <w:sz w:val="32"/>
          <w:szCs w:val="32"/>
        </w:rPr>
        <w:t>000元。相差</w:t>
      </w:r>
      <w:r>
        <w:rPr>
          <w:rFonts w:hint="eastAsia" w:eastAsia="仿宋_GB2312"/>
          <w:color w:val="000000"/>
          <w:sz w:val="32"/>
          <w:szCs w:val="32"/>
          <w:lang w:val="en-US" w:eastAsia="zh-CN"/>
        </w:rPr>
        <w:t>超过</w:t>
      </w:r>
      <w:r>
        <w:rPr>
          <w:rFonts w:hint="eastAsia" w:eastAsia="仿宋_GB2312"/>
          <w:color w:val="000000"/>
          <w:sz w:val="32"/>
          <w:szCs w:val="32"/>
          <w:lang w:eastAsia="zh-CN"/>
        </w:rPr>
        <w:t>6</w:t>
      </w:r>
      <w:r>
        <w:rPr>
          <w:rFonts w:hint="eastAsia" w:eastAsia="仿宋_GB2312"/>
          <w:color w:val="000000"/>
          <w:sz w:val="32"/>
          <w:szCs w:val="32"/>
        </w:rPr>
        <w:t>000元。除了行业和工种上</w:t>
      </w:r>
      <w:r>
        <w:rPr>
          <w:rFonts w:hint="eastAsia" w:eastAsia="仿宋_GB2312"/>
          <w:color w:val="000000"/>
          <w:sz w:val="32"/>
          <w:szCs w:val="32"/>
          <w:lang w:val="en-US" w:eastAsia="zh-CN"/>
        </w:rPr>
        <w:t>工资</w:t>
      </w:r>
      <w:r>
        <w:rPr>
          <w:rFonts w:hint="eastAsia" w:eastAsia="仿宋_GB2312"/>
          <w:color w:val="000000"/>
          <w:sz w:val="32"/>
          <w:szCs w:val="32"/>
        </w:rPr>
        <w:t>待遇</w:t>
      </w:r>
      <w:r>
        <w:rPr>
          <w:rFonts w:hint="eastAsia" w:eastAsia="仿宋_GB2312"/>
          <w:color w:val="000000"/>
          <w:sz w:val="32"/>
          <w:szCs w:val="32"/>
          <w:lang w:val="en-US" w:eastAsia="zh-CN"/>
        </w:rPr>
        <w:t>水平有所</w:t>
      </w:r>
      <w:r>
        <w:rPr>
          <w:rFonts w:hint="eastAsia" w:eastAsia="仿宋_GB2312"/>
          <w:color w:val="000000"/>
          <w:sz w:val="32"/>
          <w:szCs w:val="32"/>
        </w:rPr>
        <w:t>差异，应届高校毕业生的工资待遇较低，也是另外一个重要问题</w:t>
      </w:r>
      <w:r>
        <w:rPr>
          <w:rFonts w:hint="eastAsia" w:eastAsia="仿宋_GB2312"/>
          <w:color w:val="000000"/>
          <w:sz w:val="32"/>
          <w:szCs w:val="32"/>
          <w:lang w:eastAsia="zh-CN"/>
        </w:rPr>
        <w:t>，目前招聘人均工资水平</w:t>
      </w:r>
      <w:r>
        <w:rPr>
          <w:rFonts w:hint="eastAsia" w:eastAsia="仿宋_GB2312"/>
          <w:color w:val="000000"/>
          <w:sz w:val="32"/>
          <w:szCs w:val="32"/>
          <w:lang w:val="en-US" w:eastAsia="zh-CN"/>
        </w:rPr>
        <w:t>约为4500</w:t>
      </w:r>
      <w:r>
        <w:rPr>
          <w:rFonts w:hint="eastAsia" w:eastAsia="仿宋_GB2312"/>
          <w:color w:val="000000"/>
          <w:sz w:val="32"/>
          <w:szCs w:val="32"/>
          <w:lang w:eastAsia="zh-CN"/>
        </w:rPr>
        <w:t>元/月</w:t>
      </w:r>
      <w:r>
        <w:rPr>
          <w:rFonts w:hint="eastAsia" w:eastAsia="仿宋_GB2312"/>
          <w:color w:val="000000"/>
          <w:sz w:val="32"/>
          <w:szCs w:val="32"/>
        </w:rPr>
        <w:t>。工资收入水平存在差异是正常的社会经济现象，受到职工个人特征、企业特征、市场特征等多种因素的影响，</w:t>
      </w:r>
      <w:r>
        <w:rPr>
          <w:rFonts w:hint="eastAsia" w:eastAsia="仿宋_GB2312"/>
          <w:color w:val="000000"/>
          <w:sz w:val="32"/>
          <w:szCs w:val="32"/>
          <w:lang w:val="en-US" w:eastAsia="zh-CN"/>
        </w:rPr>
        <w:t>还需进一步</w:t>
      </w:r>
      <w:r>
        <w:rPr>
          <w:rFonts w:hint="eastAsia" w:eastAsia="仿宋_GB2312"/>
          <w:color w:val="000000"/>
          <w:sz w:val="32"/>
          <w:szCs w:val="32"/>
        </w:rPr>
        <w:t>提高不同群体对收入水平的认同感和满意度。</w:t>
      </w:r>
    </w:p>
    <w:p>
      <w:pPr>
        <w:pStyle w:val="37"/>
        <w:numPr>
          <w:ilvl w:val="0"/>
          <w:numId w:val="0"/>
        </w:numPr>
        <w:spacing w:before="0" w:beforeLines="0"/>
        <w:ind w:firstLine="640" w:firstLineChars="200"/>
        <w:rPr>
          <w:rFonts w:hint="default" w:ascii="楷体_GB2312" w:hAnsi="楷体_GB2312" w:eastAsia="楷体_GB2312" w:cs="楷体_GB2312"/>
          <w:b w:val="0"/>
          <w:bCs w:val="0"/>
        </w:rPr>
      </w:pPr>
      <w:bookmarkStart w:id="26" w:name="_Toc9591"/>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val="en-US" w:eastAsia="zh-CN"/>
        </w:rPr>
        <w:t>四</w:t>
      </w:r>
      <w:r>
        <w:rPr>
          <w:rFonts w:hint="eastAsia" w:ascii="楷体_GB2312" w:hAnsi="楷体_GB2312" w:eastAsia="楷体_GB2312" w:cs="楷体_GB2312"/>
          <w:b w:val="0"/>
          <w:bCs w:val="0"/>
        </w:rPr>
        <w:t>）样本企业招聘需求</w:t>
      </w:r>
      <w:r>
        <w:rPr>
          <w:rFonts w:hint="eastAsia" w:ascii="楷体_GB2312" w:hAnsi="楷体_GB2312" w:eastAsia="楷体_GB2312" w:cs="楷体_GB2312"/>
          <w:b w:val="0"/>
          <w:bCs w:val="0"/>
          <w:lang w:val="en-US" w:eastAsia="zh-CN"/>
        </w:rPr>
        <w:t>有所减少</w:t>
      </w:r>
      <w:bookmarkEnd w:id="26"/>
    </w:p>
    <w:p>
      <w:pPr>
        <w:ind w:firstLine="640" w:firstLineChars="200"/>
        <w:rPr>
          <w:rFonts w:hint="eastAsia" w:eastAsia="仿宋_GB2312"/>
          <w:color w:val="000000"/>
          <w:sz w:val="32"/>
          <w:szCs w:val="32"/>
        </w:rPr>
      </w:pPr>
      <w:r>
        <w:rPr>
          <w:rFonts w:hint="eastAsia" w:eastAsia="仿宋_GB2312"/>
          <w:color w:val="000000"/>
          <w:sz w:val="32"/>
          <w:szCs w:val="32"/>
        </w:rPr>
        <w:t>与</w:t>
      </w:r>
      <w:r>
        <w:rPr>
          <w:rFonts w:hint="eastAsia" w:eastAsia="仿宋_GB2312"/>
          <w:color w:val="000000"/>
          <w:sz w:val="32"/>
          <w:szCs w:val="32"/>
          <w:lang w:eastAsia="zh-CN"/>
        </w:rPr>
        <w:t>2</w:t>
      </w:r>
      <w:r>
        <w:rPr>
          <w:rFonts w:hint="eastAsia" w:eastAsia="仿宋_GB2312"/>
          <w:color w:val="000000"/>
          <w:sz w:val="32"/>
          <w:szCs w:val="32"/>
          <w:lang w:val="en-US" w:eastAsia="zh-CN"/>
        </w:rPr>
        <w:t>022</w:t>
      </w:r>
      <w:r>
        <w:rPr>
          <w:rFonts w:hint="eastAsia" w:eastAsia="仿宋_GB2312"/>
          <w:color w:val="000000"/>
          <w:sz w:val="32"/>
          <w:szCs w:val="32"/>
        </w:rPr>
        <w:t>年相比，2023年区内样本企业计划和实际招聘人数</w:t>
      </w:r>
      <w:r>
        <w:rPr>
          <w:rFonts w:hint="eastAsia" w:eastAsia="仿宋_GB2312"/>
          <w:color w:val="000000"/>
          <w:sz w:val="32"/>
          <w:szCs w:val="32"/>
          <w:lang w:val="en-US" w:eastAsia="zh-CN"/>
        </w:rPr>
        <w:t>总体</w:t>
      </w:r>
      <w:r>
        <w:rPr>
          <w:rFonts w:hint="eastAsia" w:eastAsia="仿宋_GB2312"/>
          <w:color w:val="000000"/>
          <w:sz w:val="32"/>
          <w:szCs w:val="32"/>
        </w:rPr>
        <w:t>减少</w:t>
      </w:r>
      <w:r>
        <w:rPr>
          <w:rFonts w:hint="eastAsia" w:eastAsia="仿宋_GB2312"/>
          <w:color w:val="000000"/>
          <w:sz w:val="32"/>
          <w:szCs w:val="32"/>
          <w:lang w:eastAsia="zh-CN"/>
        </w:rPr>
        <w:t>（</w:t>
      </w:r>
      <w:r>
        <w:rPr>
          <w:rFonts w:hint="eastAsia" w:eastAsia="仿宋_GB2312"/>
          <w:color w:val="000000"/>
          <w:sz w:val="32"/>
          <w:szCs w:val="32"/>
          <w:lang w:val="en-US" w:eastAsia="zh-CN"/>
        </w:rPr>
        <w:t>上半年有所减少，上半年有所回升）</w:t>
      </w:r>
      <w:r>
        <w:rPr>
          <w:rFonts w:hint="eastAsia" w:eastAsia="仿宋_GB2312"/>
          <w:color w:val="000000"/>
          <w:sz w:val="32"/>
          <w:szCs w:val="32"/>
          <w:lang w:eastAsia="zh-CN"/>
        </w:rPr>
        <w:t>，</w:t>
      </w:r>
      <w:r>
        <w:rPr>
          <w:rFonts w:hint="eastAsia" w:eastAsia="仿宋_GB2312"/>
          <w:color w:val="000000"/>
          <w:sz w:val="32"/>
          <w:szCs w:val="32"/>
          <w:lang w:val="en-US" w:eastAsia="zh-CN"/>
        </w:rPr>
        <w:t>约减少</w:t>
      </w:r>
      <w:r>
        <w:rPr>
          <w:rFonts w:hint="eastAsia" w:eastAsia="仿宋_GB2312"/>
          <w:color w:val="000000"/>
          <w:sz w:val="32"/>
          <w:szCs w:val="32"/>
        </w:rPr>
        <w:t>500至1500人。结合当前青年失业率攀升的大环境，及市场“求职难”和“招工难”并存的现象，</w:t>
      </w:r>
      <w:r>
        <w:rPr>
          <w:rFonts w:hint="eastAsia" w:eastAsia="仿宋_GB2312"/>
          <w:color w:val="000000"/>
          <w:sz w:val="32"/>
          <w:szCs w:val="32"/>
          <w:lang w:val="en-US" w:eastAsia="zh-CN"/>
        </w:rPr>
        <w:t>就业压力持续加大</w:t>
      </w:r>
      <w:r>
        <w:rPr>
          <w:rFonts w:hint="eastAsia" w:eastAsia="仿宋_GB2312"/>
          <w:color w:val="000000"/>
          <w:sz w:val="32"/>
          <w:szCs w:val="32"/>
        </w:rPr>
        <w:t>。有关职能部门应当采取措施，如为失业人员提供及时的就业信息、与市场需求相符的技能培训和就业指导，帮助他们积极适应就业市场变化，提升竞争力。此外，还应及时掌握企业的经营和用工情况，营造良好市场环境，积极鼓励产业转型升级，创造更多技能人才岗位。同时，鼓励企业履行社会责任，提供更多实习和培训岗位，帮助青年人获得实践经验和就业机会。</w:t>
      </w:r>
    </w:p>
    <w:p>
      <w:pPr>
        <w:pStyle w:val="37"/>
        <w:numPr>
          <w:ilvl w:val="0"/>
          <w:numId w:val="0"/>
        </w:numPr>
        <w:spacing w:before="0" w:beforeLines="0"/>
        <w:ind w:firstLine="640" w:firstLineChars="200"/>
        <w:rPr>
          <w:rFonts w:hint="eastAsia" w:ascii="楷体_GB2312" w:hAnsi="楷体_GB2312" w:eastAsia="楷体_GB2312" w:cs="楷体_GB2312"/>
          <w:b w:val="0"/>
          <w:bCs w:val="0"/>
        </w:rPr>
      </w:pPr>
      <w:bookmarkStart w:id="27" w:name="_Toc12717"/>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val="en-US" w:eastAsia="zh-CN"/>
        </w:rPr>
        <w:t>五</w:t>
      </w:r>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val="en-US" w:eastAsia="zh-CN"/>
        </w:rPr>
        <w:t>预期未来生产经营乐观和困难并存</w:t>
      </w:r>
      <w:bookmarkEnd w:id="27"/>
    </w:p>
    <w:p>
      <w:pPr>
        <w:ind w:firstLine="640" w:firstLineChars="200"/>
        <w:rPr>
          <w:rFonts w:hint="eastAsia" w:eastAsia="仿宋_GB2312"/>
          <w:color w:val="000000"/>
          <w:sz w:val="32"/>
          <w:szCs w:val="32"/>
          <w:highlight w:val="none"/>
        </w:rPr>
      </w:pPr>
      <w:r>
        <w:rPr>
          <w:rFonts w:hint="eastAsia" w:eastAsia="仿宋_GB2312"/>
          <w:color w:val="000000"/>
          <w:sz w:val="32"/>
          <w:szCs w:val="32"/>
          <w:highlight w:val="none"/>
        </w:rPr>
        <w:t>监测调查数据显示，2023年样本企业受市场</w:t>
      </w:r>
      <w:r>
        <w:rPr>
          <w:rFonts w:hint="eastAsia" w:eastAsia="仿宋_GB2312"/>
          <w:color w:val="000000"/>
          <w:sz w:val="32"/>
          <w:szCs w:val="32"/>
          <w:highlight w:val="none"/>
          <w:lang w:val="en-US" w:eastAsia="zh-CN"/>
        </w:rPr>
        <w:t>总体</w:t>
      </w:r>
      <w:r>
        <w:rPr>
          <w:rFonts w:hint="eastAsia" w:eastAsia="仿宋_GB2312"/>
          <w:color w:val="000000"/>
          <w:sz w:val="32"/>
          <w:szCs w:val="32"/>
          <w:highlight w:val="none"/>
        </w:rPr>
        <w:t>环境影响，各季度之间的生产经营情况均有不同程度的差异</w:t>
      </w:r>
      <w:r>
        <w:rPr>
          <w:rFonts w:hint="eastAsia" w:eastAsia="仿宋_GB2312"/>
          <w:color w:val="000000"/>
          <w:sz w:val="32"/>
          <w:szCs w:val="32"/>
          <w:highlight w:val="none"/>
          <w:lang w:eastAsia="zh-CN"/>
        </w:rPr>
        <w:t>。</w:t>
      </w:r>
      <w:r>
        <w:rPr>
          <w:rFonts w:hint="eastAsia" w:eastAsia="仿宋_GB2312"/>
          <w:color w:val="000000"/>
          <w:sz w:val="32"/>
          <w:szCs w:val="32"/>
          <w:highlight w:val="none"/>
        </w:rPr>
        <w:t>2023年样本企业生产经营状况以正常为主</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同时</w:t>
      </w:r>
      <w:r>
        <w:rPr>
          <w:rFonts w:hint="eastAsia" w:eastAsia="仿宋_GB2312"/>
          <w:color w:val="000000"/>
          <w:sz w:val="32"/>
          <w:szCs w:val="32"/>
          <w:highlight w:val="none"/>
        </w:rPr>
        <w:t>2023年，样本企业本季度生产经营状况与上季度相比，</w:t>
      </w:r>
      <w:r>
        <w:rPr>
          <w:rFonts w:hint="eastAsia" w:eastAsia="仿宋_GB2312"/>
          <w:color w:val="000000"/>
          <w:sz w:val="32"/>
          <w:szCs w:val="32"/>
          <w:highlight w:val="none"/>
          <w:lang w:val="en-US" w:eastAsia="zh-CN"/>
        </w:rPr>
        <w:t>表示</w:t>
      </w:r>
      <w:r>
        <w:rPr>
          <w:rFonts w:hint="eastAsia" w:eastAsia="仿宋_GB2312"/>
          <w:color w:val="000000"/>
          <w:sz w:val="32"/>
          <w:szCs w:val="32"/>
          <w:highlight w:val="none"/>
        </w:rPr>
        <w:t>“困难”的样本企业占比逐步下降</w:t>
      </w:r>
      <w:r>
        <w:rPr>
          <w:rFonts w:hint="eastAsia" w:eastAsia="仿宋_GB2312"/>
          <w:color w:val="000000"/>
          <w:sz w:val="32"/>
          <w:szCs w:val="32"/>
          <w:highlight w:val="none"/>
          <w:lang w:eastAsia="zh-CN"/>
        </w:rPr>
        <w:t>。</w:t>
      </w:r>
      <w:r>
        <w:rPr>
          <w:rFonts w:hint="eastAsia" w:eastAsia="仿宋_GB2312"/>
          <w:color w:val="000000"/>
          <w:sz w:val="32"/>
          <w:szCs w:val="32"/>
          <w:highlight w:val="none"/>
        </w:rPr>
        <w:t>2023年4季度，预计下季度生产经营状况仍然“困难”的样本企业占比为23.6%，预计下季度生产经营状况与上季度“持平”的样本企业占比为66.4%，仅有10%的样本企业预计下季度生产经营状况“好转”</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表明</w:t>
      </w:r>
      <w:r>
        <w:rPr>
          <w:rFonts w:hint="eastAsia" w:eastAsia="仿宋_GB2312"/>
          <w:color w:val="000000"/>
          <w:sz w:val="32"/>
          <w:szCs w:val="32"/>
          <w:highlight w:val="none"/>
          <w:lang w:eastAsia="zh-CN"/>
        </w:rPr>
        <w:t>未来生产经营乐观和困难</w:t>
      </w:r>
      <w:r>
        <w:rPr>
          <w:rFonts w:hint="eastAsia" w:eastAsia="仿宋_GB2312"/>
          <w:color w:val="000000"/>
          <w:sz w:val="32"/>
          <w:szCs w:val="32"/>
          <w:highlight w:val="none"/>
          <w:lang w:val="en-US" w:eastAsia="zh-CN"/>
        </w:rPr>
        <w:t>的情况依然</w:t>
      </w:r>
      <w:r>
        <w:rPr>
          <w:rFonts w:hint="eastAsia" w:eastAsia="仿宋_GB2312"/>
          <w:color w:val="000000"/>
          <w:sz w:val="32"/>
          <w:szCs w:val="32"/>
          <w:highlight w:val="none"/>
          <w:lang w:eastAsia="zh-CN"/>
        </w:rPr>
        <w:t>并存。</w:t>
      </w:r>
      <w:r>
        <w:rPr>
          <w:rFonts w:hint="eastAsia" w:eastAsia="仿宋_GB2312"/>
          <w:color w:val="000000"/>
          <w:sz w:val="32"/>
          <w:szCs w:val="32"/>
          <w:highlight w:val="none"/>
        </w:rPr>
        <w:t>值得</w:t>
      </w:r>
      <w:r>
        <w:rPr>
          <w:rFonts w:hint="eastAsia" w:eastAsia="仿宋_GB2312"/>
          <w:color w:val="000000"/>
          <w:sz w:val="32"/>
          <w:szCs w:val="32"/>
          <w:highlight w:val="none"/>
          <w:lang w:val="en-US" w:eastAsia="zh-CN"/>
        </w:rPr>
        <w:t>关注</w:t>
      </w:r>
      <w:r>
        <w:rPr>
          <w:rFonts w:hint="eastAsia" w:eastAsia="仿宋_GB2312"/>
          <w:color w:val="000000"/>
          <w:sz w:val="32"/>
          <w:szCs w:val="32"/>
          <w:highlight w:val="none"/>
        </w:rPr>
        <w:t>的是，相比</w:t>
      </w:r>
      <w:r>
        <w:rPr>
          <w:rFonts w:hint="eastAsia" w:eastAsia="仿宋_GB2312"/>
          <w:color w:val="000000"/>
          <w:sz w:val="32"/>
          <w:szCs w:val="32"/>
          <w:highlight w:val="none"/>
          <w:lang w:eastAsia="zh-CN"/>
        </w:rPr>
        <w:t>2</w:t>
      </w:r>
      <w:r>
        <w:rPr>
          <w:rFonts w:hint="eastAsia" w:eastAsia="仿宋_GB2312"/>
          <w:color w:val="000000"/>
          <w:sz w:val="32"/>
          <w:szCs w:val="32"/>
          <w:highlight w:val="none"/>
          <w:lang w:val="en-US" w:eastAsia="zh-CN"/>
        </w:rPr>
        <w:t>022</w:t>
      </w:r>
      <w:r>
        <w:rPr>
          <w:rFonts w:hint="eastAsia" w:eastAsia="仿宋_GB2312"/>
          <w:color w:val="000000"/>
          <w:sz w:val="32"/>
          <w:szCs w:val="32"/>
          <w:highlight w:val="none"/>
        </w:rPr>
        <w:t>年，</w:t>
      </w:r>
      <w:r>
        <w:rPr>
          <w:rFonts w:hint="eastAsia" w:eastAsia="仿宋_GB2312"/>
          <w:color w:val="000000"/>
          <w:sz w:val="32"/>
          <w:szCs w:val="32"/>
          <w:highlight w:val="none"/>
          <w:lang w:val="en-US" w:eastAsia="zh-CN"/>
        </w:rPr>
        <w:t>2023年企业</w:t>
      </w:r>
      <w:r>
        <w:rPr>
          <w:rFonts w:hint="eastAsia" w:eastAsia="仿宋_GB2312"/>
          <w:color w:val="000000"/>
          <w:sz w:val="32"/>
          <w:szCs w:val="32"/>
          <w:highlight w:val="none"/>
        </w:rPr>
        <w:t>经营状况</w:t>
      </w:r>
      <w:r>
        <w:rPr>
          <w:rFonts w:hint="eastAsia" w:eastAsia="仿宋_GB2312"/>
          <w:color w:val="000000"/>
          <w:sz w:val="32"/>
          <w:szCs w:val="32"/>
          <w:highlight w:val="none"/>
          <w:lang w:val="en-US" w:eastAsia="zh-CN"/>
        </w:rPr>
        <w:t>存在</w:t>
      </w:r>
      <w:r>
        <w:rPr>
          <w:rFonts w:hint="eastAsia" w:eastAsia="仿宋_GB2312"/>
          <w:color w:val="000000"/>
          <w:sz w:val="32"/>
          <w:szCs w:val="32"/>
          <w:highlight w:val="none"/>
        </w:rPr>
        <w:t>困难的占比下降了约一成。</w:t>
      </w:r>
    </w:p>
    <w:p>
      <w:pPr>
        <w:numPr>
          <w:ilvl w:val="-1"/>
          <w:numId w:val="0"/>
        </w:numPr>
        <w:spacing w:before="156"/>
        <w:ind w:left="643" w:firstLine="640" w:firstLineChars="200"/>
        <w:rPr>
          <w:rFonts w:hint="eastAsia" w:eastAsia="仿宋_GB2312"/>
          <w:color w:val="000000"/>
          <w:sz w:val="32"/>
          <w:szCs w:val="32"/>
        </w:rPr>
      </w:pPr>
      <w:r>
        <w:rPr>
          <w:rFonts w:hint="eastAsia" w:eastAsia="仿宋_GB2312"/>
          <w:color w:val="000000"/>
          <w:sz w:val="32"/>
          <w:szCs w:val="32"/>
        </w:rPr>
        <w:t>当前，国内经济正处于复苏阶段，同时也是企业发展至关重要的时期，故</w:t>
      </w:r>
      <w:r>
        <w:rPr>
          <w:rFonts w:hint="eastAsia" w:eastAsia="仿宋_GB2312"/>
          <w:color w:val="000000"/>
          <w:sz w:val="32"/>
          <w:szCs w:val="32"/>
          <w:lang w:val="en-US" w:eastAsia="zh-CN"/>
        </w:rPr>
        <w:t>有关</w:t>
      </w:r>
      <w:r>
        <w:rPr>
          <w:rFonts w:hint="eastAsia" w:eastAsia="仿宋_GB2312"/>
          <w:color w:val="000000"/>
          <w:sz w:val="32"/>
          <w:szCs w:val="32"/>
        </w:rPr>
        <w:t>部门应采用多种途径帮助企业缓解经营上的困难，为企业的经营发展营造良好的营商环境。</w:t>
      </w:r>
    </w:p>
    <w:p>
      <w:pPr>
        <w:pStyle w:val="2"/>
        <w:numPr>
          <w:ilvl w:val="-1"/>
          <w:numId w:val="0"/>
        </w:numPr>
        <w:spacing w:before="156"/>
        <w:ind w:firstLine="643" w:firstLineChars="200"/>
        <w:rPr>
          <w:b w:val="0"/>
          <w:bCs w:val="0"/>
        </w:rPr>
      </w:pPr>
      <w:bookmarkStart w:id="28" w:name="_Toc22810"/>
      <w:r>
        <w:rPr>
          <w:rFonts w:hint="default"/>
          <w:b/>
          <w:bCs/>
          <w:lang w:val="en-US" w:eastAsia="zh-CN"/>
        </w:rPr>
        <w:t>附录、140家</w:t>
      </w:r>
      <w:r>
        <w:rPr>
          <w:b w:val="0"/>
          <w:bCs w:val="0"/>
        </w:rPr>
        <w:t>样本企业基本情况</w:t>
      </w:r>
      <w:bookmarkEnd w:id="28"/>
    </w:p>
    <w:p>
      <w:pPr>
        <w:ind w:firstLine="640" w:firstLineChars="200"/>
        <w:rPr>
          <w:rFonts w:eastAsia="仿宋_GB2312"/>
          <w:color w:val="000000"/>
          <w:sz w:val="32"/>
          <w:szCs w:val="32"/>
        </w:rPr>
      </w:pPr>
      <w:r>
        <w:rPr>
          <w:rFonts w:hint="default" w:eastAsia="仿宋_GB2312"/>
          <w:color w:val="000000"/>
          <w:sz w:val="32"/>
          <w:szCs w:val="32"/>
          <w:lang w:eastAsia="zh-CN"/>
        </w:rPr>
        <w:t>2023年</w:t>
      </w:r>
      <w:r>
        <w:rPr>
          <w:rFonts w:hint="default" w:eastAsia="仿宋_GB2312"/>
          <w:color w:val="000000"/>
          <w:sz w:val="32"/>
          <w:szCs w:val="32"/>
        </w:rPr>
        <w:t>从化</w:t>
      </w:r>
      <w:r>
        <w:rPr>
          <w:rFonts w:eastAsia="仿宋_GB2312"/>
          <w:color w:val="000000"/>
          <w:sz w:val="32"/>
          <w:szCs w:val="32"/>
        </w:rPr>
        <w:t>区企业用工定点监测样本</w:t>
      </w:r>
      <w:r>
        <w:rPr>
          <w:rFonts w:hint="default" w:eastAsia="仿宋_GB2312"/>
          <w:color w:val="000000"/>
          <w:sz w:val="32"/>
          <w:szCs w:val="32"/>
        </w:rPr>
        <w:t>企业</w:t>
      </w:r>
      <w:r>
        <w:rPr>
          <w:rFonts w:eastAsia="仿宋_GB2312"/>
          <w:color w:val="000000"/>
          <w:sz w:val="32"/>
          <w:szCs w:val="32"/>
        </w:rPr>
        <w:t>为</w:t>
      </w:r>
      <w:r>
        <w:rPr>
          <w:rFonts w:hint="default" w:eastAsia="仿宋_GB2312"/>
          <w:color w:val="000000"/>
          <w:sz w:val="32"/>
          <w:szCs w:val="32"/>
          <w:lang w:val="en-US" w:eastAsia="zh-CN"/>
        </w:rPr>
        <w:t>140</w:t>
      </w:r>
      <w:r>
        <w:rPr>
          <w:rFonts w:eastAsia="仿宋_GB2312"/>
          <w:color w:val="000000"/>
          <w:sz w:val="32"/>
          <w:szCs w:val="32"/>
        </w:rPr>
        <w:t>家，</w:t>
      </w:r>
      <w:r>
        <w:rPr>
          <w:rFonts w:hint="default" w:eastAsia="仿宋_GB2312"/>
          <w:color w:val="000000"/>
          <w:sz w:val="32"/>
          <w:szCs w:val="32"/>
        </w:rPr>
        <w:t>以第二、三产业为主</w:t>
      </w:r>
      <w:r>
        <w:rPr>
          <w:rFonts w:hint="default" w:eastAsia="仿宋_GB2312"/>
          <w:color w:val="000000"/>
          <w:sz w:val="32"/>
          <w:szCs w:val="32"/>
          <w:lang w:eastAsia="zh-CN"/>
        </w:rPr>
        <w:t>，</w:t>
      </w:r>
      <w:r>
        <w:rPr>
          <w:rFonts w:hint="default" w:eastAsia="仿宋_GB2312"/>
          <w:color w:val="000000"/>
          <w:sz w:val="32"/>
          <w:szCs w:val="32"/>
        </w:rPr>
        <w:t>单位类型主要为内资企业（私营企业和有限责任公司），行业集中在制造业、批发和零售业、住宿和餐饮业，</w:t>
      </w:r>
      <w:r>
        <w:rPr>
          <w:rFonts w:hint="default" w:eastAsia="仿宋_GB2312"/>
          <w:color w:val="000000"/>
          <w:sz w:val="32"/>
          <w:szCs w:val="32"/>
          <w:lang w:val="en-US" w:eastAsia="zh-CN"/>
        </w:rPr>
        <w:t>绝大部分</w:t>
      </w:r>
      <w:r>
        <w:rPr>
          <w:rFonts w:hint="default" w:eastAsia="仿宋_GB2312"/>
          <w:color w:val="000000"/>
          <w:sz w:val="32"/>
          <w:szCs w:val="32"/>
        </w:rPr>
        <w:t>样本企业的人员规模在</w:t>
      </w:r>
      <w:r>
        <w:rPr>
          <w:rFonts w:hint="default" w:eastAsia="仿宋_GB2312"/>
          <w:color w:val="000000"/>
          <w:sz w:val="32"/>
          <w:szCs w:val="32"/>
          <w:lang w:val="en-US"/>
        </w:rPr>
        <w:t>10</w:t>
      </w:r>
      <w:r>
        <w:rPr>
          <w:rFonts w:hint="default" w:eastAsia="仿宋_GB2312"/>
          <w:color w:val="000000"/>
          <w:sz w:val="32"/>
          <w:szCs w:val="32"/>
        </w:rPr>
        <w:t>-499人之间</w:t>
      </w:r>
      <w:r>
        <w:rPr>
          <w:rFonts w:eastAsia="仿宋_GB2312"/>
          <w:color w:val="000000"/>
          <w:sz w:val="32"/>
          <w:szCs w:val="32"/>
        </w:rPr>
        <w:t>。</w:t>
      </w:r>
    </w:p>
    <w:p>
      <w:pPr>
        <w:pStyle w:val="37"/>
        <w:numPr>
          <w:ilvl w:val="0"/>
          <w:numId w:val="0"/>
        </w:numPr>
        <w:spacing w:before="156"/>
        <w:ind w:firstLine="640" w:firstLineChars="200"/>
        <w:rPr>
          <w:rFonts w:hint="eastAsia" w:ascii="楷体_GB2312" w:hAnsi="楷体_GB2312" w:eastAsia="楷体_GB2312" w:cs="楷体_GB2312"/>
          <w:b w:val="0"/>
          <w:bCs w:val="0"/>
        </w:rPr>
      </w:pPr>
      <w:bookmarkStart w:id="29" w:name="_Toc21394"/>
      <w:r>
        <w:rPr>
          <w:rFonts w:hint="eastAsia" w:ascii="楷体_GB2312" w:hAnsi="楷体_GB2312" w:eastAsia="楷体_GB2312" w:cs="楷体_GB2312"/>
          <w:b w:val="0"/>
          <w:bCs w:val="0"/>
        </w:rPr>
        <w:t>（一）产业分布</w:t>
      </w:r>
      <w:bookmarkEnd w:id="29"/>
    </w:p>
    <w:p>
      <w:pPr>
        <w:ind w:firstLine="643" w:firstLineChars="200"/>
        <w:rPr>
          <w:rFonts w:eastAsia="仿宋"/>
          <w:b/>
          <w:sz w:val="32"/>
          <w:szCs w:val="32"/>
        </w:rPr>
      </w:pPr>
      <w:r>
        <w:rPr>
          <w:rFonts w:eastAsia="仿宋"/>
          <w:b/>
          <w:sz w:val="32"/>
          <w:szCs w:val="32"/>
        </w:rPr>
        <w:t>1.第二产业占比</w:t>
      </w:r>
      <w:r>
        <w:rPr>
          <w:rFonts w:hint="eastAsia" w:eastAsia="仿宋"/>
          <w:b/>
          <w:sz w:val="32"/>
          <w:szCs w:val="32"/>
        </w:rPr>
        <w:t>超过</w:t>
      </w:r>
      <w:r>
        <w:rPr>
          <w:rFonts w:eastAsia="仿宋"/>
          <w:b/>
          <w:sz w:val="32"/>
          <w:szCs w:val="32"/>
        </w:rPr>
        <w:t>六成</w:t>
      </w:r>
    </w:p>
    <w:p>
      <w:pPr>
        <w:ind w:firstLine="640" w:firstLineChars="200"/>
        <w:rPr>
          <w:rFonts w:eastAsia="仿宋_GB2312"/>
          <w:color w:val="000000"/>
          <w:sz w:val="32"/>
          <w:szCs w:val="32"/>
        </w:rPr>
      </w:pPr>
      <w:r>
        <w:rPr>
          <w:rFonts w:hint="default" w:eastAsia="仿宋_GB2312"/>
          <w:color w:val="000000"/>
          <w:sz w:val="32"/>
          <w:szCs w:val="32"/>
          <w:lang w:eastAsia="zh-CN"/>
        </w:rPr>
        <w:t>2023年样本企业中，</w:t>
      </w:r>
      <w:r>
        <w:rPr>
          <w:rFonts w:eastAsia="仿宋_GB2312"/>
          <w:color w:val="000000"/>
          <w:sz w:val="32"/>
          <w:szCs w:val="32"/>
        </w:rPr>
        <w:t>第</w:t>
      </w:r>
      <w:r>
        <w:rPr>
          <w:rFonts w:hint="default" w:eastAsia="仿宋_GB2312"/>
          <w:color w:val="000000"/>
          <w:sz w:val="32"/>
          <w:szCs w:val="32"/>
        </w:rPr>
        <w:t>二</w:t>
      </w:r>
      <w:r>
        <w:rPr>
          <w:rFonts w:eastAsia="仿宋_GB2312"/>
          <w:color w:val="000000"/>
          <w:sz w:val="32"/>
          <w:szCs w:val="32"/>
        </w:rPr>
        <w:t>产业占比最</w:t>
      </w:r>
      <w:r>
        <w:rPr>
          <w:rFonts w:hint="default" w:eastAsia="仿宋_GB2312"/>
          <w:color w:val="000000"/>
          <w:sz w:val="32"/>
          <w:szCs w:val="32"/>
        </w:rPr>
        <w:t>高，</w:t>
      </w:r>
      <w:r>
        <w:rPr>
          <w:rFonts w:hint="default" w:eastAsia="仿宋_GB2312"/>
          <w:color w:val="000000"/>
          <w:sz w:val="32"/>
          <w:szCs w:val="32"/>
          <w:lang w:val="en-US" w:eastAsia="zh-CN"/>
        </w:rPr>
        <w:t>约占65</w:t>
      </w:r>
      <w:r>
        <w:rPr>
          <w:rFonts w:hint="default" w:eastAsia="仿宋_GB2312"/>
          <w:color w:val="000000"/>
          <w:sz w:val="32"/>
          <w:szCs w:val="32"/>
        </w:rPr>
        <w:t>%</w:t>
      </w:r>
      <w:r>
        <w:rPr>
          <w:rFonts w:eastAsia="仿宋_GB2312"/>
          <w:color w:val="000000"/>
          <w:sz w:val="32"/>
          <w:szCs w:val="32"/>
        </w:rPr>
        <w:t>；其次是第</w:t>
      </w:r>
      <w:r>
        <w:rPr>
          <w:rFonts w:hint="default" w:eastAsia="仿宋_GB2312"/>
          <w:color w:val="000000"/>
          <w:sz w:val="32"/>
          <w:szCs w:val="32"/>
        </w:rPr>
        <w:t>三</w:t>
      </w:r>
      <w:r>
        <w:rPr>
          <w:rFonts w:eastAsia="仿宋_GB2312"/>
          <w:color w:val="000000"/>
          <w:sz w:val="32"/>
          <w:szCs w:val="32"/>
        </w:rPr>
        <w:t>产业，</w:t>
      </w:r>
      <w:r>
        <w:rPr>
          <w:rFonts w:hint="default" w:eastAsia="仿宋_GB2312"/>
          <w:color w:val="000000"/>
          <w:sz w:val="32"/>
          <w:szCs w:val="32"/>
          <w:lang w:val="en-US" w:eastAsia="zh-CN"/>
        </w:rPr>
        <w:t>约占34</w:t>
      </w:r>
      <w:r>
        <w:rPr>
          <w:rFonts w:hint="default" w:eastAsia="仿宋_GB2312"/>
          <w:color w:val="000000"/>
          <w:sz w:val="32"/>
          <w:szCs w:val="32"/>
        </w:rPr>
        <w:t>%</w:t>
      </w:r>
      <w:r>
        <w:rPr>
          <w:rFonts w:eastAsia="仿宋_GB2312"/>
          <w:color w:val="000000"/>
          <w:sz w:val="32"/>
          <w:szCs w:val="32"/>
        </w:rPr>
        <w:t>；第一产业</w:t>
      </w:r>
      <w:r>
        <w:rPr>
          <w:rFonts w:hint="default" w:eastAsia="仿宋_GB2312"/>
          <w:color w:val="000000"/>
          <w:sz w:val="32"/>
          <w:szCs w:val="32"/>
          <w:lang w:val="en-US" w:eastAsia="zh-CN"/>
        </w:rPr>
        <w:t>仅</w:t>
      </w:r>
      <w:r>
        <w:rPr>
          <w:rFonts w:hint="default" w:eastAsia="仿宋_GB2312"/>
          <w:color w:val="000000"/>
          <w:sz w:val="32"/>
          <w:szCs w:val="32"/>
        </w:rPr>
        <w:t>占0</w:t>
      </w:r>
      <w:r>
        <w:rPr>
          <w:rFonts w:eastAsia="仿宋_GB2312"/>
          <w:color w:val="000000"/>
          <w:sz w:val="32"/>
          <w:szCs w:val="32"/>
        </w:rPr>
        <w:t>.7%（见表</w:t>
      </w:r>
      <w:r>
        <w:rPr>
          <w:rFonts w:hint="eastAsia" w:eastAsia="仿宋_GB2312"/>
          <w:color w:val="000000"/>
          <w:sz w:val="32"/>
          <w:szCs w:val="32"/>
          <w:lang w:val="en-US" w:eastAsia="zh-CN"/>
        </w:rPr>
        <w:t>25</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25</w:t>
      </w:r>
      <w:r>
        <w:rPr>
          <w:rFonts w:hint="eastAsia" w:eastAsia="宋体"/>
        </w:rPr>
        <w:t>：</w:t>
      </w:r>
      <w:r>
        <w:rPr>
          <w:rFonts w:hint="eastAsia" w:eastAsia="宋体"/>
          <w:lang w:eastAsia="zh-CN"/>
        </w:rPr>
        <w:t>2023年</w:t>
      </w:r>
      <w:r>
        <w:rPr>
          <w:rFonts w:eastAsia="宋体"/>
        </w:rPr>
        <w:t>样本企业产业分布</w:t>
      </w:r>
    </w:p>
    <w:p>
      <w:pPr>
        <w:ind w:right="964" w:firstLine="6505" w:firstLineChars="2700"/>
        <w:rPr>
          <w:b/>
          <w:sz w:val="24"/>
        </w:rPr>
      </w:pPr>
      <w:r>
        <w:rPr>
          <w:b/>
          <w:sz w:val="24"/>
        </w:rPr>
        <w:t>单位：%</w:t>
      </w:r>
    </w:p>
    <w:tbl>
      <w:tblPr>
        <w:tblStyle w:val="13"/>
        <w:tblW w:w="5780" w:type="dxa"/>
        <w:jc w:val="center"/>
        <w:tblLayout w:type="autofit"/>
        <w:tblCellMar>
          <w:top w:w="0" w:type="dxa"/>
          <w:left w:w="108" w:type="dxa"/>
          <w:bottom w:w="0" w:type="dxa"/>
          <w:right w:w="108" w:type="dxa"/>
        </w:tblCellMar>
      </w:tblPr>
      <w:tblGrid>
        <w:gridCol w:w="540"/>
        <w:gridCol w:w="1520"/>
        <w:gridCol w:w="880"/>
        <w:gridCol w:w="880"/>
        <w:gridCol w:w="1000"/>
        <w:gridCol w:w="960"/>
      </w:tblGrid>
      <w:tr>
        <w:tblPrEx>
          <w:tblCellMar>
            <w:top w:w="0" w:type="dxa"/>
            <w:left w:w="108" w:type="dxa"/>
            <w:bottom w:w="0" w:type="dxa"/>
            <w:right w:w="108" w:type="dxa"/>
          </w:tblCellMar>
        </w:tblPrEx>
        <w:trPr>
          <w:trHeight w:val="585" w:hRule="atLeast"/>
          <w:jc w:val="center"/>
        </w:trPr>
        <w:tc>
          <w:tcPr>
            <w:tcW w:w="2060" w:type="dxa"/>
            <w:gridSpan w:val="2"/>
            <w:tcBorders>
              <w:top w:val="single" w:color="auto" w:sz="8" w:space="0"/>
              <w:left w:val="nil"/>
              <w:bottom w:val="single" w:color="auto" w:sz="8" w:space="0"/>
              <w:right w:val="single" w:color="000000" w:sz="8" w:space="0"/>
            </w:tcBorders>
            <w:shd w:val="clear" w:color="auto" w:fill="92CDDC" w:themeFill="accent5" w:themeFillTint="99"/>
            <w:noWrap w:val="0"/>
            <w:vAlign w:val="center"/>
          </w:tcPr>
          <w:p>
            <w:pPr>
              <w:widowControl/>
              <w:jc w:val="center"/>
              <w:rPr>
                <w:rFonts w:ascii="Times New Roman" w:hAnsi="Times New Roman" w:cs="Times New Roman"/>
                <w:b/>
                <w:bCs/>
                <w:color w:val="000000"/>
                <w:kern w:val="0"/>
                <w:sz w:val="24"/>
              </w:rPr>
            </w:pPr>
            <w:r>
              <w:rPr>
                <w:rFonts w:hint="default" w:ascii="Times New Roman" w:hAnsi="Times New Roman" w:cs="Times New Roman"/>
                <w:b/>
                <w:bCs/>
                <w:color w:val="000000"/>
                <w:kern w:val="0"/>
                <w:sz w:val="24"/>
              </w:rPr>
              <w:t>产业</w:t>
            </w:r>
          </w:p>
        </w:tc>
        <w:tc>
          <w:tcPr>
            <w:tcW w:w="88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1季度</w:t>
            </w:r>
          </w:p>
        </w:tc>
        <w:tc>
          <w:tcPr>
            <w:tcW w:w="88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2季度</w:t>
            </w:r>
          </w:p>
        </w:tc>
        <w:tc>
          <w:tcPr>
            <w:tcW w:w="100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3季度</w:t>
            </w:r>
          </w:p>
        </w:tc>
        <w:tc>
          <w:tcPr>
            <w:tcW w:w="960" w:type="dxa"/>
            <w:tcBorders>
              <w:top w:val="single" w:color="auto" w:sz="8" w:space="0"/>
              <w:left w:val="nil"/>
              <w:bottom w:val="single" w:color="auto" w:sz="8" w:space="0"/>
              <w:right w:val="nil"/>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4季度</w:t>
            </w:r>
          </w:p>
        </w:tc>
      </w:tr>
      <w:tr>
        <w:tblPrEx>
          <w:tblCellMar>
            <w:top w:w="0" w:type="dxa"/>
            <w:left w:w="108" w:type="dxa"/>
            <w:bottom w:w="0" w:type="dxa"/>
            <w:right w:w="108" w:type="dxa"/>
          </w:tblCellMar>
        </w:tblPrEx>
        <w:trPr>
          <w:trHeight w:val="288" w:hRule="atLeast"/>
          <w:jc w:val="center"/>
        </w:trPr>
        <w:tc>
          <w:tcPr>
            <w:tcW w:w="2060"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第一产业</w:t>
            </w:r>
          </w:p>
        </w:tc>
        <w:tc>
          <w:tcPr>
            <w:tcW w:w="88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0.7 </w:t>
            </w:r>
          </w:p>
        </w:tc>
        <w:tc>
          <w:tcPr>
            <w:tcW w:w="88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0.7 </w:t>
            </w:r>
          </w:p>
        </w:tc>
        <w:tc>
          <w:tcPr>
            <w:tcW w:w="100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0.7 </w:t>
            </w:r>
          </w:p>
        </w:tc>
        <w:tc>
          <w:tcPr>
            <w:tcW w:w="960" w:type="dxa"/>
            <w:tcBorders>
              <w:top w:val="nil"/>
              <w:left w:val="nil"/>
              <w:bottom w:val="single" w:color="auto" w:sz="8" w:space="0"/>
              <w:right w:val="nil"/>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0.7 </w:t>
            </w:r>
          </w:p>
        </w:tc>
      </w:tr>
      <w:tr>
        <w:tblPrEx>
          <w:tblCellMar>
            <w:top w:w="0" w:type="dxa"/>
            <w:left w:w="108" w:type="dxa"/>
            <w:bottom w:w="0" w:type="dxa"/>
            <w:right w:w="108" w:type="dxa"/>
          </w:tblCellMar>
        </w:tblPrEx>
        <w:trPr>
          <w:trHeight w:val="288" w:hRule="atLeast"/>
          <w:jc w:val="center"/>
        </w:trPr>
        <w:tc>
          <w:tcPr>
            <w:tcW w:w="2060"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第二产业</w:t>
            </w:r>
          </w:p>
        </w:tc>
        <w:tc>
          <w:tcPr>
            <w:tcW w:w="88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65.0 </w:t>
            </w:r>
          </w:p>
        </w:tc>
        <w:tc>
          <w:tcPr>
            <w:tcW w:w="88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65.7 </w:t>
            </w:r>
          </w:p>
        </w:tc>
        <w:tc>
          <w:tcPr>
            <w:tcW w:w="100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65.7 </w:t>
            </w:r>
          </w:p>
        </w:tc>
        <w:tc>
          <w:tcPr>
            <w:tcW w:w="960" w:type="dxa"/>
            <w:tcBorders>
              <w:top w:val="nil"/>
              <w:left w:val="nil"/>
              <w:bottom w:val="single" w:color="auto" w:sz="8" w:space="0"/>
              <w:right w:val="nil"/>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65.7 </w:t>
            </w:r>
          </w:p>
        </w:tc>
      </w:tr>
      <w:tr>
        <w:tblPrEx>
          <w:tblCellMar>
            <w:top w:w="0" w:type="dxa"/>
            <w:left w:w="108" w:type="dxa"/>
            <w:bottom w:w="0" w:type="dxa"/>
            <w:right w:w="108" w:type="dxa"/>
          </w:tblCellMar>
        </w:tblPrEx>
        <w:trPr>
          <w:trHeight w:val="288" w:hRule="atLeast"/>
          <w:jc w:val="center"/>
        </w:trPr>
        <w:tc>
          <w:tcPr>
            <w:tcW w:w="2060"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第三产业</w:t>
            </w:r>
          </w:p>
        </w:tc>
        <w:tc>
          <w:tcPr>
            <w:tcW w:w="88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34.3 </w:t>
            </w:r>
          </w:p>
        </w:tc>
        <w:tc>
          <w:tcPr>
            <w:tcW w:w="88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33.6 </w:t>
            </w:r>
          </w:p>
        </w:tc>
        <w:tc>
          <w:tcPr>
            <w:tcW w:w="100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33.6 </w:t>
            </w:r>
          </w:p>
        </w:tc>
        <w:tc>
          <w:tcPr>
            <w:tcW w:w="960" w:type="dxa"/>
            <w:tcBorders>
              <w:top w:val="nil"/>
              <w:left w:val="nil"/>
              <w:bottom w:val="single" w:color="auto" w:sz="8" w:space="0"/>
              <w:right w:val="nil"/>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33.6 </w:t>
            </w:r>
          </w:p>
        </w:tc>
      </w:tr>
      <w:tr>
        <w:tblPrEx>
          <w:tblCellMar>
            <w:top w:w="0" w:type="dxa"/>
            <w:left w:w="108" w:type="dxa"/>
            <w:bottom w:w="0" w:type="dxa"/>
            <w:right w:w="108" w:type="dxa"/>
          </w:tblCellMar>
        </w:tblPrEx>
        <w:trPr>
          <w:trHeight w:val="288" w:hRule="atLeast"/>
          <w:jc w:val="center"/>
        </w:trPr>
        <w:tc>
          <w:tcPr>
            <w:tcW w:w="540" w:type="dxa"/>
            <w:vMerge w:val="restart"/>
            <w:tcBorders>
              <w:top w:val="nil"/>
              <w:left w:val="nil"/>
              <w:bottom w:val="single" w:color="000000"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合计</w:t>
            </w:r>
          </w:p>
        </w:tc>
        <w:tc>
          <w:tcPr>
            <w:tcW w:w="15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百分比</w:t>
            </w:r>
          </w:p>
        </w:tc>
        <w:tc>
          <w:tcPr>
            <w:tcW w:w="8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100.0</w:t>
            </w:r>
          </w:p>
        </w:tc>
        <w:tc>
          <w:tcPr>
            <w:tcW w:w="880" w:type="dxa"/>
            <w:tcBorders>
              <w:top w:val="nil"/>
              <w:left w:val="nil"/>
              <w:bottom w:val="single" w:color="auto" w:sz="8" w:space="0"/>
              <w:right w:val="nil"/>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100.0</w:t>
            </w:r>
          </w:p>
        </w:tc>
        <w:tc>
          <w:tcPr>
            <w:tcW w:w="1000" w:type="dxa"/>
            <w:tcBorders>
              <w:top w:val="nil"/>
              <w:left w:val="single" w:color="auto" w:sz="8" w:space="0"/>
              <w:bottom w:val="single" w:color="auto" w:sz="8" w:space="0"/>
              <w:right w:val="nil"/>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100.0</w:t>
            </w:r>
          </w:p>
        </w:tc>
        <w:tc>
          <w:tcPr>
            <w:tcW w:w="960" w:type="dxa"/>
            <w:tcBorders>
              <w:top w:val="nil"/>
              <w:left w:val="single" w:color="auto" w:sz="8" w:space="0"/>
              <w:bottom w:val="single" w:color="auto" w:sz="8" w:space="0"/>
              <w:right w:val="nil"/>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100.0</w:t>
            </w:r>
          </w:p>
        </w:tc>
      </w:tr>
      <w:tr>
        <w:tblPrEx>
          <w:tblCellMar>
            <w:top w:w="0" w:type="dxa"/>
            <w:left w:w="108" w:type="dxa"/>
            <w:bottom w:w="0" w:type="dxa"/>
            <w:right w:w="108" w:type="dxa"/>
          </w:tblCellMar>
        </w:tblPrEx>
        <w:trPr>
          <w:trHeight w:val="341" w:hRule="atLeast"/>
          <w:jc w:val="center"/>
        </w:trPr>
        <w:tc>
          <w:tcPr>
            <w:tcW w:w="540" w:type="dxa"/>
            <w:vMerge w:val="continue"/>
            <w:tcBorders>
              <w:top w:val="nil"/>
              <w:left w:val="nil"/>
              <w:bottom w:val="single" w:color="000000" w:sz="8" w:space="0"/>
              <w:right w:val="single" w:color="auto" w:sz="8" w:space="0"/>
            </w:tcBorders>
            <w:noWrap w:val="0"/>
            <w:vAlign w:val="center"/>
          </w:tcPr>
          <w:p>
            <w:pPr>
              <w:widowControl/>
              <w:jc w:val="center"/>
              <w:rPr>
                <w:rFonts w:ascii="Times New Roman" w:hAnsi="Times New Roman" w:cs="Times New Roman"/>
                <w:b/>
                <w:bCs/>
                <w:color w:val="000000"/>
                <w:kern w:val="0"/>
                <w:szCs w:val="21"/>
              </w:rPr>
            </w:pPr>
          </w:p>
        </w:tc>
        <w:tc>
          <w:tcPr>
            <w:tcW w:w="15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企业个数（个）</w:t>
            </w:r>
          </w:p>
        </w:tc>
        <w:tc>
          <w:tcPr>
            <w:tcW w:w="8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c>
          <w:tcPr>
            <w:tcW w:w="8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c>
          <w:tcPr>
            <w:tcW w:w="100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c>
          <w:tcPr>
            <w:tcW w:w="960" w:type="dxa"/>
            <w:tcBorders>
              <w:top w:val="nil"/>
              <w:left w:val="nil"/>
              <w:bottom w:val="single" w:color="auto" w:sz="8" w:space="0"/>
              <w:right w:val="nil"/>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r>
    </w:tbl>
    <w:p>
      <w:pPr>
        <w:pStyle w:val="37"/>
        <w:numPr>
          <w:ilvl w:val="0"/>
          <w:numId w:val="0"/>
        </w:numPr>
        <w:spacing w:before="156"/>
        <w:ind w:firstLine="640" w:firstLineChars="200"/>
        <w:rPr>
          <w:rFonts w:hint="eastAsia" w:ascii="楷体_GB2312" w:hAnsi="楷体_GB2312" w:eastAsia="楷体_GB2312" w:cs="楷体_GB2312"/>
          <w:b w:val="0"/>
          <w:bCs w:val="0"/>
        </w:rPr>
      </w:pPr>
      <w:bookmarkStart w:id="30" w:name="_Toc21281"/>
      <w:r>
        <w:rPr>
          <w:rFonts w:hint="eastAsia" w:ascii="楷体_GB2312" w:hAnsi="楷体_GB2312" w:eastAsia="楷体_GB2312" w:cs="楷体_GB2312"/>
          <w:b w:val="0"/>
          <w:bCs w:val="0"/>
        </w:rPr>
        <w:t>（二）单位类型分布</w:t>
      </w:r>
      <w:bookmarkEnd w:id="30"/>
    </w:p>
    <w:p>
      <w:pPr>
        <w:ind w:firstLine="643" w:firstLineChars="200"/>
        <w:rPr>
          <w:rFonts w:eastAsia="仿宋"/>
          <w:b/>
          <w:sz w:val="32"/>
          <w:szCs w:val="32"/>
        </w:rPr>
      </w:pPr>
      <w:r>
        <w:rPr>
          <w:rFonts w:eastAsia="仿宋"/>
          <w:b/>
          <w:sz w:val="32"/>
          <w:szCs w:val="32"/>
        </w:rPr>
        <w:t>1.内资企业占比最高</w:t>
      </w:r>
    </w:p>
    <w:p>
      <w:pPr>
        <w:ind w:firstLine="640" w:firstLineChars="200"/>
        <w:rPr>
          <w:rFonts w:eastAsia="仿宋_GB2312"/>
          <w:color w:val="000000"/>
          <w:sz w:val="32"/>
          <w:szCs w:val="32"/>
        </w:rPr>
      </w:pPr>
      <w:r>
        <w:rPr>
          <w:rFonts w:eastAsia="仿宋_GB2312"/>
          <w:color w:val="000000"/>
          <w:sz w:val="32"/>
          <w:szCs w:val="32"/>
        </w:rPr>
        <w:t>从单位类型</w:t>
      </w:r>
      <w:r>
        <w:rPr>
          <w:rFonts w:hint="default" w:eastAsia="仿宋_GB2312"/>
          <w:color w:val="000000"/>
          <w:sz w:val="32"/>
          <w:szCs w:val="32"/>
        </w:rPr>
        <w:t>（</w:t>
      </w:r>
      <w:r>
        <w:rPr>
          <w:rFonts w:eastAsia="仿宋_GB2312"/>
          <w:color w:val="000000"/>
          <w:sz w:val="32"/>
          <w:szCs w:val="32"/>
        </w:rPr>
        <w:t>一级</w:t>
      </w:r>
      <w:r>
        <w:rPr>
          <w:rFonts w:hint="default" w:eastAsia="仿宋_GB2312"/>
          <w:color w:val="000000"/>
          <w:sz w:val="32"/>
          <w:szCs w:val="32"/>
        </w:rPr>
        <w:t>）</w:t>
      </w:r>
      <w:r>
        <w:rPr>
          <w:rFonts w:eastAsia="仿宋_GB2312"/>
          <w:color w:val="000000"/>
          <w:sz w:val="32"/>
          <w:szCs w:val="32"/>
        </w:rPr>
        <w:t>来看，</w:t>
      </w:r>
      <w:r>
        <w:rPr>
          <w:rFonts w:hint="default" w:eastAsia="仿宋_GB2312"/>
          <w:color w:val="000000"/>
          <w:sz w:val="32"/>
          <w:szCs w:val="32"/>
          <w:lang w:eastAsia="zh-CN"/>
        </w:rPr>
        <w:t>2023年</w:t>
      </w:r>
      <w:r>
        <w:rPr>
          <w:rFonts w:hint="default" w:eastAsia="仿宋_GB2312"/>
          <w:color w:val="000000"/>
          <w:sz w:val="32"/>
          <w:szCs w:val="32"/>
        </w:rPr>
        <w:t>样本企业中</w:t>
      </w:r>
      <w:r>
        <w:rPr>
          <w:rFonts w:eastAsia="仿宋_GB2312"/>
          <w:color w:val="000000"/>
          <w:sz w:val="32"/>
          <w:szCs w:val="32"/>
        </w:rPr>
        <w:t>，内资企业占比最高，</w:t>
      </w:r>
      <w:r>
        <w:rPr>
          <w:rFonts w:hint="default" w:eastAsia="仿宋_GB2312"/>
          <w:color w:val="000000"/>
          <w:sz w:val="32"/>
          <w:szCs w:val="32"/>
          <w:lang w:val="en-US" w:eastAsia="zh-CN"/>
        </w:rPr>
        <w:t>约占90</w:t>
      </w:r>
      <w:r>
        <w:rPr>
          <w:rFonts w:eastAsia="仿宋_GB2312"/>
          <w:color w:val="000000"/>
          <w:sz w:val="32"/>
          <w:szCs w:val="32"/>
        </w:rPr>
        <w:t>%；</w:t>
      </w:r>
      <w:r>
        <w:rPr>
          <w:rFonts w:hint="default" w:eastAsia="仿宋_GB2312"/>
          <w:color w:val="000000"/>
          <w:sz w:val="32"/>
          <w:szCs w:val="32"/>
        </w:rPr>
        <w:t>其次为</w:t>
      </w:r>
      <w:r>
        <w:rPr>
          <w:rFonts w:eastAsia="仿宋_GB2312"/>
          <w:color w:val="000000"/>
          <w:sz w:val="32"/>
          <w:szCs w:val="32"/>
        </w:rPr>
        <w:t>港、澳、台商投资企业</w:t>
      </w:r>
      <w:r>
        <w:rPr>
          <w:rFonts w:hint="default" w:eastAsia="仿宋_GB2312"/>
          <w:color w:val="000000"/>
          <w:sz w:val="32"/>
          <w:szCs w:val="32"/>
        </w:rPr>
        <w:t>，</w:t>
      </w:r>
      <w:r>
        <w:rPr>
          <w:rFonts w:hint="default" w:eastAsia="仿宋_GB2312"/>
          <w:color w:val="000000"/>
          <w:sz w:val="32"/>
          <w:szCs w:val="32"/>
          <w:lang w:val="en-US" w:eastAsia="zh-CN"/>
        </w:rPr>
        <w:t>约占8</w:t>
      </w:r>
      <w:r>
        <w:rPr>
          <w:rFonts w:hint="default" w:eastAsia="仿宋_GB2312"/>
          <w:color w:val="000000"/>
          <w:sz w:val="32"/>
          <w:szCs w:val="32"/>
        </w:rPr>
        <w:t>%</w:t>
      </w:r>
      <w:r>
        <w:rPr>
          <w:rFonts w:eastAsia="仿宋_GB2312"/>
          <w:color w:val="000000"/>
          <w:sz w:val="32"/>
          <w:szCs w:val="32"/>
        </w:rPr>
        <w:t>；外商投资企业</w:t>
      </w:r>
      <w:r>
        <w:rPr>
          <w:rFonts w:hint="default" w:eastAsia="仿宋_GB2312"/>
          <w:color w:val="000000"/>
          <w:sz w:val="32"/>
          <w:szCs w:val="32"/>
        </w:rPr>
        <w:t>占比为2.1%</w:t>
      </w:r>
      <w:r>
        <w:rPr>
          <w:rFonts w:eastAsia="仿宋_GB2312"/>
          <w:color w:val="000000"/>
          <w:sz w:val="32"/>
          <w:szCs w:val="32"/>
        </w:rPr>
        <w:t>（见表</w:t>
      </w:r>
      <w:r>
        <w:rPr>
          <w:rFonts w:hint="eastAsia" w:eastAsia="仿宋_GB2312"/>
          <w:color w:val="000000"/>
          <w:sz w:val="32"/>
          <w:szCs w:val="32"/>
          <w:lang w:val="en-US" w:eastAsia="zh-CN"/>
        </w:rPr>
        <w:t>26</w:t>
      </w:r>
      <w:r>
        <w:rPr>
          <w:rFonts w:eastAsia="仿宋_GB2312"/>
          <w:color w:val="000000"/>
          <w:sz w:val="32"/>
          <w:szCs w:val="32"/>
        </w:rPr>
        <w:t>）。</w:t>
      </w:r>
    </w:p>
    <w:p>
      <w:pPr>
        <w:pStyle w:val="42"/>
        <w:numPr>
          <w:ilvl w:val="0"/>
          <w:numId w:val="0"/>
        </w:numPr>
        <w:rPr>
          <w:rFonts w:hint="eastAsia" w:eastAsia="宋体"/>
        </w:rPr>
      </w:pPr>
    </w:p>
    <w:p>
      <w:pPr>
        <w:pStyle w:val="42"/>
        <w:numPr>
          <w:ilvl w:val="0"/>
          <w:numId w:val="0"/>
        </w:numPr>
        <w:rPr>
          <w:rFonts w:eastAsia="宋体"/>
        </w:rPr>
      </w:pPr>
      <w:r>
        <w:rPr>
          <w:rFonts w:hint="eastAsia" w:eastAsia="宋体"/>
        </w:rPr>
        <w:t>表2</w:t>
      </w:r>
      <w:r>
        <w:rPr>
          <w:rFonts w:hint="eastAsia" w:eastAsia="宋体"/>
          <w:lang w:val="en-US" w:eastAsia="zh-CN"/>
        </w:rPr>
        <w:t>6</w:t>
      </w:r>
      <w:r>
        <w:rPr>
          <w:rFonts w:hint="eastAsia" w:eastAsia="宋体"/>
        </w:rPr>
        <w:t>：</w:t>
      </w:r>
      <w:r>
        <w:rPr>
          <w:rFonts w:hint="eastAsia" w:eastAsia="宋体"/>
          <w:lang w:eastAsia="zh-CN"/>
        </w:rPr>
        <w:t>2023年</w:t>
      </w:r>
      <w:r>
        <w:rPr>
          <w:rFonts w:eastAsia="宋体"/>
        </w:rPr>
        <w:t>样本企业按单位类型（一级）分布</w:t>
      </w:r>
    </w:p>
    <w:p>
      <w:pPr>
        <w:ind w:right="964"/>
        <w:jc w:val="right"/>
        <w:rPr>
          <w:b/>
          <w:sz w:val="24"/>
        </w:rPr>
      </w:pPr>
      <w:r>
        <w:rPr>
          <w:b/>
          <w:sz w:val="24"/>
        </w:rPr>
        <w:t>单位：%</w:t>
      </w:r>
    </w:p>
    <w:tbl>
      <w:tblPr>
        <w:tblStyle w:val="13"/>
        <w:tblW w:w="7240" w:type="dxa"/>
        <w:jc w:val="center"/>
        <w:tblLayout w:type="autofit"/>
        <w:tblCellMar>
          <w:top w:w="0" w:type="dxa"/>
          <w:left w:w="108" w:type="dxa"/>
          <w:bottom w:w="0" w:type="dxa"/>
          <w:right w:w="108" w:type="dxa"/>
        </w:tblCellMar>
      </w:tblPr>
      <w:tblGrid>
        <w:gridCol w:w="1760"/>
        <w:gridCol w:w="1760"/>
        <w:gridCol w:w="880"/>
        <w:gridCol w:w="880"/>
        <w:gridCol w:w="1000"/>
        <w:gridCol w:w="960"/>
      </w:tblGrid>
      <w:tr>
        <w:tblPrEx>
          <w:tblCellMar>
            <w:top w:w="0" w:type="dxa"/>
            <w:left w:w="108" w:type="dxa"/>
            <w:bottom w:w="0" w:type="dxa"/>
            <w:right w:w="108" w:type="dxa"/>
          </w:tblCellMar>
        </w:tblPrEx>
        <w:trPr>
          <w:trHeight w:val="624" w:hRule="atLeast"/>
          <w:jc w:val="center"/>
        </w:trPr>
        <w:tc>
          <w:tcPr>
            <w:tcW w:w="3520" w:type="dxa"/>
            <w:gridSpan w:val="2"/>
            <w:tcBorders>
              <w:top w:val="single" w:color="auto" w:sz="8" w:space="0"/>
              <w:left w:val="nil"/>
              <w:bottom w:val="single" w:color="auto" w:sz="8" w:space="0"/>
              <w:right w:val="single" w:color="000000" w:sz="8" w:space="0"/>
            </w:tcBorders>
            <w:shd w:val="clear" w:color="auto" w:fill="92CDDC" w:themeFill="accent5" w:themeFillTint="99"/>
            <w:noWrap w:val="0"/>
            <w:vAlign w:val="center"/>
          </w:tcPr>
          <w:p>
            <w:pPr>
              <w:widowControl/>
              <w:jc w:val="center"/>
              <w:rPr>
                <w:rFonts w:ascii="Times New Roman" w:hAnsi="Times New Roman" w:cs="Times New Roman"/>
                <w:b/>
                <w:bCs/>
                <w:color w:val="000000"/>
                <w:kern w:val="0"/>
                <w:sz w:val="24"/>
              </w:rPr>
            </w:pPr>
            <w:r>
              <w:rPr>
                <w:rFonts w:hint="default" w:ascii="Times New Roman" w:hAnsi="Times New Roman" w:cs="Times New Roman"/>
                <w:b/>
                <w:bCs/>
                <w:color w:val="000000"/>
                <w:kern w:val="0"/>
                <w:sz w:val="24"/>
              </w:rPr>
              <w:t>单位类型（一级）</w:t>
            </w:r>
          </w:p>
        </w:tc>
        <w:tc>
          <w:tcPr>
            <w:tcW w:w="88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1季度</w:t>
            </w:r>
          </w:p>
        </w:tc>
        <w:tc>
          <w:tcPr>
            <w:tcW w:w="88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2季度</w:t>
            </w:r>
          </w:p>
        </w:tc>
        <w:tc>
          <w:tcPr>
            <w:tcW w:w="100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3季度</w:t>
            </w:r>
          </w:p>
        </w:tc>
        <w:tc>
          <w:tcPr>
            <w:tcW w:w="960" w:type="dxa"/>
            <w:tcBorders>
              <w:top w:val="single" w:color="auto" w:sz="8" w:space="0"/>
              <w:left w:val="nil"/>
              <w:bottom w:val="single" w:color="auto" w:sz="8" w:space="0"/>
              <w:right w:val="nil"/>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4季度</w:t>
            </w:r>
          </w:p>
        </w:tc>
      </w:tr>
      <w:tr>
        <w:tblPrEx>
          <w:tblCellMar>
            <w:top w:w="0" w:type="dxa"/>
            <w:left w:w="108" w:type="dxa"/>
            <w:bottom w:w="0" w:type="dxa"/>
            <w:right w:w="108" w:type="dxa"/>
          </w:tblCellMar>
        </w:tblPrEx>
        <w:trPr>
          <w:trHeight w:val="288" w:hRule="atLeast"/>
          <w:jc w:val="center"/>
        </w:trPr>
        <w:tc>
          <w:tcPr>
            <w:tcW w:w="3520"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内资企业</w:t>
            </w:r>
          </w:p>
        </w:tc>
        <w:tc>
          <w:tcPr>
            <w:tcW w:w="88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90.8 </w:t>
            </w:r>
          </w:p>
        </w:tc>
        <w:tc>
          <w:tcPr>
            <w:tcW w:w="88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90.8 </w:t>
            </w:r>
          </w:p>
        </w:tc>
        <w:tc>
          <w:tcPr>
            <w:tcW w:w="100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89.3 </w:t>
            </w:r>
          </w:p>
        </w:tc>
        <w:tc>
          <w:tcPr>
            <w:tcW w:w="960" w:type="dxa"/>
            <w:tcBorders>
              <w:top w:val="nil"/>
              <w:left w:val="nil"/>
              <w:bottom w:val="single" w:color="auto" w:sz="8" w:space="0"/>
              <w:right w:val="nil"/>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89.3 </w:t>
            </w:r>
          </w:p>
        </w:tc>
      </w:tr>
      <w:tr>
        <w:tblPrEx>
          <w:tblCellMar>
            <w:top w:w="0" w:type="dxa"/>
            <w:left w:w="108" w:type="dxa"/>
            <w:bottom w:w="0" w:type="dxa"/>
            <w:right w:w="108" w:type="dxa"/>
          </w:tblCellMar>
        </w:tblPrEx>
        <w:trPr>
          <w:trHeight w:val="288" w:hRule="atLeast"/>
          <w:jc w:val="center"/>
        </w:trPr>
        <w:tc>
          <w:tcPr>
            <w:tcW w:w="3520"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外商投资企业</w:t>
            </w:r>
          </w:p>
        </w:tc>
        <w:tc>
          <w:tcPr>
            <w:tcW w:w="88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2.1 </w:t>
            </w:r>
          </w:p>
        </w:tc>
        <w:tc>
          <w:tcPr>
            <w:tcW w:w="88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2.1 </w:t>
            </w:r>
          </w:p>
        </w:tc>
        <w:tc>
          <w:tcPr>
            <w:tcW w:w="100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2.1 </w:t>
            </w:r>
          </w:p>
        </w:tc>
        <w:tc>
          <w:tcPr>
            <w:tcW w:w="960" w:type="dxa"/>
            <w:tcBorders>
              <w:top w:val="nil"/>
              <w:left w:val="nil"/>
              <w:bottom w:val="single" w:color="auto" w:sz="8" w:space="0"/>
              <w:right w:val="nil"/>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2.1 </w:t>
            </w:r>
          </w:p>
        </w:tc>
      </w:tr>
      <w:tr>
        <w:tblPrEx>
          <w:tblCellMar>
            <w:top w:w="0" w:type="dxa"/>
            <w:left w:w="108" w:type="dxa"/>
            <w:bottom w:w="0" w:type="dxa"/>
            <w:right w:w="108" w:type="dxa"/>
          </w:tblCellMar>
        </w:tblPrEx>
        <w:trPr>
          <w:trHeight w:val="288" w:hRule="atLeast"/>
          <w:jc w:val="center"/>
        </w:trPr>
        <w:tc>
          <w:tcPr>
            <w:tcW w:w="3520"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港、澳、台商投资企业</w:t>
            </w:r>
          </w:p>
        </w:tc>
        <w:tc>
          <w:tcPr>
            <w:tcW w:w="88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7.1 </w:t>
            </w:r>
          </w:p>
        </w:tc>
        <w:tc>
          <w:tcPr>
            <w:tcW w:w="88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7.1 </w:t>
            </w:r>
          </w:p>
        </w:tc>
        <w:tc>
          <w:tcPr>
            <w:tcW w:w="100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8.6 </w:t>
            </w:r>
          </w:p>
        </w:tc>
        <w:tc>
          <w:tcPr>
            <w:tcW w:w="960" w:type="dxa"/>
            <w:tcBorders>
              <w:top w:val="nil"/>
              <w:left w:val="nil"/>
              <w:bottom w:val="single" w:color="auto" w:sz="8" w:space="0"/>
              <w:right w:val="nil"/>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8.6 </w:t>
            </w:r>
          </w:p>
        </w:tc>
      </w:tr>
      <w:tr>
        <w:tblPrEx>
          <w:tblCellMar>
            <w:top w:w="0" w:type="dxa"/>
            <w:left w:w="108" w:type="dxa"/>
            <w:bottom w:w="0" w:type="dxa"/>
            <w:right w:w="108" w:type="dxa"/>
          </w:tblCellMar>
        </w:tblPrEx>
        <w:trPr>
          <w:trHeight w:val="288" w:hRule="atLeast"/>
          <w:jc w:val="center"/>
        </w:trPr>
        <w:tc>
          <w:tcPr>
            <w:tcW w:w="1760" w:type="dxa"/>
            <w:vMerge w:val="restart"/>
            <w:tcBorders>
              <w:top w:val="nil"/>
              <w:left w:val="nil"/>
              <w:bottom w:val="single" w:color="000000"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合计</w:t>
            </w:r>
          </w:p>
        </w:tc>
        <w:tc>
          <w:tcPr>
            <w:tcW w:w="176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百分比</w:t>
            </w:r>
          </w:p>
        </w:tc>
        <w:tc>
          <w:tcPr>
            <w:tcW w:w="8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100.0</w:t>
            </w:r>
          </w:p>
        </w:tc>
        <w:tc>
          <w:tcPr>
            <w:tcW w:w="8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100.0</w:t>
            </w:r>
          </w:p>
        </w:tc>
        <w:tc>
          <w:tcPr>
            <w:tcW w:w="100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100.0</w:t>
            </w:r>
          </w:p>
        </w:tc>
        <w:tc>
          <w:tcPr>
            <w:tcW w:w="960" w:type="dxa"/>
            <w:tcBorders>
              <w:top w:val="nil"/>
              <w:left w:val="nil"/>
              <w:bottom w:val="single" w:color="auto" w:sz="8" w:space="0"/>
              <w:right w:val="nil"/>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100.0</w:t>
            </w:r>
          </w:p>
        </w:tc>
      </w:tr>
      <w:tr>
        <w:tblPrEx>
          <w:tblCellMar>
            <w:top w:w="0" w:type="dxa"/>
            <w:left w:w="108" w:type="dxa"/>
            <w:bottom w:w="0" w:type="dxa"/>
            <w:right w:w="108" w:type="dxa"/>
          </w:tblCellMar>
        </w:tblPrEx>
        <w:trPr>
          <w:trHeight w:val="288" w:hRule="atLeast"/>
          <w:jc w:val="center"/>
        </w:trPr>
        <w:tc>
          <w:tcPr>
            <w:tcW w:w="1760" w:type="dxa"/>
            <w:vMerge w:val="continue"/>
            <w:tcBorders>
              <w:top w:val="nil"/>
              <w:left w:val="nil"/>
              <w:bottom w:val="single" w:color="000000" w:sz="8" w:space="0"/>
              <w:right w:val="single" w:color="auto" w:sz="8" w:space="0"/>
            </w:tcBorders>
            <w:noWrap w:val="0"/>
            <w:vAlign w:val="center"/>
          </w:tcPr>
          <w:p>
            <w:pPr>
              <w:widowControl/>
              <w:jc w:val="center"/>
              <w:rPr>
                <w:rFonts w:ascii="Times New Roman" w:hAnsi="Times New Roman" w:cs="Times New Roman"/>
                <w:b/>
                <w:bCs/>
                <w:color w:val="000000"/>
                <w:kern w:val="0"/>
                <w:szCs w:val="21"/>
              </w:rPr>
            </w:pPr>
          </w:p>
        </w:tc>
        <w:tc>
          <w:tcPr>
            <w:tcW w:w="176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企业个数（个）</w:t>
            </w:r>
          </w:p>
        </w:tc>
        <w:tc>
          <w:tcPr>
            <w:tcW w:w="8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c>
          <w:tcPr>
            <w:tcW w:w="8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c>
          <w:tcPr>
            <w:tcW w:w="100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c>
          <w:tcPr>
            <w:tcW w:w="960" w:type="dxa"/>
            <w:tcBorders>
              <w:top w:val="nil"/>
              <w:left w:val="nil"/>
              <w:bottom w:val="single" w:color="auto" w:sz="8" w:space="0"/>
              <w:right w:val="nil"/>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r>
    </w:tbl>
    <w:p>
      <w:pPr>
        <w:spacing w:before="156" w:beforeLines="50"/>
        <w:ind w:firstLine="643" w:firstLineChars="200"/>
        <w:rPr>
          <w:rFonts w:eastAsia="仿宋"/>
          <w:b/>
          <w:sz w:val="32"/>
          <w:szCs w:val="32"/>
        </w:rPr>
      </w:pPr>
      <w:r>
        <w:rPr>
          <w:rFonts w:eastAsia="仿宋"/>
          <w:b/>
          <w:sz w:val="32"/>
          <w:szCs w:val="32"/>
        </w:rPr>
        <w:t>2.</w:t>
      </w:r>
      <w:r>
        <w:rPr>
          <w:rFonts w:hint="eastAsia" w:eastAsia="仿宋"/>
          <w:b/>
          <w:sz w:val="32"/>
          <w:szCs w:val="32"/>
        </w:rPr>
        <w:t>私营</w:t>
      </w:r>
      <w:r>
        <w:rPr>
          <w:rFonts w:eastAsia="仿宋"/>
          <w:b/>
          <w:sz w:val="32"/>
          <w:szCs w:val="32"/>
        </w:rPr>
        <w:t>企业占比最高</w:t>
      </w:r>
    </w:p>
    <w:p>
      <w:pPr>
        <w:spacing w:before="0" w:beforeLines="-2147483648"/>
        <w:ind w:firstLine="640" w:firstLineChars="200"/>
        <w:rPr>
          <w:rFonts w:eastAsia="仿宋_GB2312"/>
          <w:color w:val="000000"/>
          <w:sz w:val="32"/>
          <w:szCs w:val="32"/>
        </w:rPr>
      </w:pPr>
      <w:r>
        <w:rPr>
          <w:rFonts w:eastAsia="仿宋_GB2312"/>
          <w:color w:val="000000"/>
          <w:sz w:val="32"/>
          <w:szCs w:val="32"/>
        </w:rPr>
        <w:t>从单位类型</w:t>
      </w:r>
      <w:r>
        <w:rPr>
          <w:rFonts w:hint="default" w:eastAsia="仿宋_GB2312"/>
          <w:color w:val="000000"/>
          <w:sz w:val="32"/>
          <w:szCs w:val="32"/>
        </w:rPr>
        <w:t>（</w:t>
      </w:r>
      <w:r>
        <w:rPr>
          <w:rFonts w:eastAsia="仿宋_GB2312"/>
          <w:color w:val="000000"/>
          <w:sz w:val="32"/>
          <w:szCs w:val="32"/>
        </w:rPr>
        <w:t>二级</w:t>
      </w:r>
      <w:r>
        <w:rPr>
          <w:rFonts w:hint="default" w:eastAsia="仿宋_GB2312"/>
          <w:color w:val="000000"/>
          <w:sz w:val="32"/>
          <w:szCs w:val="32"/>
        </w:rPr>
        <w:t>）</w:t>
      </w:r>
      <w:r>
        <w:rPr>
          <w:rFonts w:eastAsia="仿宋_GB2312"/>
          <w:color w:val="000000"/>
          <w:sz w:val="32"/>
          <w:szCs w:val="32"/>
        </w:rPr>
        <w:t>来看，</w:t>
      </w:r>
      <w:r>
        <w:rPr>
          <w:rFonts w:hint="default" w:eastAsia="仿宋_GB2312"/>
          <w:color w:val="000000"/>
          <w:sz w:val="32"/>
          <w:szCs w:val="32"/>
          <w:lang w:eastAsia="zh-CN"/>
        </w:rPr>
        <w:t>2023年</w:t>
      </w:r>
      <w:r>
        <w:rPr>
          <w:rFonts w:hint="default" w:eastAsia="仿宋_GB2312"/>
          <w:color w:val="000000"/>
          <w:sz w:val="32"/>
          <w:szCs w:val="32"/>
        </w:rPr>
        <w:t>样本企业中</w:t>
      </w:r>
      <w:r>
        <w:rPr>
          <w:rFonts w:eastAsia="仿宋_GB2312"/>
          <w:color w:val="000000"/>
          <w:sz w:val="32"/>
          <w:szCs w:val="32"/>
        </w:rPr>
        <w:t>，私营企业占比最高</w:t>
      </w:r>
      <w:r>
        <w:rPr>
          <w:rFonts w:hint="default" w:eastAsia="仿宋_GB2312"/>
          <w:color w:val="000000"/>
          <w:sz w:val="32"/>
          <w:szCs w:val="32"/>
        </w:rPr>
        <w:t>，</w:t>
      </w:r>
      <w:r>
        <w:rPr>
          <w:rFonts w:hint="default" w:eastAsia="仿宋_GB2312"/>
          <w:color w:val="000000"/>
          <w:sz w:val="32"/>
          <w:szCs w:val="32"/>
          <w:lang w:val="en-US" w:eastAsia="zh-CN"/>
        </w:rPr>
        <w:t>约占50</w:t>
      </w:r>
      <w:r>
        <w:rPr>
          <w:rFonts w:hint="default" w:eastAsia="仿宋_GB2312"/>
          <w:color w:val="000000"/>
          <w:sz w:val="32"/>
          <w:szCs w:val="32"/>
        </w:rPr>
        <w:t>%</w:t>
      </w:r>
      <w:r>
        <w:rPr>
          <w:rFonts w:eastAsia="仿宋_GB2312"/>
          <w:color w:val="000000"/>
          <w:sz w:val="32"/>
          <w:szCs w:val="32"/>
        </w:rPr>
        <w:t>；其次</w:t>
      </w:r>
      <w:r>
        <w:rPr>
          <w:rFonts w:hint="default" w:eastAsia="仿宋_GB2312"/>
          <w:color w:val="000000"/>
          <w:sz w:val="32"/>
          <w:szCs w:val="32"/>
        </w:rPr>
        <w:t>为</w:t>
      </w:r>
      <w:r>
        <w:rPr>
          <w:rFonts w:eastAsia="仿宋_GB2312"/>
          <w:color w:val="000000"/>
          <w:sz w:val="32"/>
          <w:szCs w:val="32"/>
        </w:rPr>
        <w:t>有限责任公司，</w:t>
      </w:r>
      <w:r>
        <w:rPr>
          <w:rFonts w:hint="default" w:eastAsia="仿宋_GB2312"/>
          <w:color w:val="000000"/>
          <w:sz w:val="32"/>
          <w:szCs w:val="32"/>
          <w:lang w:val="en-US" w:eastAsia="zh-CN"/>
        </w:rPr>
        <w:t>约占35</w:t>
      </w:r>
      <w:r>
        <w:rPr>
          <w:rFonts w:hint="default" w:eastAsia="仿宋_GB2312"/>
          <w:color w:val="000000"/>
          <w:sz w:val="32"/>
          <w:szCs w:val="32"/>
        </w:rPr>
        <w:t>%</w:t>
      </w:r>
      <w:r>
        <w:rPr>
          <w:rFonts w:eastAsia="仿宋_GB2312"/>
          <w:color w:val="000000"/>
          <w:sz w:val="32"/>
          <w:szCs w:val="32"/>
        </w:rPr>
        <w:t>；港、澳、台商独资经营企业，</w:t>
      </w:r>
      <w:r>
        <w:rPr>
          <w:rFonts w:hint="default" w:eastAsia="仿宋_GB2312"/>
          <w:color w:val="000000"/>
          <w:sz w:val="32"/>
          <w:szCs w:val="32"/>
        </w:rPr>
        <w:t>国有企业、</w:t>
      </w:r>
      <w:r>
        <w:rPr>
          <w:rFonts w:eastAsia="仿宋_GB2312"/>
          <w:color w:val="000000"/>
          <w:sz w:val="32"/>
          <w:szCs w:val="32"/>
        </w:rPr>
        <w:t>其他企业</w:t>
      </w:r>
      <w:r>
        <w:rPr>
          <w:rFonts w:hint="default" w:eastAsia="仿宋_GB2312"/>
          <w:color w:val="000000"/>
          <w:sz w:val="32"/>
          <w:szCs w:val="32"/>
        </w:rPr>
        <w:t>、</w:t>
      </w:r>
      <w:r>
        <w:rPr>
          <w:rFonts w:eastAsia="仿宋_GB2312"/>
          <w:color w:val="000000"/>
          <w:sz w:val="32"/>
          <w:szCs w:val="32"/>
        </w:rPr>
        <w:t>股份有限公司</w:t>
      </w:r>
      <w:r>
        <w:rPr>
          <w:rFonts w:hint="default" w:eastAsia="仿宋_GB2312"/>
          <w:color w:val="000000"/>
          <w:sz w:val="32"/>
          <w:szCs w:val="32"/>
        </w:rPr>
        <w:t>、合资经营企业（港或澳、台资）</w:t>
      </w:r>
      <w:r>
        <w:rPr>
          <w:rFonts w:hint="default" w:eastAsia="仿宋_GB2312"/>
          <w:color w:val="000000"/>
          <w:sz w:val="32"/>
          <w:szCs w:val="32"/>
          <w:lang w:eastAsia="zh-CN"/>
        </w:rPr>
        <w:t>、</w:t>
      </w:r>
      <w:r>
        <w:rPr>
          <w:rFonts w:hint="default" w:eastAsia="仿宋_GB2312"/>
          <w:color w:val="000000"/>
          <w:sz w:val="32"/>
          <w:szCs w:val="32"/>
        </w:rPr>
        <w:t>中外合资经营企业、外资企业、外商投资股份有限公司</w:t>
      </w:r>
      <w:r>
        <w:rPr>
          <w:rFonts w:eastAsia="仿宋_GB2312"/>
          <w:color w:val="000000"/>
          <w:sz w:val="32"/>
          <w:szCs w:val="32"/>
        </w:rPr>
        <w:t>等单位类型占比较</w:t>
      </w:r>
      <w:r>
        <w:rPr>
          <w:rFonts w:hint="default" w:eastAsia="仿宋_GB2312"/>
          <w:color w:val="000000"/>
          <w:sz w:val="32"/>
          <w:szCs w:val="32"/>
        </w:rPr>
        <w:t>低</w:t>
      </w:r>
      <w:r>
        <w:rPr>
          <w:rFonts w:eastAsia="仿宋_GB2312"/>
          <w:color w:val="000000"/>
          <w:sz w:val="32"/>
          <w:szCs w:val="32"/>
        </w:rPr>
        <w:t>（见表</w:t>
      </w:r>
      <w:r>
        <w:rPr>
          <w:rFonts w:hint="eastAsia" w:eastAsia="仿宋_GB2312"/>
          <w:color w:val="000000"/>
          <w:sz w:val="32"/>
          <w:szCs w:val="32"/>
          <w:lang w:val="en-US" w:eastAsia="zh-CN"/>
        </w:rPr>
        <w:t>27</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27</w:t>
      </w:r>
      <w:r>
        <w:rPr>
          <w:rFonts w:hint="eastAsia" w:eastAsia="宋体"/>
        </w:rPr>
        <w:t>：</w:t>
      </w:r>
      <w:r>
        <w:rPr>
          <w:rFonts w:hint="eastAsia" w:eastAsia="宋体"/>
          <w:lang w:eastAsia="zh-CN"/>
        </w:rPr>
        <w:t>2023年</w:t>
      </w:r>
      <w:r>
        <w:rPr>
          <w:rFonts w:eastAsia="宋体"/>
        </w:rPr>
        <w:t>样本企业按单位类型（二级）分布</w:t>
      </w:r>
    </w:p>
    <w:p>
      <w:pPr>
        <w:ind w:right="964"/>
        <w:jc w:val="right"/>
        <w:rPr>
          <w:b/>
          <w:sz w:val="24"/>
        </w:rPr>
      </w:pPr>
      <w:r>
        <w:rPr>
          <w:b/>
          <w:sz w:val="24"/>
        </w:rPr>
        <w:t>单位：%</w:t>
      </w:r>
    </w:p>
    <w:tbl>
      <w:tblPr>
        <w:tblStyle w:val="13"/>
        <w:tblW w:w="7040" w:type="dxa"/>
        <w:jc w:val="center"/>
        <w:tblLayout w:type="autofit"/>
        <w:tblCellMar>
          <w:top w:w="0" w:type="dxa"/>
          <w:left w:w="108" w:type="dxa"/>
          <w:bottom w:w="0" w:type="dxa"/>
          <w:right w:w="108" w:type="dxa"/>
        </w:tblCellMar>
      </w:tblPr>
      <w:tblGrid>
        <w:gridCol w:w="1660"/>
        <w:gridCol w:w="1660"/>
        <w:gridCol w:w="880"/>
        <w:gridCol w:w="880"/>
        <w:gridCol w:w="1000"/>
        <w:gridCol w:w="960"/>
      </w:tblGrid>
      <w:tr>
        <w:tblPrEx>
          <w:tblCellMar>
            <w:top w:w="0" w:type="dxa"/>
            <w:left w:w="108" w:type="dxa"/>
            <w:bottom w:w="0" w:type="dxa"/>
            <w:right w:w="108" w:type="dxa"/>
          </w:tblCellMar>
        </w:tblPrEx>
        <w:trPr>
          <w:trHeight w:val="622" w:hRule="atLeast"/>
          <w:tblHeader/>
          <w:jc w:val="center"/>
        </w:trPr>
        <w:tc>
          <w:tcPr>
            <w:tcW w:w="3320" w:type="dxa"/>
            <w:gridSpan w:val="2"/>
            <w:tcBorders>
              <w:top w:val="single" w:color="auto" w:sz="8" w:space="0"/>
              <w:left w:val="nil"/>
              <w:bottom w:val="single" w:color="auto" w:sz="8" w:space="0"/>
              <w:right w:val="single" w:color="000000" w:sz="8" w:space="0"/>
            </w:tcBorders>
            <w:shd w:val="clear" w:color="auto" w:fill="92CDDC" w:themeFill="accent5" w:themeFillTint="99"/>
            <w:noWrap w:val="0"/>
            <w:vAlign w:val="center"/>
          </w:tcPr>
          <w:p>
            <w:pPr>
              <w:widowControl/>
              <w:jc w:val="center"/>
              <w:rPr>
                <w:rFonts w:ascii="Times New Roman" w:hAnsi="Times New Roman" w:cs="Times New Roman"/>
                <w:b/>
                <w:bCs/>
                <w:color w:val="000000"/>
                <w:kern w:val="0"/>
                <w:sz w:val="24"/>
              </w:rPr>
            </w:pPr>
            <w:r>
              <w:rPr>
                <w:rFonts w:hint="default" w:ascii="Times New Roman" w:hAnsi="Times New Roman" w:cs="Times New Roman"/>
                <w:b/>
                <w:bCs/>
                <w:color w:val="000000"/>
                <w:kern w:val="0"/>
                <w:sz w:val="24"/>
              </w:rPr>
              <w:t>单位类型（二级）</w:t>
            </w:r>
          </w:p>
        </w:tc>
        <w:tc>
          <w:tcPr>
            <w:tcW w:w="88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1季度</w:t>
            </w:r>
          </w:p>
        </w:tc>
        <w:tc>
          <w:tcPr>
            <w:tcW w:w="88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2季度</w:t>
            </w:r>
          </w:p>
        </w:tc>
        <w:tc>
          <w:tcPr>
            <w:tcW w:w="100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3季度</w:t>
            </w:r>
          </w:p>
        </w:tc>
        <w:tc>
          <w:tcPr>
            <w:tcW w:w="960" w:type="dxa"/>
            <w:tcBorders>
              <w:top w:val="single" w:color="auto" w:sz="8" w:space="0"/>
              <w:left w:val="nil"/>
              <w:bottom w:val="single" w:color="auto" w:sz="8" w:space="0"/>
              <w:right w:val="nil"/>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4季度</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私营企业</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53.0 </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53.0 </w:t>
            </w:r>
          </w:p>
        </w:tc>
        <w:tc>
          <w:tcPr>
            <w:tcW w:w="100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46.5 </w:t>
            </w:r>
          </w:p>
        </w:tc>
        <w:tc>
          <w:tcPr>
            <w:tcW w:w="96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46.5 </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有限责任公司</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32.9 </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32.9 </w:t>
            </w:r>
          </w:p>
        </w:tc>
        <w:tc>
          <w:tcPr>
            <w:tcW w:w="100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37.1 </w:t>
            </w:r>
          </w:p>
        </w:tc>
        <w:tc>
          <w:tcPr>
            <w:tcW w:w="96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37.1 </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港、澳、台商独资经营企业</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6.4 </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6.4 </w:t>
            </w:r>
          </w:p>
        </w:tc>
        <w:tc>
          <w:tcPr>
            <w:tcW w:w="100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7.9 </w:t>
            </w:r>
          </w:p>
        </w:tc>
        <w:tc>
          <w:tcPr>
            <w:tcW w:w="96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7.9 </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国有企业</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100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6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其他企业</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100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6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股份有限公司</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100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6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合资经营企业（港或澳、台资）</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100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6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中外合资经营企业</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100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6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外资企业</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100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6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外商投资股份有限公司</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8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100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96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0.7</w:t>
            </w:r>
          </w:p>
        </w:tc>
      </w:tr>
      <w:tr>
        <w:tblPrEx>
          <w:tblCellMar>
            <w:top w:w="0" w:type="dxa"/>
            <w:left w:w="108" w:type="dxa"/>
            <w:bottom w:w="0" w:type="dxa"/>
            <w:right w:w="108" w:type="dxa"/>
          </w:tblCellMar>
        </w:tblPrEx>
        <w:trPr>
          <w:trHeight w:val="288" w:hRule="atLeast"/>
          <w:jc w:val="center"/>
        </w:trPr>
        <w:tc>
          <w:tcPr>
            <w:tcW w:w="1660" w:type="dxa"/>
            <w:vMerge w:val="restart"/>
            <w:tcBorders>
              <w:top w:val="nil"/>
              <w:left w:val="nil"/>
              <w:bottom w:val="single" w:color="000000"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合计</w:t>
            </w:r>
          </w:p>
        </w:tc>
        <w:tc>
          <w:tcPr>
            <w:tcW w:w="166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百分比</w:t>
            </w:r>
          </w:p>
        </w:tc>
        <w:tc>
          <w:tcPr>
            <w:tcW w:w="8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 xml:space="preserve">100.0 </w:t>
            </w:r>
          </w:p>
        </w:tc>
        <w:tc>
          <w:tcPr>
            <w:tcW w:w="8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 xml:space="preserve">100.0 </w:t>
            </w:r>
          </w:p>
        </w:tc>
        <w:tc>
          <w:tcPr>
            <w:tcW w:w="100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 xml:space="preserve">100.0 </w:t>
            </w:r>
          </w:p>
        </w:tc>
        <w:tc>
          <w:tcPr>
            <w:tcW w:w="960" w:type="dxa"/>
            <w:tcBorders>
              <w:top w:val="nil"/>
              <w:left w:val="nil"/>
              <w:bottom w:val="single" w:color="auto" w:sz="8" w:space="0"/>
              <w:right w:val="nil"/>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 xml:space="preserve">100.0 </w:t>
            </w:r>
          </w:p>
        </w:tc>
      </w:tr>
      <w:tr>
        <w:tblPrEx>
          <w:tblCellMar>
            <w:top w:w="0" w:type="dxa"/>
            <w:left w:w="108" w:type="dxa"/>
            <w:bottom w:w="0" w:type="dxa"/>
            <w:right w:w="108" w:type="dxa"/>
          </w:tblCellMar>
        </w:tblPrEx>
        <w:trPr>
          <w:trHeight w:val="376" w:hRule="atLeast"/>
          <w:jc w:val="center"/>
        </w:trPr>
        <w:tc>
          <w:tcPr>
            <w:tcW w:w="1660" w:type="dxa"/>
            <w:vMerge w:val="continue"/>
            <w:tcBorders>
              <w:top w:val="nil"/>
              <w:left w:val="nil"/>
              <w:bottom w:val="single" w:color="000000" w:sz="8" w:space="0"/>
              <w:right w:val="single" w:color="auto" w:sz="8" w:space="0"/>
            </w:tcBorders>
            <w:noWrap w:val="0"/>
            <w:vAlign w:val="center"/>
          </w:tcPr>
          <w:p>
            <w:pPr>
              <w:widowControl/>
              <w:jc w:val="left"/>
              <w:rPr>
                <w:rFonts w:ascii="Times New Roman" w:hAnsi="Times New Roman" w:cs="Times New Roman"/>
                <w:b/>
                <w:bCs/>
                <w:color w:val="000000"/>
                <w:kern w:val="0"/>
                <w:szCs w:val="21"/>
              </w:rPr>
            </w:pPr>
          </w:p>
        </w:tc>
        <w:tc>
          <w:tcPr>
            <w:tcW w:w="166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企业个数（个）</w:t>
            </w:r>
          </w:p>
        </w:tc>
        <w:tc>
          <w:tcPr>
            <w:tcW w:w="8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c>
          <w:tcPr>
            <w:tcW w:w="8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c>
          <w:tcPr>
            <w:tcW w:w="100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c>
          <w:tcPr>
            <w:tcW w:w="960" w:type="dxa"/>
            <w:tcBorders>
              <w:top w:val="nil"/>
              <w:left w:val="nil"/>
              <w:bottom w:val="single" w:color="auto" w:sz="8" w:space="0"/>
              <w:right w:val="nil"/>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r>
    </w:tbl>
    <w:p>
      <w:pPr>
        <w:pStyle w:val="37"/>
        <w:numPr>
          <w:ilvl w:val="0"/>
          <w:numId w:val="0"/>
        </w:numPr>
        <w:spacing w:before="156"/>
        <w:ind w:firstLine="640" w:firstLineChars="200"/>
        <w:rPr>
          <w:rFonts w:hint="eastAsia" w:ascii="楷体_GB2312" w:hAnsi="楷体_GB2312" w:eastAsia="楷体_GB2312" w:cs="楷体_GB2312"/>
          <w:b w:val="0"/>
          <w:bCs w:val="0"/>
        </w:rPr>
      </w:pPr>
      <w:bookmarkStart w:id="31" w:name="_Toc1030"/>
      <w:r>
        <w:rPr>
          <w:rFonts w:hint="eastAsia" w:ascii="楷体_GB2312" w:hAnsi="楷体_GB2312" w:eastAsia="楷体_GB2312" w:cs="楷体_GB2312"/>
          <w:b w:val="0"/>
          <w:bCs w:val="0"/>
        </w:rPr>
        <w:t>（三）行业分布</w:t>
      </w:r>
      <w:bookmarkEnd w:id="31"/>
    </w:p>
    <w:p>
      <w:pPr>
        <w:spacing w:before="156" w:beforeLines="50"/>
        <w:ind w:firstLine="643" w:firstLineChars="200"/>
        <w:rPr>
          <w:rFonts w:eastAsia="仿宋"/>
          <w:b/>
          <w:sz w:val="32"/>
          <w:szCs w:val="32"/>
        </w:rPr>
      </w:pPr>
      <w:r>
        <w:rPr>
          <w:rFonts w:eastAsia="仿宋"/>
          <w:b/>
          <w:sz w:val="32"/>
          <w:szCs w:val="32"/>
        </w:rPr>
        <w:t>1.</w:t>
      </w:r>
      <w:r>
        <w:rPr>
          <w:rFonts w:hint="eastAsia" w:eastAsia="仿宋"/>
          <w:b/>
          <w:sz w:val="32"/>
          <w:szCs w:val="32"/>
        </w:rPr>
        <w:t>行业门类中</w:t>
      </w:r>
      <w:r>
        <w:rPr>
          <w:rFonts w:eastAsia="仿宋"/>
          <w:b/>
          <w:sz w:val="32"/>
          <w:szCs w:val="32"/>
        </w:rPr>
        <w:t>制造业企业占比最高</w:t>
      </w:r>
    </w:p>
    <w:p>
      <w:pPr>
        <w:spacing w:before="0" w:beforeLines="-2147483648"/>
        <w:ind w:firstLine="640" w:firstLineChars="200"/>
        <w:rPr>
          <w:rFonts w:eastAsia="仿宋_GB2312"/>
          <w:color w:val="000000"/>
          <w:sz w:val="32"/>
          <w:szCs w:val="32"/>
        </w:rPr>
      </w:pPr>
      <w:r>
        <w:rPr>
          <w:rFonts w:eastAsia="仿宋_GB2312"/>
          <w:bCs w:val="0"/>
          <w:color w:val="000000"/>
          <w:sz w:val="32"/>
          <w:szCs w:val="32"/>
        </w:rPr>
        <w:t>从行业门类来看，</w:t>
      </w:r>
      <w:r>
        <w:rPr>
          <w:rFonts w:hint="default" w:eastAsia="仿宋_GB2312"/>
          <w:bCs w:val="0"/>
          <w:color w:val="000000"/>
          <w:sz w:val="32"/>
          <w:szCs w:val="32"/>
          <w:lang w:eastAsia="zh-CN"/>
        </w:rPr>
        <w:t>2023年</w:t>
      </w:r>
      <w:r>
        <w:rPr>
          <w:rFonts w:hint="default" w:eastAsia="仿宋_GB2312"/>
          <w:color w:val="000000"/>
          <w:sz w:val="32"/>
          <w:szCs w:val="32"/>
        </w:rPr>
        <w:t>样本企业中</w:t>
      </w:r>
      <w:r>
        <w:rPr>
          <w:rFonts w:eastAsia="仿宋_GB2312"/>
          <w:bCs w:val="0"/>
          <w:color w:val="000000"/>
          <w:sz w:val="32"/>
          <w:szCs w:val="32"/>
        </w:rPr>
        <w:t>，制造业企业占比最高</w:t>
      </w:r>
      <w:r>
        <w:rPr>
          <w:rFonts w:hint="default" w:eastAsia="仿宋_GB2312"/>
          <w:bCs w:val="0"/>
          <w:color w:val="000000"/>
          <w:sz w:val="32"/>
          <w:szCs w:val="32"/>
        </w:rPr>
        <w:t>，</w:t>
      </w:r>
      <w:r>
        <w:rPr>
          <w:rFonts w:hint="default" w:eastAsia="仿宋_GB2312"/>
          <w:color w:val="000000"/>
          <w:sz w:val="32"/>
          <w:szCs w:val="32"/>
          <w:lang w:val="en-US" w:eastAsia="zh-CN"/>
        </w:rPr>
        <w:t>约占</w:t>
      </w:r>
      <w:r>
        <w:rPr>
          <w:rFonts w:hint="default" w:eastAsia="仿宋_GB2312"/>
          <w:bCs w:val="0"/>
          <w:color w:val="000000"/>
          <w:sz w:val="32"/>
          <w:szCs w:val="32"/>
          <w:lang w:val="en-US" w:eastAsia="zh-CN"/>
        </w:rPr>
        <w:t>60</w:t>
      </w:r>
      <w:r>
        <w:rPr>
          <w:rFonts w:hint="default" w:eastAsia="仿宋_GB2312"/>
          <w:bCs w:val="0"/>
          <w:color w:val="000000"/>
          <w:sz w:val="32"/>
          <w:szCs w:val="32"/>
        </w:rPr>
        <w:t>%</w:t>
      </w:r>
      <w:r>
        <w:rPr>
          <w:rFonts w:eastAsia="仿宋_GB2312"/>
          <w:bCs w:val="0"/>
          <w:color w:val="000000"/>
          <w:sz w:val="32"/>
          <w:szCs w:val="32"/>
        </w:rPr>
        <w:t>；其次是批发和零售业，占比</w:t>
      </w:r>
      <w:r>
        <w:rPr>
          <w:rFonts w:hint="default" w:eastAsia="仿宋_GB2312"/>
          <w:bCs w:val="0"/>
          <w:color w:val="000000"/>
          <w:sz w:val="32"/>
          <w:szCs w:val="32"/>
          <w:lang w:val="en-US" w:eastAsia="zh-CN"/>
        </w:rPr>
        <w:t>为10.7%</w:t>
      </w:r>
      <w:r>
        <w:rPr>
          <w:rFonts w:eastAsia="仿宋_GB2312"/>
          <w:bCs w:val="0"/>
          <w:color w:val="000000"/>
          <w:sz w:val="32"/>
          <w:szCs w:val="32"/>
        </w:rPr>
        <w:t>；住宿和餐饮业的</w:t>
      </w:r>
      <w:r>
        <w:rPr>
          <w:rFonts w:hint="default" w:eastAsia="仿宋_GB2312"/>
          <w:color w:val="000000"/>
          <w:sz w:val="32"/>
          <w:szCs w:val="32"/>
          <w:lang w:val="en-US" w:eastAsia="zh-CN"/>
        </w:rPr>
        <w:t>约占</w:t>
      </w:r>
      <w:r>
        <w:rPr>
          <w:rFonts w:hint="default" w:eastAsia="仿宋_GB2312"/>
          <w:bCs w:val="0"/>
          <w:color w:val="000000"/>
          <w:sz w:val="32"/>
          <w:szCs w:val="32"/>
          <w:lang w:val="en-US" w:eastAsia="zh-CN"/>
        </w:rPr>
        <w:t>9%</w:t>
      </w:r>
      <w:r>
        <w:rPr>
          <w:rFonts w:eastAsia="仿宋_GB2312"/>
          <w:bCs w:val="0"/>
          <w:color w:val="000000"/>
          <w:sz w:val="32"/>
          <w:szCs w:val="32"/>
        </w:rPr>
        <w:t>；</w:t>
      </w:r>
      <w:r>
        <w:rPr>
          <w:rFonts w:eastAsia="仿宋_GB2312"/>
          <w:color w:val="000000"/>
          <w:sz w:val="32"/>
          <w:szCs w:val="32"/>
        </w:rPr>
        <w:t>房地产业</w:t>
      </w:r>
      <w:r>
        <w:rPr>
          <w:rFonts w:hint="default" w:eastAsia="仿宋_GB2312"/>
          <w:color w:val="000000"/>
          <w:sz w:val="32"/>
          <w:szCs w:val="32"/>
          <w:lang w:val="en-US" w:eastAsia="zh-CN"/>
        </w:rPr>
        <w:t>约占5%</w:t>
      </w:r>
      <w:r>
        <w:rPr>
          <w:rFonts w:hint="default" w:eastAsia="仿宋_GB2312"/>
          <w:color w:val="000000"/>
          <w:sz w:val="32"/>
          <w:szCs w:val="32"/>
        </w:rPr>
        <w:t>；</w:t>
      </w:r>
      <w:r>
        <w:rPr>
          <w:rFonts w:eastAsia="仿宋_GB2312"/>
          <w:bCs w:val="0"/>
          <w:color w:val="000000"/>
          <w:sz w:val="32"/>
          <w:szCs w:val="32"/>
        </w:rPr>
        <w:t>交通运输、仓储和邮政业的占比为</w:t>
      </w:r>
      <w:r>
        <w:rPr>
          <w:rFonts w:hint="default" w:eastAsia="仿宋_GB2312"/>
          <w:bCs w:val="0"/>
          <w:color w:val="000000"/>
          <w:sz w:val="32"/>
          <w:szCs w:val="32"/>
        </w:rPr>
        <w:t>3.6</w:t>
      </w:r>
      <w:r>
        <w:rPr>
          <w:rFonts w:eastAsia="仿宋_GB2312"/>
          <w:bCs w:val="0"/>
          <w:color w:val="000000"/>
          <w:sz w:val="32"/>
          <w:szCs w:val="32"/>
        </w:rPr>
        <w:t>%，</w:t>
      </w:r>
      <w:r>
        <w:rPr>
          <w:rFonts w:eastAsia="仿宋_GB2312"/>
          <w:color w:val="000000"/>
          <w:sz w:val="32"/>
          <w:szCs w:val="32"/>
        </w:rPr>
        <w:t>建筑业，电力、热力、燃气及水生产和供应业，信息传输、软件和信息技术服务业，租赁和商务服务业，科学研究和技术服务业，</w:t>
      </w:r>
      <w:r>
        <w:rPr>
          <w:rFonts w:hint="default" w:eastAsia="仿宋_GB2312"/>
          <w:color w:val="000000"/>
          <w:sz w:val="32"/>
          <w:szCs w:val="32"/>
        </w:rPr>
        <w:t>农、林、牧、渔业</w:t>
      </w:r>
      <w:r>
        <w:rPr>
          <w:rFonts w:hint="default" w:eastAsia="仿宋_GB2312"/>
          <w:color w:val="000000"/>
          <w:sz w:val="32"/>
          <w:szCs w:val="32"/>
          <w:lang w:eastAsia="zh-CN"/>
        </w:rPr>
        <w:t>，</w:t>
      </w:r>
      <w:r>
        <w:rPr>
          <w:rFonts w:hint="default" w:eastAsia="仿宋_GB2312"/>
          <w:color w:val="000000"/>
          <w:sz w:val="32"/>
          <w:szCs w:val="32"/>
        </w:rPr>
        <w:t>水利、环境和公共设施管理业</w:t>
      </w:r>
      <w:r>
        <w:rPr>
          <w:rFonts w:eastAsia="仿宋_GB2312"/>
          <w:color w:val="000000"/>
          <w:sz w:val="32"/>
          <w:szCs w:val="32"/>
        </w:rPr>
        <w:t>，居民服务、修理和其他服务业，卫生和社会工作</w:t>
      </w:r>
      <w:r>
        <w:rPr>
          <w:rFonts w:hint="default" w:eastAsia="仿宋_GB2312"/>
          <w:color w:val="000000"/>
          <w:sz w:val="32"/>
          <w:szCs w:val="32"/>
        </w:rPr>
        <w:t>，</w:t>
      </w:r>
      <w:r>
        <w:rPr>
          <w:rFonts w:eastAsia="仿宋_GB2312"/>
          <w:color w:val="000000"/>
          <w:sz w:val="32"/>
          <w:szCs w:val="32"/>
        </w:rPr>
        <w:t>文化、体育和娱乐业等其他行业的占比较</w:t>
      </w:r>
      <w:r>
        <w:rPr>
          <w:rFonts w:hint="default" w:eastAsia="仿宋_GB2312"/>
          <w:color w:val="000000"/>
          <w:sz w:val="32"/>
          <w:szCs w:val="32"/>
        </w:rPr>
        <w:t>低</w:t>
      </w:r>
      <w:r>
        <w:rPr>
          <w:rFonts w:eastAsia="仿宋_GB2312"/>
          <w:color w:val="000000"/>
          <w:sz w:val="32"/>
          <w:szCs w:val="32"/>
        </w:rPr>
        <w:t>。没有金融业</w:t>
      </w:r>
      <w:r>
        <w:rPr>
          <w:rFonts w:hint="default" w:eastAsia="仿宋_GB2312"/>
          <w:color w:val="000000"/>
          <w:sz w:val="32"/>
          <w:szCs w:val="32"/>
        </w:rPr>
        <w:t>，</w:t>
      </w:r>
      <w:r>
        <w:rPr>
          <w:rFonts w:eastAsia="仿宋_GB2312"/>
          <w:color w:val="000000"/>
          <w:sz w:val="32"/>
          <w:szCs w:val="32"/>
        </w:rPr>
        <w:t>教育</w:t>
      </w:r>
      <w:r>
        <w:rPr>
          <w:rFonts w:hint="default" w:eastAsia="仿宋_GB2312"/>
          <w:color w:val="000000"/>
          <w:sz w:val="32"/>
          <w:szCs w:val="32"/>
        </w:rPr>
        <w:t>，</w:t>
      </w:r>
      <w:r>
        <w:rPr>
          <w:rFonts w:eastAsia="仿宋_GB2312"/>
          <w:color w:val="000000"/>
          <w:sz w:val="32"/>
          <w:szCs w:val="32"/>
        </w:rPr>
        <w:t>公共管理</w:t>
      </w:r>
      <w:r>
        <w:rPr>
          <w:rFonts w:hint="default" w:eastAsia="仿宋_GB2312"/>
          <w:color w:val="000000"/>
          <w:sz w:val="32"/>
          <w:szCs w:val="32"/>
          <w:lang w:eastAsia="zh-CN"/>
        </w:rPr>
        <w:t>、</w:t>
      </w:r>
      <w:r>
        <w:rPr>
          <w:rFonts w:eastAsia="仿宋_GB2312"/>
          <w:color w:val="000000"/>
          <w:sz w:val="32"/>
          <w:szCs w:val="32"/>
        </w:rPr>
        <w:t>社会保障和社会组织等行业的样本企业</w:t>
      </w:r>
      <w:r>
        <w:rPr>
          <w:rFonts w:eastAsia="仿宋_GB2312"/>
          <w:bCs w:val="0"/>
          <w:color w:val="000000"/>
          <w:sz w:val="32"/>
          <w:szCs w:val="32"/>
        </w:rPr>
        <w:t>（见表</w:t>
      </w:r>
      <w:r>
        <w:rPr>
          <w:rFonts w:hint="eastAsia" w:eastAsia="仿宋_GB2312"/>
          <w:bCs w:val="0"/>
          <w:color w:val="000000"/>
          <w:sz w:val="32"/>
          <w:szCs w:val="32"/>
          <w:lang w:val="en-US" w:eastAsia="zh-CN"/>
        </w:rPr>
        <w:t>28</w:t>
      </w:r>
      <w:r>
        <w:rPr>
          <w:rFonts w:eastAsia="仿宋_GB2312"/>
          <w:bCs w:val="0"/>
          <w:color w:val="000000"/>
          <w:sz w:val="32"/>
          <w:szCs w:val="32"/>
        </w:rPr>
        <w:t>）</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28</w:t>
      </w:r>
      <w:r>
        <w:rPr>
          <w:rFonts w:hint="eastAsia" w:eastAsia="宋体"/>
        </w:rPr>
        <w:t>：</w:t>
      </w:r>
      <w:r>
        <w:rPr>
          <w:rFonts w:hint="eastAsia" w:eastAsia="宋体"/>
          <w:lang w:eastAsia="zh-CN"/>
        </w:rPr>
        <w:t>2023年</w:t>
      </w:r>
      <w:r>
        <w:rPr>
          <w:rFonts w:eastAsia="宋体"/>
        </w:rPr>
        <w:t>样本企业行业门类分布</w:t>
      </w:r>
    </w:p>
    <w:p>
      <w:pPr>
        <w:ind w:right="723"/>
        <w:jc w:val="right"/>
        <w:rPr>
          <w:b/>
          <w:sz w:val="24"/>
        </w:rPr>
      </w:pPr>
      <w:r>
        <w:rPr>
          <w:b/>
          <w:sz w:val="24"/>
        </w:rPr>
        <w:t>单位：%</w:t>
      </w:r>
    </w:p>
    <w:tbl>
      <w:tblPr>
        <w:tblStyle w:val="13"/>
        <w:tblW w:w="7840" w:type="dxa"/>
        <w:jc w:val="center"/>
        <w:tblLayout w:type="autofit"/>
        <w:tblCellMar>
          <w:top w:w="0" w:type="dxa"/>
          <w:left w:w="108" w:type="dxa"/>
          <w:bottom w:w="0" w:type="dxa"/>
          <w:right w:w="108" w:type="dxa"/>
        </w:tblCellMar>
      </w:tblPr>
      <w:tblGrid>
        <w:gridCol w:w="1960"/>
        <w:gridCol w:w="1960"/>
        <w:gridCol w:w="980"/>
        <w:gridCol w:w="980"/>
        <w:gridCol w:w="980"/>
        <w:gridCol w:w="980"/>
      </w:tblGrid>
      <w:tr>
        <w:tblPrEx>
          <w:tblCellMar>
            <w:top w:w="0" w:type="dxa"/>
            <w:left w:w="108" w:type="dxa"/>
            <w:bottom w:w="0" w:type="dxa"/>
            <w:right w:w="108" w:type="dxa"/>
          </w:tblCellMar>
        </w:tblPrEx>
        <w:trPr>
          <w:trHeight w:val="570" w:hRule="atLeast"/>
          <w:tblHeader/>
          <w:jc w:val="center"/>
        </w:trPr>
        <w:tc>
          <w:tcPr>
            <w:tcW w:w="3920" w:type="dxa"/>
            <w:gridSpan w:val="2"/>
            <w:tcBorders>
              <w:top w:val="single" w:color="auto" w:sz="8" w:space="0"/>
              <w:left w:val="nil"/>
              <w:bottom w:val="single" w:color="auto" w:sz="8" w:space="0"/>
              <w:right w:val="single" w:color="000000" w:sz="8" w:space="0"/>
            </w:tcBorders>
            <w:shd w:val="clear" w:color="auto" w:fill="92CDDC" w:themeFill="accent5" w:themeFillTint="99"/>
            <w:noWrap w:val="0"/>
            <w:vAlign w:val="center"/>
          </w:tcPr>
          <w:p>
            <w:pPr>
              <w:widowControl/>
              <w:jc w:val="center"/>
              <w:rPr>
                <w:rFonts w:ascii="Times New Roman" w:hAnsi="Times New Roman" w:cs="Times New Roman"/>
                <w:b/>
                <w:bCs/>
                <w:color w:val="000000"/>
                <w:kern w:val="0"/>
                <w:sz w:val="24"/>
              </w:rPr>
            </w:pPr>
            <w:r>
              <w:rPr>
                <w:rFonts w:hint="default" w:ascii="Times New Roman" w:hAnsi="Times New Roman" w:cs="Times New Roman"/>
                <w:b/>
                <w:bCs/>
                <w:color w:val="000000"/>
                <w:kern w:val="0"/>
                <w:sz w:val="24"/>
              </w:rPr>
              <w:t>行业</w:t>
            </w:r>
          </w:p>
        </w:tc>
        <w:tc>
          <w:tcPr>
            <w:tcW w:w="98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1季度</w:t>
            </w:r>
          </w:p>
        </w:tc>
        <w:tc>
          <w:tcPr>
            <w:tcW w:w="98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2季度</w:t>
            </w:r>
          </w:p>
        </w:tc>
        <w:tc>
          <w:tcPr>
            <w:tcW w:w="98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3季度</w:t>
            </w:r>
          </w:p>
        </w:tc>
        <w:tc>
          <w:tcPr>
            <w:tcW w:w="980" w:type="dxa"/>
            <w:tcBorders>
              <w:top w:val="single" w:color="auto" w:sz="8" w:space="0"/>
              <w:left w:val="nil"/>
              <w:bottom w:val="single" w:color="auto" w:sz="8" w:space="0"/>
              <w:right w:val="nil"/>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4季度</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60.8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61.5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58.8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58.8 </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10.7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10.7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10.7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10.7 </w:t>
            </w:r>
          </w:p>
        </w:tc>
      </w:tr>
      <w:tr>
        <w:tblPrEx>
          <w:tblCellMar>
            <w:top w:w="0" w:type="dxa"/>
            <w:left w:w="108" w:type="dxa"/>
            <w:bottom w:w="0" w:type="dxa"/>
            <w:right w:w="108" w:type="dxa"/>
          </w:tblCellMar>
        </w:tblPrEx>
        <w:trPr>
          <w:trHeight w:val="285"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8.6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8.6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9.3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9.3 </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4.3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4.3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r>
      <w:tr>
        <w:tblPrEx>
          <w:tblCellMar>
            <w:top w:w="0" w:type="dxa"/>
            <w:left w:w="108" w:type="dxa"/>
            <w:bottom w:w="0" w:type="dxa"/>
            <w:right w:w="108" w:type="dxa"/>
          </w:tblCellMar>
        </w:tblPrEx>
        <w:trPr>
          <w:trHeight w:val="285"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r>
      <w:tr>
        <w:tblPrEx>
          <w:tblCellMar>
            <w:top w:w="0" w:type="dxa"/>
            <w:left w:w="108" w:type="dxa"/>
            <w:bottom w:w="0" w:type="dxa"/>
            <w:right w:w="108" w:type="dxa"/>
          </w:tblCellMar>
        </w:tblPrEx>
        <w:trPr>
          <w:trHeight w:val="285"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r>
      <w:tr>
        <w:tblPrEx>
          <w:tblCellMar>
            <w:top w:w="0" w:type="dxa"/>
            <w:left w:w="108" w:type="dxa"/>
            <w:bottom w:w="0" w:type="dxa"/>
            <w:right w:w="108" w:type="dxa"/>
          </w:tblCellMar>
        </w:tblPrEx>
        <w:trPr>
          <w:trHeight w:val="285"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r>
      <w:tr>
        <w:tblPrEx>
          <w:tblCellMar>
            <w:top w:w="0" w:type="dxa"/>
            <w:left w:w="108" w:type="dxa"/>
            <w:bottom w:w="0" w:type="dxa"/>
            <w:right w:w="108" w:type="dxa"/>
          </w:tblCellMar>
        </w:tblPrEx>
        <w:trPr>
          <w:trHeight w:val="285"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0.7 </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金融业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0.0</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教育</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0.0</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公共管理、社会保障和社会组织</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0.0</w:t>
            </w:r>
          </w:p>
        </w:tc>
      </w:tr>
      <w:tr>
        <w:tblPrEx>
          <w:tblCellMar>
            <w:top w:w="0" w:type="dxa"/>
            <w:left w:w="108" w:type="dxa"/>
            <w:bottom w:w="0" w:type="dxa"/>
            <w:right w:w="108" w:type="dxa"/>
          </w:tblCellMar>
        </w:tblPrEx>
        <w:trPr>
          <w:trHeight w:val="288" w:hRule="atLeast"/>
          <w:jc w:val="center"/>
        </w:trPr>
        <w:tc>
          <w:tcPr>
            <w:tcW w:w="1960" w:type="dxa"/>
            <w:vMerge w:val="restart"/>
            <w:tcBorders>
              <w:top w:val="nil"/>
              <w:left w:val="nil"/>
              <w:bottom w:val="single" w:color="000000"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合计</w:t>
            </w:r>
          </w:p>
        </w:tc>
        <w:tc>
          <w:tcPr>
            <w:tcW w:w="196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百分比</w:t>
            </w:r>
          </w:p>
        </w:tc>
        <w:tc>
          <w:tcPr>
            <w:tcW w:w="9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 xml:space="preserve">100.0 </w:t>
            </w:r>
          </w:p>
        </w:tc>
        <w:tc>
          <w:tcPr>
            <w:tcW w:w="9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 xml:space="preserve">100.0 </w:t>
            </w:r>
          </w:p>
        </w:tc>
        <w:tc>
          <w:tcPr>
            <w:tcW w:w="9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 xml:space="preserve">100.0 </w:t>
            </w:r>
          </w:p>
        </w:tc>
        <w:tc>
          <w:tcPr>
            <w:tcW w:w="980" w:type="dxa"/>
            <w:tcBorders>
              <w:top w:val="nil"/>
              <w:left w:val="nil"/>
              <w:bottom w:val="single" w:color="auto" w:sz="8" w:space="0"/>
              <w:right w:val="nil"/>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 xml:space="preserve">100.0 </w:t>
            </w:r>
          </w:p>
        </w:tc>
      </w:tr>
      <w:tr>
        <w:tblPrEx>
          <w:tblCellMar>
            <w:top w:w="0" w:type="dxa"/>
            <w:left w:w="108" w:type="dxa"/>
            <w:bottom w:w="0" w:type="dxa"/>
            <w:right w:w="108" w:type="dxa"/>
          </w:tblCellMar>
        </w:tblPrEx>
        <w:trPr>
          <w:trHeight w:val="288" w:hRule="atLeast"/>
          <w:jc w:val="center"/>
        </w:trPr>
        <w:tc>
          <w:tcPr>
            <w:tcW w:w="1960" w:type="dxa"/>
            <w:vMerge w:val="continue"/>
            <w:tcBorders>
              <w:top w:val="nil"/>
              <w:left w:val="nil"/>
              <w:bottom w:val="single" w:color="000000" w:sz="8" w:space="0"/>
              <w:right w:val="single" w:color="auto" w:sz="8" w:space="0"/>
            </w:tcBorders>
            <w:noWrap w:val="0"/>
            <w:vAlign w:val="center"/>
          </w:tcPr>
          <w:p>
            <w:pPr>
              <w:widowControl/>
              <w:jc w:val="left"/>
              <w:rPr>
                <w:rFonts w:ascii="Times New Roman" w:hAnsi="Times New Roman" w:cs="Times New Roman"/>
                <w:b/>
                <w:bCs/>
                <w:color w:val="000000"/>
                <w:kern w:val="0"/>
                <w:szCs w:val="21"/>
              </w:rPr>
            </w:pPr>
          </w:p>
        </w:tc>
        <w:tc>
          <w:tcPr>
            <w:tcW w:w="196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企业个数（个）</w:t>
            </w:r>
          </w:p>
        </w:tc>
        <w:tc>
          <w:tcPr>
            <w:tcW w:w="9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c>
          <w:tcPr>
            <w:tcW w:w="9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c>
          <w:tcPr>
            <w:tcW w:w="9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c>
          <w:tcPr>
            <w:tcW w:w="980" w:type="dxa"/>
            <w:tcBorders>
              <w:top w:val="nil"/>
              <w:left w:val="nil"/>
              <w:bottom w:val="single" w:color="auto" w:sz="8" w:space="0"/>
              <w:right w:val="nil"/>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r>
    </w:tbl>
    <w:p>
      <w:pPr>
        <w:spacing w:line="360" w:lineRule="auto"/>
        <w:ind w:firstLine="643" w:firstLineChars="200"/>
        <w:rPr>
          <w:rFonts w:eastAsia="仿宋"/>
          <w:b/>
          <w:bCs/>
          <w:color w:val="000000"/>
          <w:sz w:val="32"/>
          <w:szCs w:val="32"/>
        </w:rPr>
      </w:pPr>
      <w:r>
        <w:rPr>
          <w:rFonts w:eastAsia="仿宋"/>
          <w:b/>
          <w:bCs/>
          <w:color w:val="000000"/>
          <w:sz w:val="32"/>
          <w:szCs w:val="32"/>
        </w:rPr>
        <w:t>2.行业大类中</w:t>
      </w:r>
      <w:r>
        <w:rPr>
          <w:rFonts w:hint="eastAsia" w:eastAsia="仿宋"/>
          <w:b/>
          <w:bCs/>
          <w:color w:val="000000"/>
          <w:sz w:val="32"/>
          <w:szCs w:val="32"/>
          <w:lang w:val="en-US" w:eastAsia="zh-CN"/>
        </w:rPr>
        <w:t>住宿业</w:t>
      </w:r>
      <w:r>
        <w:rPr>
          <w:rFonts w:eastAsia="仿宋"/>
          <w:b/>
          <w:sz w:val="32"/>
          <w:szCs w:val="32"/>
        </w:rPr>
        <w:t>占比最高</w:t>
      </w:r>
    </w:p>
    <w:p>
      <w:pPr>
        <w:spacing w:line="240" w:lineRule="auto"/>
        <w:ind w:firstLine="640" w:firstLineChars="200"/>
        <w:rPr>
          <w:rFonts w:eastAsia="仿宋_GB2312"/>
          <w:color w:val="000000"/>
          <w:sz w:val="32"/>
          <w:szCs w:val="32"/>
        </w:rPr>
      </w:pPr>
      <w:r>
        <w:rPr>
          <w:rFonts w:eastAsia="仿宋_GB2312"/>
          <w:color w:val="000000"/>
          <w:sz w:val="32"/>
          <w:szCs w:val="32"/>
        </w:rPr>
        <w:t>从行业大类来看，</w:t>
      </w:r>
      <w:r>
        <w:rPr>
          <w:rFonts w:hint="default" w:eastAsia="仿宋_GB2312"/>
          <w:color w:val="000000"/>
          <w:sz w:val="32"/>
          <w:szCs w:val="32"/>
          <w:lang w:eastAsia="zh-CN"/>
        </w:rPr>
        <w:t>2023年</w:t>
      </w:r>
      <w:r>
        <w:rPr>
          <w:rFonts w:hint="default" w:eastAsia="仿宋_GB2312"/>
          <w:color w:val="000000"/>
          <w:sz w:val="32"/>
          <w:szCs w:val="32"/>
        </w:rPr>
        <w:t>样本企业中</w:t>
      </w:r>
      <w:r>
        <w:rPr>
          <w:rFonts w:eastAsia="仿宋_GB2312"/>
          <w:color w:val="000000"/>
          <w:sz w:val="32"/>
          <w:szCs w:val="32"/>
        </w:rPr>
        <w:t>，</w:t>
      </w:r>
      <w:r>
        <w:rPr>
          <w:rFonts w:hint="default" w:eastAsia="仿宋_GB2312"/>
          <w:color w:val="000000"/>
          <w:sz w:val="32"/>
          <w:szCs w:val="32"/>
          <w:lang w:val="en-US" w:eastAsia="zh-CN"/>
        </w:rPr>
        <w:t>住宿业</w:t>
      </w:r>
      <w:r>
        <w:rPr>
          <w:rFonts w:eastAsia="仿宋_GB2312"/>
          <w:color w:val="000000"/>
          <w:sz w:val="32"/>
          <w:szCs w:val="32"/>
        </w:rPr>
        <w:t>占比最</w:t>
      </w:r>
      <w:r>
        <w:rPr>
          <w:rFonts w:hint="default" w:eastAsia="仿宋_GB2312"/>
          <w:color w:val="000000"/>
          <w:sz w:val="32"/>
          <w:szCs w:val="32"/>
        </w:rPr>
        <w:t>高</w:t>
      </w:r>
      <w:r>
        <w:rPr>
          <w:rFonts w:eastAsia="仿宋_GB2312"/>
          <w:color w:val="000000"/>
          <w:sz w:val="32"/>
          <w:szCs w:val="32"/>
        </w:rPr>
        <w:t>，</w:t>
      </w:r>
      <w:r>
        <w:rPr>
          <w:rFonts w:hint="default" w:eastAsia="仿宋_GB2312"/>
          <w:color w:val="000000"/>
          <w:sz w:val="32"/>
          <w:szCs w:val="32"/>
          <w:lang w:val="en-US" w:eastAsia="zh-CN"/>
        </w:rPr>
        <w:t>约占7.9%</w:t>
      </w:r>
      <w:r>
        <w:rPr>
          <w:rFonts w:hint="default" w:eastAsia="仿宋_GB2312"/>
          <w:color w:val="000000"/>
          <w:sz w:val="32"/>
          <w:szCs w:val="32"/>
        </w:rPr>
        <w:t>；其次为化学原料和化学制品制造业，</w:t>
      </w:r>
      <w:r>
        <w:rPr>
          <w:rFonts w:hint="default" w:eastAsia="仿宋_GB2312"/>
          <w:color w:val="000000"/>
          <w:sz w:val="32"/>
          <w:szCs w:val="32"/>
          <w:lang w:val="en-US" w:eastAsia="zh-CN"/>
        </w:rPr>
        <w:t>约占7.5</w:t>
      </w:r>
      <w:r>
        <w:rPr>
          <w:rFonts w:hint="default" w:eastAsia="仿宋_GB2312"/>
          <w:color w:val="000000"/>
          <w:sz w:val="32"/>
          <w:szCs w:val="32"/>
        </w:rPr>
        <w:t>%；</w:t>
      </w:r>
      <w:r>
        <w:rPr>
          <w:rFonts w:hint="default" w:eastAsia="仿宋_GB2312"/>
          <w:color w:val="000000"/>
          <w:sz w:val="32"/>
          <w:szCs w:val="32"/>
          <w:lang w:val="en-US" w:eastAsia="zh-CN"/>
        </w:rPr>
        <w:t>批发业约占6.8%</w:t>
      </w:r>
      <w:r>
        <w:rPr>
          <w:rFonts w:hint="default" w:eastAsia="仿宋_GB2312"/>
          <w:color w:val="000000"/>
          <w:sz w:val="32"/>
          <w:szCs w:val="32"/>
        </w:rPr>
        <w:t>；橡胶和塑料制品业、房地产业</w:t>
      </w:r>
      <w:r>
        <w:rPr>
          <w:rFonts w:hint="default" w:eastAsia="仿宋_GB2312"/>
          <w:color w:val="000000"/>
          <w:sz w:val="32"/>
          <w:szCs w:val="32"/>
          <w:lang w:eastAsia="zh-CN"/>
        </w:rPr>
        <w:t>、</w:t>
      </w:r>
      <w:r>
        <w:rPr>
          <w:rFonts w:hint="default" w:eastAsia="仿宋_GB2312"/>
          <w:color w:val="000000"/>
          <w:sz w:val="32"/>
          <w:szCs w:val="32"/>
        </w:rPr>
        <w:t>金属制品业、电气机械和器材制造业、非金属矿物制品业、农副食品加工业</w:t>
      </w:r>
      <w:r>
        <w:rPr>
          <w:rFonts w:hint="default" w:eastAsia="仿宋_GB2312"/>
          <w:color w:val="000000"/>
          <w:sz w:val="32"/>
          <w:szCs w:val="32"/>
          <w:lang w:eastAsia="zh-CN"/>
        </w:rPr>
        <w:t>、</w:t>
      </w:r>
      <w:r>
        <w:rPr>
          <w:rFonts w:hint="default" w:eastAsia="仿宋_GB2312"/>
          <w:color w:val="000000"/>
          <w:sz w:val="32"/>
          <w:szCs w:val="32"/>
        </w:rPr>
        <w:t>汽车制造业</w:t>
      </w:r>
      <w:r>
        <w:rPr>
          <w:rFonts w:hint="default" w:eastAsia="仿宋_GB2312"/>
          <w:color w:val="000000"/>
          <w:sz w:val="32"/>
          <w:szCs w:val="32"/>
          <w:lang w:eastAsia="zh-CN"/>
        </w:rPr>
        <w:t>、零售业</w:t>
      </w:r>
      <w:r>
        <w:rPr>
          <w:rFonts w:hint="default" w:eastAsia="仿宋_GB2312"/>
          <w:color w:val="000000"/>
          <w:sz w:val="32"/>
          <w:szCs w:val="32"/>
          <w:lang w:val="en-US" w:eastAsia="zh-CN"/>
        </w:rPr>
        <w:t>约占</w:t>
      </w:r>
      <w:r>
        <w:rPr>
          <w:rFonts w:hint="default" w:eastAsia="仿宋_GB2312"/>
          <w:color w:val="000000"/>
          <w:sz w:val="32"/>
          <w:szCs w:val="32"/>
        </w:rPr>
        <w:t>5</w:t>
      </w:r>
      <w:r>
        <w:rPr>
          <w:rFonts w:eastAsia="仿宋_GB2312"/>
          <w:color w:val="000000"/>
          <w:sz w:val="32"/>
          <w:szCs w:val="32"/>
        </w:rPr>
        <w:t>%</w:t>
      </w:r>
      <w:r>
        <w:rPr>
          <w:rFonts w:hint="default" w:eastAsia="仿宋_GB2312"/>
          <w:color w:val="000000"/>
          <w:sz w:val="32"/>
          <w:szCs w:val="32"/>
        </w:rPr>
        <w:t>；</w:t>
      </w:r>
      <w:r>
        <w:rPr>
          <w:rFonts w:eastAsia="仿宋_GB2312"/>
          <w:color w:val="000000"/>
          <w:sz w:val="32"/>
          <w:szCs w:val="32"/>
        </w:rPr>
        <w:t>其他行业占比较</w:t>
      </w:r>
      <w:r>
        <w:rPr>
          <w:rFonts w:hint="default" w:eastAsia="仿宋_GB2312"/>
          <w:color w:val="000000"/>
          <w:sz w:val="32"/>
          <w:szCs w:val="32"/>
        </w:rPr>
        <w:t>低，家具制造业</w:t>
      </w:r>
      <w:r>
        <w:rPr>
          <w:rFonts w:hint="default" w:eastAsia="仿宋_GB2312"/>
          <w:color w:val="000000"/>
          <w:sz w:val="32"/>
          <w:szCs w:val="32"/>
          <w:lang w:eastAsia="zh-CN"/>
        </w:rPr>
        <w:t>，</w:t>
      </w:r>
      <w:r>
        <w:rPr>
          <w:rFonts w:hint="default" w:eastAsia="仿宋_GB2312"/>
          <w:color w:val="000000"/>
          <w:sz w:val="32"/>
          <w:szCs w:val="32"/>
        </w:rPr>
        <w:t>道路运输业</w:t>
      </w:r>
      <w:r>
        <w:rPr>
          <w:rFonts w:hint="default" w:eastAsia="仿宋_GB2312"/>
          <w:color w:val="000000"/>
          <w:sz w:val="32"/>
          <w:szCs w:val="32"/>
          <w:lang w:eastAsia="zh-CN"/>
        </w:rPr>
        <w:t>，</w:t>
      </w:r>
      <w:r>
        <w:rPr>
          <w:rFonts w:hint="default" w:eastAsia="仿宋_GB2312"/>
          <w:color w:val="000000"/>
          <w:sz w:val="32"/>
          <w:szCs w:val="32"/>
          <w:lang w:val="en-US" w:eastAsia="zh-CN"/>
        </w:rPr>
        <w:t>纺织业，</w:t>
      </w:r>
      <w:r>
        <w:rPr>
          <w:rFonts w:hint="default" w:eastAsia="仿宋_GB2312"/>
          <w:color w:val="000000"/>
          <w:sz w:val="32"/>
          <w:szCs w:val="32"/>
        </w:rPr>
        <w:t>文教、工美、体育和娱乐用品制造业，</w:t>
      </w:r>
      <w:r>
        <w:rPr>
          <w:rFonts w:hint="default" w:eastAsia="仿宋_GB2312"/>
          <w:color w:val="000000"/>
          <w:sz w:val="32"/>
          <w:szCs w:val="32"/>
          <w:lang w:val="en-US" w:eastAsia="zh-CN"/>
        </w:rPr>
        <w:t>医药制造业，</w:t>
      </w:r>
      <w:r>
        <w:rPr>
          <w:rFonts w:hint="default" w:eastAsia="仿宋_GB2312"/>
          <w:color w:val="000000"/>
          <w:sz w:val="32"/>
          <w:szCs w:val="32"/>
        </w:rPr>
        <w:t>铁路、船舶、航空航天和其他运输设备制造业，其他制造业</w:t>
      </w:r>
      <w:r>
        <w:rPr>
          <w:rFonts w:hint="default" w:eastAsia="仿宋_GB2312"/>
          <w:color w:val="000000"/>
          <w:sz w:val="32"/>
          <w:szCs w:val="32"/>
          <w:lang w:eastAsia="zh-CN"/>
        </w:rPr>
        <w:t>，建筑装饰、装修和其他建筑业，</w:t>
      </w:r>
      <w:r>
        <w:rPr>
          <w:rFonts w:hint="default" w:eastAsia="仿宋_GB2312"/>
          <w:color w:val="000000"/>
          <w:sz w:val="32"/>
          <w:szCs w:val="32"/>
        </w:rPr>
        <w:t>专用设备制造业，商务服务业</w:t>
      </w:r>
      <w:r>
        <w:rPr>
          <w:rFonts w:hint="default" w:eastAsia="仿宋_GB2312"/>
          <w:color w:val="000000"/>
          <w:sz w:val="32"/>
          <w:szCs w:val="32"/>
          <w:lang w:val="en-US" w:eastAsia="zh-CN"/>
        </w:rPr>
        <w:t>约占</w:t>
      </w:r>
      <w:r>
        <w:rPr>
          <w:rFonts w:hint="default" w:eastAsia="仿宋_GB2312"/>
          <w:color w:val="000000"/>
          <w:sz w:val="32"/>
          <w:szCs w:val="32"/>
        </w:rPr>
        <w:t>2.1%</w:t>
      </w:r>
      <w:r>
        <w:rPr>
          <w:rFonts w:eastAsia="仿宋_GB2312"/>
          <w:color w:val="000000"/>
          <w:sz w:val="32"/>
          <w:szCs w:val="32"/>
        </w:rPr>
        <w:t>（见表</w:t>
      </w:r>
      <w:r>
        <w:rPr>
          <w:rFonts w:hint="eastAsia" w:eastAsia="仿宋_GB2312"/>
          <w:color w:val="000000"/>
          <w:sz w:val="32"/>
          <w:szCs w:val="32"/>
          <w:lang w:val="en-US" w:eastAsia="zh-CN"/>
        </w:rPr>
        <w:t>29</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29</w:t>
      </w:r>
      <w:r>
        <w:rPr>
          <w:rFonts w:hint="eastAsia" w:eastAsia="宋体"/>
        </w:rPr>
        <w:t>：</w:t>
      </w:r>
      <w:r>
        <w:rPr>
          <w:rFonts w:hint="eastAsia" w:eastAsia="宋体"/>
          <w:lang w:eastAsia="zh-CN"/>
        </w:rPr>
        <w:t>2023年</w:t>
      </w:r>
      <w:r>
        <w:rPr>
          <w:rFonts w:eastAsia="宋体"/>
        </w:rPr>
        <w:t>样本企业行业大类分布</w:t>
      </w:r>
    </w:p>
    <w:p>
      <w:pPr>
        <w:ind w:right="482"/>
        <w:jc w:val="right"/>
        <w:rPr>
          <w:b/>
          <w:sz w:val="24"/>
        </w:rPr>
      </w:pPr>
      <w:r>
        <w:rPr>
          <w:b/>
          <w:sz w:val="24"/>
        </w:rPr>
        <w:t>单位：%</w:t>
      </w:r>
    </w:p>
    <w:tbl>
      <w:tblPr>
        <w:tblStyle w:val="13"/>
        <w:tblW w:w="8455" w:type="dxa"/>
        <w:jc w:val="center"/>
        <w:tblLayout w:type="autofit"/>
        <w:tblCellMar>
          <w:top w:w="0" w:type="dxa"/>
          <w:left w:w="108" w:type="dxa"/>
          <w:bottom w:w="0" w:type="dxa"/>
          <w:right w:w="108" w:type="dxa"/>
        </w:tblCellMar>
      </w:tblPr>
      <w:tblGrid>
        <w:gridCol w:w="4535"/>
        <w:gridCol w:w="980"/>
        <w:gridCol w:w="980"/>
        <w:gridCol w:w="980"/>
        <w:gridCol w:w="980"/>
      </w:tblGrid>
      <w:tr>
        <w:tblPrEx>
          <w:tblCellMar>
            <w:top w:w="0" w:type="dxa"/>
            <w:left w:w="108" w:type="dxa"/>
            <w:bottom w:w="0" w:type="dxa"/>
            <w:right w:w="108" w:type="dxa"/>
          </w:tblCellMar>
        </w:tblPrEx>
        <w:trPr>
          <w:trHeight w:val="570" w:hRule="atLeast"/>
          <w:tblHeader/>
          <w:jc w:val="center"/>
        </w:trPr>
        <w:tc>
          <w:tcPr>
            <w:tcW w:w="4535" w:type="dxa"/>
            <w:tcBorders>
              <w:top w:val="single" w:color="auto" w:sz="8" w:space="0"/>
              <w:left w:val="nil"/>
              <w:bottom w:val="single" w:color="auto" w:sz="8" w:space="0"/>
              <w:right w:val="single" w:color="000000" w:sz="8" w:space="0"/>
            </w:tcBorders>
            <w:shd w:val="clear" w:color="auto" w:fill="92CDDC" w:themeFill="accent5" w:themeFillTint="99"/>
            <w:noWrap w:val="0"/>
            <w:vAlign w:val="center"/>
          </w:tcPr>
          <w:p>
            <w:pPr>
              <w:widowControl/>
              <w:jc w:val="center"/>
              <w:rPr>
                <w:rFonts w:ascii="Times New Roman" w:hAnsi="Times New Roman" w:cs="Times New Roman"/>
                <w:b/>
                <w:bCs/>
                <w:color w:val="000000"/>
                <w:kern w:val="0"/>
                <w:sz w:val="24"/>
              </w:rPr>
            </w:pPr>
            <w:r>
              <w:rPr>
                <w:rFonts w:hint="default" w:ascii="Times New Roman" w:hAnsi="Times New Roman" w:cs="Times New Roman"/>
                <w:b/>
                <w:bCs/>
                <w:color w:val="000000"/>
                <w:kern w:val="0"/>
                <w:sz w:val="24"/>
              </w:rPr>
              <w:t>行业</w:t>
            </w:r>
          </w:p>
        </w:tc>
        <w:tc>
          <w:tcPr>
            <w:tcW w:w="98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1季度</w:t>
            </w:r>
          </w:p>
        </w:tc>
        <w:tc>
          <w:tcPr>
            <w:tcW w:w="98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2季度</w:t>
            </w:r>
          </w:p>
        </w:tc>
        <w:tc>
          <w:tcPr>
            <w:tcW w:w="98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3季度</w:t>
            </w:r>
          </w:p>
        </w:tc>
        <w:tc>
          <w:tcPr>
            <w:tcW w:w="980" w:type="dxa"/>
            <w:tcBorders>
              <w:top w:val="single" w:color="auto" w:sz="8" w:space="0"/>
              <w:left w:val="nil"/>
              <w:bottom w:val="single" w:color="auto" w:sz="8" w:space="0"/>
              <w:right w:val="nil"/>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4季度</w:t>
            </w:r>
          </w:p>
        </w:tc>
      </w:tr>
      <w:tr>
        <w:tblPrEx>
          <w:tblCellMar>
            <w:top w:w="0" w:type="dxa"/>
            <w:left w:w="108" w:type="dxa"/>
            <w:bottom w:w="0" w:type="dxa"/>
            <w:right w:w="108" w:type="dxa"/>
          </w:tblCellMar>
        </w:tblPrEx>
        <w:trPr>
          <w:trHeight w:val="285"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住宿业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7.9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7.9 </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批发业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6.4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6.4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7.1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7.1 </w:t>
            </w:r>
          </w:p>
        </w:tc>
      </w:tr>
      <w:tr>
        <w:tblPrEx>
          <w:tblCellMar>
            <w:top w:w="0" w:type="dxa"/>
            <w:left w:w="108" w:type="dxa"/>
            <w:bottom w:w="0" w:type="dxa"/>
            <w:right w:w="108" w:type="dxa"/>
          </w:tblCellMar>
        </w:tblPrEx>
        <w:trPr>
          <w:trHeight w:val="285"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化学原料和化学制品制造业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8.6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8.6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6.4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6.4 </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橡胶和塑料制品业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r>
      <w:tr>
        <w:tblPrEx>
          <w:tblCellMar>
            <w:top w:w="0" w:type="dxa"/>
            <w:left w:w="108" w:type="dxa"/>
            <w:bottom w:w="0" w:type="dxa"/>
            <w:right w:w="108" w:type="dxa"/>
          </w:tblCellMar>
        </w:tblPrEx>
        <w:trPr>
          <w:trHeight w:val="285"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4.3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4.3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金属制品业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5.0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5.0 </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电气机械和器材制造业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4.3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5.0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4.3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5.0 </w:t>
            </w:r>
          </w:p>
        </w:tc>
      </w:tr>
      <w:tr>
        <w:tblPrEx>
          <w:tblCellMar>
            <w:top w:w="0" w:type="dxa"/>
            <w:left w:w="108" w:type="dxa"/>
            <w:bottom w:w="0" w:type="dxa"/>
            <w:right w:w="108" w:type="dxa"/>
          </w:tblCellMar>
        </w:tblPrEx>
        <w:trPr>
          <w:trHeight w:val="285"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非金属矿物制品业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4.3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4.3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4.3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4.3 </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农副食品加工业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汽车制造业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零售业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4.3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4.3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r>
      <w:tr>
        <w:tblPrEx>
          <w:tblCellMar>
            <w:top w:w="0" w:type="dxa"/>
            <w:left w:w="108" w:type="dxa"/>
            <w:bottom w:w="0" w:type="dxa"/>
            <w:right w:w="108" w:type="dxa"/>
          </w:tblCellMar>
        </w:tblPrEx>
        <w:trPr>
          <w:trHeight w:val="285"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家具制造业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道路运输业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纺织业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CellMar>
            <w:top w:w="0" w:type="dxa"/>
            <w:left w:w="108" w:type="dxa"/>
            <w:bottom w:w="0" w:type="dxa"/>
            <w:right w:w="108" w:type="dxa"/>
          </w:tblCellMar>
        </w:tblPrEx>
        <w:trPr>
          <w:trHeight w:val="285"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文教、工美、体育和娱乐用品制造业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医药制造业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铁路、船舶、航空航天和其他运输设备制造业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其他制造业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建筑装饰、装修和其他建筑业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专用设备制造业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商务服务业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980" w:type="dxa"/>
            <w:tcBorders>
              <w:top w:val="nil"/>
              <w:left w:val="nil"/>
              <w:bottom w:val="single" w:color="auto" w:sz="8" w:space="0"/>
              <w:right w:val="nil"/>
            </w:tcBorders>
            <w:noWrap w:val="0"/>
            <w:vAlign w:val="bottom"/>
          </w:tcPr>
          <w:p>
            <w:pPr>
              <w:widowControl/>
              <w:jc w:val="center"/>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1.4 </w:t>
            </w:r>
          </w:p>
        </w:tc>
      </w:tr>
    </w:tbl>
    <w:p>
      <w:pPr>
        <w:spacing w:line="360" w:lineRule="auto"/>
        <w:ind w:firstLine="440" w:firstLineChars="200"/>
        <w:rPr>
          <w:rFonts w:eastAsia="仿宋"/>
          <w:color w:val="000000"/>
          <w:sz w:val="22"/>
          <w:szCs w:val="22"/>
        </w:rPr>
      </w:pPr>
      <w:r>
        <w:rPr>
          <w:rFonts w:eastAsia="仿宋"/>
          <w:color w:val="000000"/>
          <w:sz w:val="22"/>
          <w:szCs w:val="22"/>
        </w:rPr>
        <w:t>注：由于样本企业行业大类分布较多，上表只列举了占比较大的部分行业大类。</w:t>
      </w:r>
    </w:p>
    <w:p>
      <w:pPr>
        <w:spacing w:line="360" w:lineRule="auto"/>
        <w:ind w:firstLine="643" w:firstLineChars="200"/>
        <w:rPr>
          <w:rFonts w:eastAsia="仿宋"/>
          <w:b/>
          <w:bCs/>
          <w:color w:val="000000"/>
          <w:sz w:val="32"/>
          <w:szCs w:val="32"/>
        </w:rPr>
      </w:pPr>
      <w:r>
        <w:rPr>
          <w:rFonts w:eastAsia="仿宋"/>
          <w:b/>
          <w:bCs/>
          <w:color w:val="000000"/>
          <w:sz w:val="32"/>
          <w:szCs w:val="32"/>
        </w:rPr>
        <w:t>3.行业中类中</w:t>
      </w:r>
      <w:r>
        <w:rPr>
          <w:rFonts w:hint="eastAsia" w:eastAsia="仿宋"/>
          <w:b/>
          <w:bCs/>
          <w:color w:val="000000"/>
          <w:sz w:val="32"/>
          <w:szCs w:val="32"/>
        </w:rPr>
        <w:t>旅游饭店</w:t>
      </w:r>
      <w:r>
        <w:rPr>
          <w:rFonts w:eastAsia="仿宋"/>
          <w:b/>
          <w:sz w:val="32"/>
          <w:szCs w:val="32"/>
        </w:rPr>
        <w:t>占比最高</w:t>
      </w:r>
    </w:p>
    <w:p>
      <w:pPr>
        <w:spacing w:line="240" w:lineRule="auto"/>
        <w:ind w:firstLine="640" w:firstLineChars="200"/>
        <w:rPr>
          <w:rFonts w:eastAsia="仿宋_GB2312"/>
          <w:color w:val="000000"/>
          <w:sz w:val="32"/>
          <w:szCs w:val="32"/>
        </w:rPr>
      </w:pPr>
      <w:r>
        <w:rPr>
          <w:rFonts w:eastAsia="仿宋_GB2312"/>
          <w:color w:val="000000"/>
          <w:sz w:val="32"/>
          <w:szCs w:val="32"/>
        </w:rPr>
        <w:t>从行业中类来看，</w:t>
      </w:r>
      <w:r>
        <w:rPr>
          <w:rFonts w:hint="default" w:eastAsia="仿宋_GB2312"/>
          <w:color w:val="000000"/>
          <w:sz w:val="32"/>
          <w:szCs w:val="32"/>
          <w:lang w:eastAsia="zh-CN"/>
        </w:rPr>
        <w:t>2023年</w:t>
      </w:r>
      <w:r>
        <w:rPr>
          <w:rFonts w:hint="default" w:eastAsia="仿宋_GB2312"/>
          <w:color w:val="000000"/>
          <w:sz w:val="32"/>
          <w:szCs w:val="32"/>
        </w:rPr>
        <w:t>样本企业中</w:t>
      </w:r>
      <w:r>
        <w:rPr>
          <w:rFonts w:eastAsia="仿宋_GB2312"/>
          <w:color w:val="000000"/>
          <w:sz w:val="32"/>
          <w:szCs w:val="32"/>
        </w:rPr>
        <w:t>，</w:t>
      </w:r>
      <w:r>
        <w:rPr>
          <w:rFonts w:hint="default" w:eastAsia="仿宋_GB2312"/>
          <w:color w:val="000000"/>
          <w:sz w:val="32"/>
          <w:szCs w:val="32"/>
        </w:rPr>
        <w:t>旅游饭店</w:t>
      </w:r>
      <w:r>
        <w:rPr>
          <w:rFonts w:eastAsia="仿宋_GB2312"/>
          <w:color w:val="000000"/>
          <w:sz w:val="32"/>
          <w:szCs w:val="32"/>
        </w:rPr>
        <w:t>占比最</w:t>
      </w:r>
      <w:r>
        <w:rPr>
          <w:rFonts w:hint="default" w:eastAsia="仿宋_GB2312"/>
          <w:color w:val="000000"/>
          <w:sz w:val="32"/>
          <w:szCs w:val="32"/>
        </w:rPr>
        <w:t>高</w:t>
      </w:r>
      <w:r>
        <w:rPr>
          <w:rFonts w:eastAsia="仿宋_GB2312"/>
          <w:color w:val="000000"/>
          <w:sz w:val="32"/>
          <w:szCs w:val="32"/>
        </w:rPr>
        <w:t>，</w:t>
      </w:r>
      <w:r>
        <w:rPr>
          <w:rFonts w:hint="default" w:eastAsia="仿宋_GB2312"/>
          <w:color w:val="000000"/>
          <w:sz w:val="32"/>
          <w:szCs w:val="32"/>
          <w:lang w:val="en-US" w:eastAsia="zh-CN"/>
        </w:rPr>
        <w:t>约占7.9%</w:t>
      </w:r>
      <w:r>
        <w:rPr>
          <w:rFonts w:hint="default" w:eastAsia="仿宋_GB2312"/>
          <w:color w:val="000000"/>
          <w:sz w:val="32"/>
          <w:szCs w:val="32"/>
        </w:rPr>
        <w:t>；</w:t>
      </w:r>
      <w:r>
        <w:rPr>
          <w:rFonts w:eastAsia="仿宋_GB2312"/>
          <w:color w:val="000000"/>
          <w:sz w:val="32"/>
          <w:szCs w:val="32"/>
        </w:rPr>
        <w:t>塑料制品业</w:t>
      </w:r>
      <w:r>
        <w:rPr>
          <w:rFonts w:hint="default" w:eastAsia="仿宋_GB2312"/>
          <w:color w:val="000000"/>
          <w:sz w:val="32"/>
          <w:szCs w:val="32"/>
        </w:rPr>
        <w:t>、</w:t>
      </w:r>
      <w:r>
        <w:rPr>
          <w:rFonts w:hint="default" w:eastAsia="仿宋_GB2312"/>
          <w:color w:val="000000"/>
          <w:sz w:val="32"/>
          <w:szCs w:val="32"/>
          <w:lang w:val="en-US" w:eastAsia="zh-CN"/>
        </w:rPr>
        <w:t>房地产开发经营</w:t>
      </w:r>
      <w:r>
        <w:rPr>
          <w:rFonts w:hint="default" w:eastAsia="仿宋_GB2312"/>
          <w:color w:val="000000"/>
          <w:sz w:val="32"/>
          <w:szCs w:val="32"/>
        </w:rPr>
        <w:t>、</w:t>
      </w:r>
      <w:r>
        <w:rPr>
          <w:rFonts w:hint="default" w:eastAsia="仿宋_GB2312"/>
          <w:color w:val="000000"/>
          <w:sz w:val="32"/>
          <w:szCs w:val="32"/>
          <w:lang w:val="en-US" w:eastAsia="zh-CN"/>
        </w:rPr>
        <w:t>汽车零部件及配件制造</w:t>
      </w:r>
      <w:r>
        <w:rPr>
          <w:rFonts w:hint="default" w:eastAsia="仿宋_GB2312"/>
          <w:color w:val="000000"/>
          <w:sz w:val="32"/>
          <w:szCs w:val="32"/>
        </w:rPr>
        <w:t>、</w:t>
      </w:r>
      <w:r>
        <w:rPr>
          <w:rFonts w:hint="default" w:eastAsia="仿宋_GB2312"/>
          <w:color w:val="000000"/>
          <w:sz w:val="32"/>
          <w:szCs w:val="32"/>
          <w:lang w:val="en-US" w:eastAsia="zh-CN"/>
        </w:rPr>
        <w:t>家用电力器具制造</w:t>
      </w:r>
      <w:r>
        <w:rPr>
          <w:rFonts w:eastAsia="仿宋_GB2312"/>
          <w:color w:val="000000"/>
          <w:sz w:val="32"/>
          <w:szCs w:val="32"/>
        </w:rPr>
        <w:t>占比也较大，</w:t>
      </w:r>
      <w:r>
        <w:rPr>
          <w:rFonts w:hint="default" w:eastAsia="仿宋_GB2312"/>
          <w:color w:val="000000"/>
          <w:sz w:val="32"/>
          <w:szCs w:val="32"/>
        </w:rPr>
        <w:t>分别为</w:t>
      </w:r>
      <w:r>
        <w:rPr>
          <w:rFonts w:hint="default" w:eastAsia="仿宋_GB2312"/>
          <w:color w:val="000000"/>
          <w:sz w:val="32"/>
          <w:szCs w:val="32"/>
          <w:lang w:val="en-US" w:eastAsia="zh-CN"/>
        </w:rPr>
        <w:t>5.0</w:t>
      </w:r>
      <w:r>
        <w:rPr>
          <w:rFonts w:hint="default" w:eastAsia="仿宋_GB2312"/>
          <w:color w:val="000000"/>
          <w:sz w:val="32"/>
          <w:szCs w:val="32"/>
        </w:rPr>
        <w:t>%、约占</w:t>
      </w:r>
      <w:r>
        <w:rPr>
          <w:rFonts w:hint="default" w:eastAsia="仿宋_GB2312"/>
          <w:color w:val="000000"/>
          <w:sz w:val="32"/>
          <w:szCs w:val="32"/>
          <w:lang w:val="en-US" w:eastAsia="zh-CN"/>
        </w:rPr>
        <w:t>2.9%</w:t>
      </w:r>
      <w:r>
        <w:rPr>
          <w:rFonts w:hint="default" w:eastAsia="仿宋_GB2312"/>
          <w:color w:val="000000"/>
          <w:sz w:val="32"/>
          <w:szCs w:val="32"/>
        </w:rPr>
        <w:t>、2.9%和约占</w:t>
      </w:r>
      <w:r>
        <w:rPr>
          <w:rFonts w:hint="default" w:eastAsia="仿宋_GB2312"/>
          <w:color w:val="000000"/>
          <w:sz w:val="32"/>
          <w:szCs w:val="32"/>
          <w:lang w:val="en-US" w:eastAsia="zh-CN"/>
        </w:rPr>
        <w:t>2.5%</w:t>
      </w:r>
      <w:r>
        <w:rPr>
          <w:rFonts w:hint="default" w:eastAsia="仿宋_GB2312"/>
          <w:color w:val="000000"/>
          <w:sz w:val="32"/>
          <w:szCs w:val="32"/>
        </w:rPr>
        <w:t>；纺织、服装及家庭用品批发</w:t>
      </w:r>
      <w:r>
        <w:rPr>
          <w:rFonts w:hint="default" w:eastAsia="仿宋_GB2312"/>
          <w:color w:val="000000"/>
          <w:sz w:val="32"/>
          <w:szCs w:val="32"/>
          <w:lang w:eastAsia="zh-CN"/>
        </w:rPr>
        <w:t>、道路货物运输</w:t>
      </w:r>
      <w:r>
        <w:rPr>
          <w:rFonts w:hint="default" w:eastAsia="仿宋_GB2312"/>
          <w:color w:val="000000"/>
          <w:sz w:val="32"/>
          <w:szCs w:val="32"/>
        </w:rPr>
        <w:t>占比均为2.</w:t>
      </w:r>
      <w:r>
        <w:rPr>
          <w:rFonts w:hint="default" w:eastAsia="仿宋_GB2312"/>
          <w:color w:val="000000"/>
          <w:sz w:val="32"/>
          <w:szCs w:val="32"/>
          <w:lang w:val="en-US" w:eastAsia="zh-CN"/>
        </w:rPr>
        <w:t>9</w:t>
      </w:r>
      <w:r>
        <w:rPr>
          <w:rFonts w:hint="default" w:eastAsia="仿宋_GB2312"/>
          <w:color w:val="000000"/>
          <w:sz w:val="32"/>
          <w:szCs w:val="32"/>
        </w:rPr>
        <w:t>%</w:t>
      </w:r>
      <w:r>
        <w:rPr>
          <w:rFonts w:hint="default" w:eastAsia="仿宋_GB2312"/>
          <w:color w:val="000000"/>
          <w:sz w:val="32"/>
          <w:szCs w:val="32"/>
          <w:lang w:eastAsia="zh-CN"/>
        </w:rPr>
        <w:t>；</w:t>
      </w:r>
      <w:r>
        <w:rPr>
          <w:rFonts w:eastAsia="仿宋_GB2312"/>
          <w:color w:val="000000"/>
          <w:sz w:val="32"/>
          <w:szCs w:val="32"/>
        </w:rPr>
        <w:t>其他行业占比较</w:t>
      </w:r>
      <w:r>
        <w:rPr>
          <w:rFonts w:hint="default" w:eastAsia="仿宋_GB2312"/>
          <w:color w:val="000000"/>
          <w:sz w:val="32"/>
          <w:szCs w:val="32"/>
        </w:rPr>
        <w:t>低，日用化学产品制造、卫生材料及医药用品制造</w:t>
      </w:r>
      <w:r>
        <w:rPr>
          <w:rFonts w:hint="default" w:eastAsia="仿宋_GB2312"/>
          <w:color w:val="000000"/>
          <w:sz w:val="32"/>
          <w:szCs w:val="32"/>
          <w:lang w:eastAsia="zh-CN"/>
        </w:rPr>
        <w:t>、</w:t>
      </w:r>
      <w:r>
        <w:rPr>
          <w:rFonts w:hint="default" w:eastAsia="仿宋_GB2312"/>
          <w:color w:val="000000"/>
          <w:sz w:val="32"/>
          <w:szCs w:val="32"/>
        </w:rPr>
        <w:t>水泥、石灰和石膏制造、金属工具制造、摩托车制造、建筑装饰和装修业、物业管理的占比均为2.1%</w:t>
      </w:r>
      <w:r>
        <w:rPr>
          <w:rFonts w:eastAsia="仿宋_GB2312"/>
          <w:color w:val="000000"/>
          <w:sz w:val="32"/>
          <w:szCs w:val="32"/>
        </w:rPr>
        <w:t>（见表</w:t>
      </w:r>
      <w:r>
        <w:rPr>
          <w:rFonts w:hint="eastAsia" w:eastAsia="仿宋_GB2312"/>
          <w:color w:val="000000"/>
          <w:sz w:val="32"/>
          <w:szCs w:val="32"/>
          <w:lang w:val="en-US" w:eastAsia="zh-CN"/>
        </w:rPr>
        <w:t>30</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30</w:t>
      </w:r>
      <w:r>
        <w:rPr>
          <w:rFonts w:hint="eastAsia" w:eastAsia="宋体"/>
        </w:rPr>
        <w:t>：</w:t>
      </w:r>
      <w:r>
        <w:rPr>
          <w:rFonts w:hint="eastAsia" w:eastAsia="宋体"/>
          <w:lang w:eastAsia="zh-CN"/>
        </w:rPr>
        <w:t>2023年</w:t>
      </w:r>
      <w:r>
        <w:rPr>
          <w:rFonts w:eastAsia="宋体"/>
        </w:rPr>
        <w:t>样本企业行业中类分布</w:t>
      </w:r>
    </w:p>
    <w:p>
      <w:pPr>
        <w:ind w:right="723"/>
        <w:jc w:val="right"/>
        <w:rPr>
          <w:b/>
          <w:sz w:val="24"/>
        </w:rPr>
      </w:pPr>
      <w:r>
        <w:rPr>
          <w:b/>
          <w:sz w:val="24"/>
        </w:rPr>
        <w:t>单位：%</w:t>
      </w:r>
    </w:p>
    <w:tbl>
      <w:tblPr>
        <w:tblStyle w:val="13"/>
        <w:tblW w:w="7840" w:type="dxa"/>
        <w:jc w:val="center"/>
        <w:tblLayout w:type="autofit"/>
        <w:tblCellMar>
          <w:top w:w="0" w:type="dxa"/>
          <w:left w:w="108" w:type="dxa"/>
          <w:bottom w:w="0" w:type="dxa"/>
          <w:right w:w="108" w:type="dxa"/>
        </w:tblCellMar>
      </w:tblPr>
      <w:tblGrid>
        <w:gridCol w:w="3920"/>
        <w:gridCol w:w="980"/>
        <w:gridCol w:w="980"/>
        <w:gridCol w:w="980"/>
        <w:gridCol w:w="980"/>
      </w:tblGrid>
      <w:tr>
        <w:tblPrEx>
          <w:tblCellMar>
            <w:top w:w="0" w:type="dxa"/>
            <w:left w:w="108" w:type="dxa"/>
            <w:bottom w:w="0" w:type="dxa"/>
            <w:right w:w="108" w:type="dxa"/>
          </w:tblCellMar>
        </w:tblPrEx>
        <w:trPr>
          <w:trHeight w:val="570" w:hRule="atLeast"/>
          <w:tblHeader/>
          <w:jc w:val="center"/>
        </w:trPr>
        <w:tc>
          <w:tcPr>
            <w:tcW w:w="3920" w:type="dxa"/>
            <w:tcBorders>
              <w:top w:val="single" w:color="auto" w:sz="8" w:space="0"/>
              <w:left w:val="nil"/>
              <w:bottom w:val="single" w:color="auto" w:sz="4" w:space="0"/>
              <w:right w:val="single" w:color="000000" w:sz="8" w:space="0"/>
            </w:tcBorders>
            <w:shd w:val="clear" w:color="auto" w:fill="92CDDC" w:themeFill="accent5" w:themeFillTint="99"/>
            <w:noWrap w:val="0"/>
            <w:vAlign w:val="center"/>
          </w:tcPr>
          <w:p>
            <w:pPr>
              <w:widowControl/>
              <w:jc w:val="center"/>
              <w:rPr>
                <w:rFonts w:ascii="Times New Roman" w:hAnsi="Times New Roman" w:cs="Times New Roman"/>
                <w:b/>
                <w:bCs/>
                <w:color w:val="000000"/>
                <w:kern w:val="0"/>
                <w:sz w:val="24"/>
              </w:rPr>
            </w:pPr>
            <w:r>
              <w:rPr>
                <w:rFonts w:hint="default" w:ascii="Times New Roman" w:hAnsi="Times New Roman" w:cs="Times New Roman"/>
                <w:b/>
                <w:bCs/>
                <w:color w:val="000000"/>
                <w:kern w:val="0"/>
                <w:sz w:val="24"/>
              </w:rPr>
              <w:t>行业</w:t>
            </w:r>
          </w:p>
        </w:tc>
        <w:tc>
          <w:tcPr>
            <w:tcW w:w="980" w:type="dxa"/>
            <w:tcBorders>
              <w:top w:val="single" w:color="auto" w:sz="8" w:space="0"/>
              <w:left w:val="nil"/>
              <w:bottom w:val="single" w:color="auto" w:sz="4"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1季度</w:t>
            </w:r>
          </w:p>
        </w:tc>
        <w:tc>
          <w:tcPr>
            <w:tcW w:w="980" w:type="dxa"/>
            <w:tcBorders>
              <w:top w:val="single" w:color="auto" w:sz="8" w:space="0"/>
              <w:left w:val="nil"/>
              <w:bottom w:val="single" w:color="auto" w:sz="4"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2季度</w:t>
            </w:r>
          </w:p>
        </w:tc>
        <w:tc>
          <w:tcPr>
            <w:tcW w:w="980" w:type="dxa"/>
            <w:tcBorders>
              <w:top w:val="single" w:color="auto" w:sz="8" w:space="0"/>
              <w:left w:val="nil"/>
              <w:bottom w:val="single" w:color="auto" w:sz="4"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3季度</w:t>
            </w:r>
          </w:p>
        </w:tc>
        <w:tc>
          <w:tcPr>
            <w:tcW w:w="980" w:type="dxa"/>
            <w:tcBorders>
              <w:top w:val="single" w:color="auto" w:sz="8" w:space="0"/>
              <w:left w:val="nil"/>
              <w:bottom w:val="single" w:color="auto" w:sz="4" w:space="0"/>
              <w:right w:val="nil"/>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4季度</w:t>
            </w:r>
          </w:p>
        </w:tc>
      </w:tr>
      <w:tr>
        <w:tblPrEx>
          <w:tblCellMar>
            <w:top w:w="0" w:type="dxa"/>
            <w:left w:w="108" w:type="dxa"/>
            <w:bottom w:w="0" w:type="dxa"/>
            <w:right w:w="108" w:type="dxa"/>
          </w:tblCellMar>
        </w:tblPrEx>
        <w:trPr>
          <w:trHeight w:val="288" w:hRule="atLeast"/>
          <w:jc w:val="center"/>
        </w:trPr>
        <w:tc>
          <w:tcPr>
            <w:tcW w:w="3920" w:type="dxa"/>
            <w:tcBorders>
              <w:top w:val="single" w:color="auto" w:sz="4"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旅游饭店</w:t>
            </w:r>
          </w:p>
        </w:tc>
        <w:tc>
          <w:tcPr>
            <w:tcW w:w="980" w:type="dxa"/>
            <w:tcBorders>
              <w:top w:val="single" w:color="auto" w:sz="4" w:space="0"/>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7.9 </w:t>
            </w:r>
          </w:p>
        </w:tc>
        <w:tc>
          <w:tcPr>
            <w:tcW w:w="980" w:type="dxa"/>
            <w:tcBorders>
              <w:top w:val="single" w:color="auto" w:sz="4" w:space="0"/>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7.1 </w:t>
            </w:r>
          </w:p>
        </w:tc>
        <w:tc>
          <w:tcPr>
            <w:tcW w:w="980" w:type="dxa"/>
            <w:tcBorders>
              <w:top w:val="single" w:color="auto" w:sz="4" w:space="0"/>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7.9 </w:t>
            </w:r>
          </w:p>
        </w:tc>
        <w:tc>
          <w:tcPr>
            <w:tcW w:w="980" w:type="dxa"/>
            <w:tcBorders>
              <w:top w:val="single" w:color="auto" w:sz="4" w:space="0"/>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7.9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塑料制品业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5.0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5.0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5.0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5.0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房地产开发经营</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汽车零部件及配件制造</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家用电力器具制造</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纺织、服装及家庭用品批发</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道路货物运输</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日用化学产品制造</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卫生材料及医药用品制造</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水泥、石灰和石膏制造</w:t>
            </w:r>
          </w:p>
        </w:tc>
        <w:tc>
          <w:tcPr>
            <w:tcW w:w="980" w:type="dxa"/>
            <w:tcBorders>
              <w:top w:val="nil"/>
              <w:left w:val="nil"/>
              <w:bottom w:val="single" w:color="auto" w:sz="4"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4"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4"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4"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金属工具制造</w:t>
            </w:r>
          </w:p>
        </w:tc>
        <w:tc>
          <w:tcPr>
            <w:tcW w:w="980" w:type="dxa"/>
            <w:tcBorders>
              <w:top w:val="single" w:color="auto" w:sz="4" w:space="0"/>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single" w:color="auto" w:sz="4" w:space="0"/>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single" w:color="auto" w:sz="4" w:space="0"/>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single" w:color="auto" w:sz="4" w:space="0"/>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摩托车制造</w:t>
            </w:r>
          </w:p>
        </w:tc>
        <w:tc>
          <w:tcPr>
            <w:tcW w:w="980" w:type="dxa"/>
            <w:tcBorders>
              <w:top w:val="nil"/>
              <w:left w:val="nil"/>
              <w:bottom w:val="single" w:color="auto" w:sz="4"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4"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4"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4"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建筑装饰和装修业</w:t>
            </w:r>
          </w:p>
        </w:tc>
        <w:tc>
          <w:tcPr>
            <w:tcW w:w="980" w:type="dxa"/>
            <w:tcBorders>
              <w:top w:val="single" w:color="auto" w:sz="4" w:space="0"/>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single" w:color="auto" w:sz="4" w:space="0"/>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single" w:color="auto" w:sz="4" w:space="0"/>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single" w:color="auto" w:sz="4" w:space="0"/>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物业管理</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nil"/>
            </w:tcBorders>
            <w:noWrap w:val="0"/>
            <w:vAlign w:val="bottom"/>
          </w:tcPr>
          <w:p>
            <w:pPr>
              <w:widowControl/>
              <w:jc w:val="center"/>
              <w:textAlignment w:val="bottom"/>
              <w:rPr>
                <w:rFonts w:hint="default"/>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bl>
    <w:p>
      <w:pPr>
        <w:spacing w:line="360" w:lineRule="auto"/>
        <w:ind w:firstLine="660" w:firstLineChars="300"/>
        <w:rPr>
          <w:rFonts w:eastAsia="仿宋"/>
          <w:color w:val="000000"/>
          <w:sz w:val="22"/>
          <w:szCs w:val="22"/>
        </w:rPr>
      </w:pPr>
      <w:r>
        <w:rPr>
          <w:rFonts w:eastAsia="仿宋"/>
          <w:color w:val="000000"/>
          <w:sz w:val="22"/>
          <w:szCs w:val="22"/>
        </w:rPr>
        <w:t>注：由于样本企业行业中类分布较多，上表只列举了占比较大的部分行业中类。</w:t>
      </w:r>
    </w:p>
    <w:p>
      <w:pPr>
        <w:spacing w:line="360" w:lineRule="auto"/>
        <w:ind w:firstLine="643" w:firstLineChars="200"/>
        <w:rPr>
          <w:rFonts w:eastAsia="仿宋"/>
          <w:b/>
          <w:bCs/>
          <w:color w:val="000000"/>
          <w:sz w:val="32"/>
          <w:szCs w:val="32"/>
        </w:rPr>
      </w:pPr>
      <w:r>
        <w:rPr>
          <w:rFonts w:eastAsia="仿宋"/>
          <w:b/>
          <w:bCs/>
          <w:color w:val="000000"/>
          <w:sz w:val="32"/>
          <w:szCs w:val="32"/>
        </w:rPr>
        <w:t>4.行业小类中旅游饭店</w:t>
      </w:r>
      <w:r>
        <w:rPr>
          <w:rFonts w:eastAsia="仿宋"/>
          <w:b/>
          <w:sz w:val="32"/>
          <w:szCs w:val="32"/>
        </w:rPr>
        <w:t>占比最高</w:t>
      </w:r>
    </w:p>
    <w:p>
      <w:pPr>
        <w:spacing w:line="240" w:lineRule="auto"/>
        <w:ind w:firstLine="640" w:firstLineChars="200"/>
        <w:rPr>
          <w:rFonts w:eastAsia="仿宋_GB2312"/>
          <w:color w:val="000000"/>
          <w:sz w:val="32"/>
          <w:szCs w:val="32"/>
        </w:rPr>
      </w:pPr>
      <w:r>
        <w:rPr>
          <w:rFonts w:eastAsia="仿宋_GB2312"/>
          <w:color w:val="000000"/>
          <w:sz w:val="32"/>
          <w:szCs w:val="32"/>
        </w:rPr>
        <w:t>从行业小类来看，</w:t>
      </w:r>
      <w:r>
        <w:rPr>
          <w:rFonts w:hint="default" w:eastAsia="仿宋_GB2312"/>
          <w:color w:val="000000"/>
          <w:sz w:val="32"/>
          <w:szCs w:val="32"/>
          <w:lang w:eastAsia="zh-CN"/>
        </w:rPr>
        <w:t>2023年</w:t>
      </w:r>
      <w:r>
        <w:rPr>
          <w:rFonts w:hint="default" w:eastAsia="仿宋_GB2312"/>
          <w:color w:val="000000"/>
          <w:sz w:val="32"/>
          <w:szCs w:val="32"/>
        </w:rPr>
        <w:t>样本企业中</w:t>
      </w:r>
      <w:r>
        <w:rPr>
          <w:rFonts w:eastAsia="仿宋_GB2312"/>
          <w:color w:val="000000"/>
          <w:sz w:val="32"/>
          <w:szCs w:val="32"/>
        </w:rPr>
        <w:t>，旅游饭店占比最</w:t>
      </w:r>
      <w:r>
        <w:rPr>
          <w:rFonts w:hint="default" w:eastAsia="仿宋_GB2312"/>
          <w:color w:val="000000"/>
          <w:sz w:val="32"/>
          <w:szCs w:val="32"/>
        </w:rPr>
        <w:t>高</w:t>
      </w:r>
      <w:r>
        <w:rPr>
          <w:rFonts w:eastAsia="仿宋_GB2312"/>
          <w:color w:val="000000"/>
          <w:sz w:val="32"/>
          <w:szCs w:val="32"/>
        </w:rPr>
        <w:t>，</w:t>
      </w:r>
      <w:r>
        <w:rPr>
          <w:rFonts w:hint="default" w:eastAsia="仿宋_GB2312"/>
          <w:color w:val="000000"/>
          <w:sz w:val="32"/>
          <w:szCs w:val="32"/>
          <w:lang w:val="en-US" w:eastAsia="zh-CN"/>
        </w:rPr>
        <w:t>约占7.9%</w:t>
      </w:r>
      <w:r>
        <w:rPr>
          <w:rFonts w:eastAsia="仿宋_GB2312"/>
          <w:color w:val="000000"/>
          <w:sz w:val="32"/>
          <w:szCs w:val="32"/>
        </w:rPr>
        <w:t>。</w:t>
      </w:r>
      <w:r>
        <w:rPr>
          <w:rFonts w:hint="default" w:eastAsia="仿宋_GB2312"/>
          <w:color w:val="000000"/>
          <w:sz w:val="32"/>
          <w:szCs w:val="32"/>
        </w:rPr>
        <w:t>房地产开发经营</w:t>
      </w:r>
      <w:r>
        <w:rPr>
          <w:rFonts w:hint="default" w:eastAsia="仿宋_GB2312"/>
          <w:color w:val="000000"/>
          <w:sz w:val="32"/>
          <w:szCs w:val="32"/>
          <w:lang w:eastAsia="zh-CN"/>
        </w:rPr>
        <w:t>、</w:t>
      </w:r>
      <w:r>
        <w:rPr>
          <w:rFonts w:hint="default" w:eastAsia="仿宋_GB2312"/>
          <w:color w:val="000000"/>
          <w:sz w:val="32"/>
          <w:szCs w:val="32"/>
        </w:rPr>
        <w:t>汽车零部件及配件制造、卫生材料及医药用品制造</w:t>
      </w:r>
      <w:r>
        <w:rPr>
          <w:rFonts w:hint="default" w:eastAsia="仿宋_GB2312"/>
          <w:color w:val="000000"/>
          <w:sz w:val="32"/>
          <w:szCs w:val="32"/>
          <w:lang w:eastAsia="zh-CN"/>
        </w:rPr>
        <w:t>、</w:t>
      </w:r>
      <w:r>
        <w:rPr>
          <w:rFonts w:hint="default" w:eastAsia="仿宋_GB2312"/>
          <w:color w:val="000000"/>
          <w:sz w:val="32"/>
          <w:szCs w:val="32"/>
        </w:rPr>
        <w:t>水泥制造、物业管理</w:t>
      </w:r>
      <w:r>
        <w:rPr>
          <w:rFonts w:eastAsia="仿宋_GB2312"/>
          <w:color w:val="000000"/>
          <w:sz w:val="32"/>
          <w:szCs w:val="32"/>
        </w:rPr>
        <w:t>的占比在</w:t>
      </w:r>
      <w:r>
        <w:rPr>
          <w:rFonts w:hint="default" w:eastAsia="仿宋_GB2312"/>
          <w:color w:val="000000"/>
          <w:sz w:val="32"/>
          <w:szCs w:val="32"/>
        </w:rPr>
        <w:t>2</w:t>
      </w:r>
      <w:r>
        <w:rPr>
          <w:rFonts w:eastAsia="仿宋_GB2312"/>
          <w:color w:val="000000"/>
          <w:sz w:val="32"/>
          <w:szCs w:val="32"/>
        </w:rPr>
        <w:t>%-</w:t>
      </w:r>
      <w:r>
        <w:rPr>
          <w:rFonts w:hint="default" w:eastAsia="仿宋_GB2312"/>
          <w:color w:val="000000"/>
          <w:sz w:val="32"/>
          <w:szCs w:val="32"/>
        </w:rPr>
        <w:t>4</w:t>
      </w:r>
      <w:r>
        <w:rPr>
          <w:rFonts w:eastAsia="仿宋_GB2312"/>
          <w:color w:val="000000"/>
          <w:sz w:val="32"/>
          <w:szCs w:val="32"/>
        </w:rPr>
        <w:t>%之间，其他行业占比较</w:t>
      </w:r>
      <w:r>
        <w:rPr>
          <w:rFonts w:hint="default" w:eastAsia="仿宋_GB2312"/>
          <w:color w:val="000000"/>
          <w:sz w:val="32"/>
          <w:szCs w:val="32"/>
        </w:rPr>
        <w:t>低</w:t>
      </w:r>
      <w:r>
        <w:rPr>
          <w:rFonts w:eastAsia="仿宋_GB2312"/>
          <w:color w:val="000000"/>
          <w:sz w:val="32"/>
          <w:szCs w:val="32"/>
        </w:rPr>
        <w:t>（见表</w:t>
      </w:r>
      <w:r>
        <w:rPr>
          <w:rFonts w:hint="eastAsia" w:eastAsia="仿宋_GB2312"/>
          <w:color w:val="000000"/>
          <w:sz w:val="32"/>
          <w:szCs w:val="32"/>
          <w:lang w:val="en-US" w:eastAsia="zh-CN"/>
        </w:rPr>
        <w:t>31</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31</w:t>
      </w:r>
      <w:r>
        <w:rPr>
          <w:rFonts w:hint="eastAsia" w:eastAsia="宋体"/>
        </w:rPr>
        <w:t>：</w:t>
      </w:r>
      <w:r>
        <w:rPr>
          <w:rFonts w:hint="eastAsia" w:eastAsia="宋体"/>
          <w:lang w:eastAsia="zh-CN"/>
        </w:rPr>
        <w:t>2023年</w:t>
      </w:r>
      <w:r>
        <w:rPr>
          <w:rFonts w:eastAsia="宋体"/>
        </w:rPr>
        <w:t>样本企业行业小类分布</w:t>
      </w:r>
    </w:p>
    <w:p>
      <w:pPr>
        <w:ind w:right="723"/>
        <w:jc w:val="right"/>
        <w:rPr>
          <w:b/>
          <w:sz w:val="24"/>
        </w:rPr>
      </w:pPr>
      <w:r>
        <w:rPr>
          <w:b/>
          <w:sz w:val="24"/>
        </w:rPr>
        <w:t>单位：%</w:t>
      </w:r>
    </w:p>
    <w:tbl>
      <w:tblPr>
        <w:tblStyle w:val="13"/>
        <w:tblW w:w="7840" w:type="dxa"/>
        <w:jc w:val="center"/>
        <w:tblLayout w:type="autofit"/>
        <w:tblCellMar>
          <w:top w:w="0" w:type="dxa"/>
          <w:left w:w="108" w:type="dxa"/>
          <w:bottom w:w="0" w:type="dxa"/>
          <w:right w:w="108" w:type="dxa"/>
        </w:tblCellMar>
      </w:tblPr>
      <w:tblGrid>
        <w:gridCol w:w="3920"/>
        <w:gridCol w:w="980"/>
        <w:gridCol w:w="980"/>
        <w:gridCol w:w="980"/>
        <w:gridCol w:w="980"/>
      </w:tblGrid>
      <w:tr>
        <w:tblPrEx>
          <w:tblCellMar>
            <w:top w:w="0" w:type="dxa"/>
            <w:left w:w="108" w:type="dxa"/>
            <w:bottom w:w="0" w:type="dxa"/>
            <w:right w:w="108" w:type="dxa"/>
          </w:tblCellMar>
        </w:tblPrEx>
        <w:trPr>
          <w:trHeight w:val="570" w:hRule="atLeast"/>
          <w:jc w:val="center"/>
        </w:trPr>
        <w:tc>
          <w:tcPr>
            <w:tcW w:w="3920" w:type="dxa"/>
            <w:tcBorders>
              <w:top w:val="single" w:color="auto" w:sz="8" w:space="0"/>
              <w:left w:val="nil"/>
              <w:bottom w:val="single" w:color="auto" w:sz="8" w:space="0"/>
              <w:right w:val="single" w:color="000000" w:sz="8" w:space="0"/>
            </w:tcBorders>
            <w:shd w:val="clear" w:color="auto" w:fill="92CDDC" w:themeFill="accent5" w:themeFillTint="99"/>
            <w:noWrap w:val="0"/>
            <w:vAlign w:val="center"/>
          </w:tcPr>
          <w:p>
            <w:pPr>
              <w:widowControl/>
              <w:jc w:val="center"/>
              <w:rPr>
                <w:rFonts w:ascii="Times New Roman" w:hAnsi="Times New Roman" w:cs="Times New Roman"/>
                <w:b/>
                <w:bCs/>
                <w:color w:val="000000"/>
                <w:kern w:val="0"/>
                <w:sz w:val="24"/>
              </w:rPr>
            </w:pPr>
            <w:r>
              <w:rPr>
                <w:rFonts w:hint="default" w:ascii="Times New Roman" w:hAnsi="Times New Roman" w:cs="Times New Roman"/>
                <w:b/>
                <w:bCs/>
                <w:color w:val="000000"/>
                <w:kern w:val="0"/>
                <w:sz w:val="24"/>
              </w:rPr>
              <w:t>行业</w:t>
            </w:r>
          </w:p>
        </w:tc>
        <w:tc>
          <w:tcPr>
            <w:tcW w:w="98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1季度</w:t>
            </w:r>
          </w:p>
        </w:tc>
        <w:tc>
          <w:tcPr>
            <w:tcW w:w="98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2季度</w:t>
            </w:r>
          </w:p>
        </w:tc>
        <w:tc>
          <w:tcPr>
            <w:tcW w:w="980" w:type="dxa"/>
            <w:tcBorders>
              <w:top w:val="single" w:color="auto" w:sz="8" w:space="0"/>
              <w:left w:val="nil"/>
              <w:bottom w:val="single" w:color="auto" w:sz="8" w:space="0"/>
              <w:right w:val="single" w:color="auto" w:sz="8" w:space="0"/>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3季度</w:t>
            </w:r>
          </w:p>
        </w:tc>
        <w:tc>
          <w:tcPr>
            <w:tcW w:w="980" w:type="dxa"/>
            <w:tcBorders>
              <w:top w:val="single" w:color="auto" w:sz="8" w:space="0"/>
              <w:left w:val="nil"/>
              <w:bottom w:val="single" w:color="auto" w:sz="8" w:space="0"/>
              <w:right w:val="nil"/>
            </w:tcBorders>
            <w:shd w:val="clear" w:color="auto" w:fill="92CDDC" w:themeFill="accent5" w:themeFillTint="99"/>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4季度</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旅游饭店</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7.9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7.1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7.9 </w:t>
            </w:r>
          </w:p>
        </w:tc>
        <w:tc>
          <w:tcPr>
            <w:tcW w:w="980" w:type="dxa"/>
            <w:tcBorders>
              <w:top w:val="nil"/>
              <w:left w:val="nil"/>
              <w:bottom w:val="single" w:color="auto" w:sz="8" w:space="0"/>
              <w:right w:val="nil"/>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7.9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房地产开发经营</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980" w:type="dxa"/>
            <w:tcBorders>
              <w:top w:val="nil"/>
              <w:left w:val="nil"/>
              <w:bottom w:val="single" w:color="auto" w:sz="8" w:space="0"/>
              <w:right w:val="nil"/>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汽车零部件及配件制造</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980" w:type="dxa"/>
            <w:tcBorders>
              <w:top w:val="nil"/>
              <w:left w:val="nil"/>
              <w:bottom w:val="single" w:color="auto" w:sz="8" w:space="0"/>
              <w:right w:val="nil"/>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卫生材料及医药用品制造</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nil"/>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水泥制造</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nil"/>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物业管理</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980" w:type="dxa"/>
            <w:tcBorders>
              <w:top w:val="nil"/>
              <w:left w:val="nil"/>
              <w:bottom w:val="single" w:color="auto" w:sz="8" w:space="0"/>
              <w:right w:val="nil"/>
            </w:tcBorders>
            <w:noWrap w:val="0"/>
            <w:vAlign w:val="bottom"/>
          </w:tcPr>
          <w:p>
            <w:pPr>
              <w:widowControl/>
              <w:jc w:val="center"/>
              <w:textAlignment w:val="bottom"/>
              <w:rPr>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r>
    </w:tbl>
    <w:p>
      <w:pPr>
        <w:spacing w:line="360" w:lineRule="auto"/>
        <w:ind w:firstLine="440" w:firstLineChars="200"/>
        <w:rPr>
          <w:rFonts w:eastAsia="仿宋"/>
          <w:color w:val="000000"/>
          <w:sz w:val="22"/>
          <w:szCs w:val="22"/>
        </w:rPr>
      </w:pPr>
      <w:r>
        <w:rPr>
          <w:rFonts w:eastAsia="仿宋"/>
          <w:color w:val="000000"/>
          <w:sz w:val="22"/>
          <w:szCs w:val="22"/>
        </w:rPr>
        <w:t>注：由于样本企业行业小类分布较多，上表只列举了占比较大的部分行业小类。</w:t>
      </w:r>
    </w:p>
    <w:p>
      <w:pPr>
        <w:ind w:firstLine="640" w:firstLineChars="200"/>
        <w:rPr>
          <w:rFonts w:hint="eastAsia" w:eastAsia="仿宋_GB2312"/>
          <w:color w:val="000000"/>
          <w:sz w:val="32"/>
          <w:szCs w:val="32"/>
        </w:rPr>
      </w:pPr>
    </w:p>
    <w:sectPr>
      <w:footerReference r:id="rId7"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0lCCcgBAACZ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NJQgn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9"/>
      </w:pPr>
      <w:r>
        <w:rPr>
          <w:rStyle w:val="20"/>
        </w:rPr>
        <w:footnoteRef/>
      </w:r>
      <w:r>
        <w:t xml:space="preserve"> </w:t>
      </w:r>
      <w:r>
        <w:rPr>
          <w:rFonts w:hint="eastAsia"/>
        </w:rPr>
        <w:t>流失人数占比=各行业的流失人数/总流失人数</w:t>
      </w:r>
    </w:p>
  </w:footnote>
  <w:footnote w:id="1">
    <w:p>
      <w:pPr>
        <w:pStyle w:val="9"/>
        <w:rPr>
          <w:rFonts w:hint="eastAsia"/>
        </w:rPr>
      </w:pPr>
      <w:r>
        <w:rPr>
          <w:rStyle w:val="20"/>
        </w:rPr>
        <w:footnoteRef/>
      </w:r>
      <w:r>
        <w:t xml:space="preserve"> </w:t>
      </w:r>
      <w:r>
        <w:rPr>
          <w:rFonts w:hint="eastAsia"/>
        </w:rPr>
        <w:t>流失率=行业</w:t>
      </w:r>
      <w:r>
        <w:t>流失人数</w:t>
      </w:r>
      <w:r>
        <w:rPr>
          <w:rFonts w:hint="eastAsia"/>
        </w:rPr>
        <w:t>/行业</w:t>
      </w:r>
      <w:r>
        <w:t>在岗总人数</w:t>
      </w:r>
    </w:p>
  </w:footnote>
  <w:footnote w:id="2">
    <w:p>
      <w:pPr>
        <w:pStyle w:val="9"/>
        <w:rPr>
          <w:rFonts w:hint="eastAsia"/>
        </w:rPr>
      </w:pPr>
      <w:r>
        <w:rPr>
          <w:rStyle w:val="20"/>
        </w:rPr>
        <w:footnoteRef/>
      </w:r>
      <w:r>
        <w:t xml:space="preserve"> </w:t>
      </w:r>
      <w:r>
        <w:rPr>
          <w:rFonts w:hint="eastAsia"/>
        </w:rPr>
        <w:t>新招率=</w:t>
      </w:r>
      <w:r>
        <w:t>行业新招人数</w:t>
      </w:r>
      <w:r>
        <w:rPr>
          <w:rFonts w:hint="eastAsia"/>
        </w:rPr>
        <w:t>/行业在岗</w:t>
      </w:r>
      <w:r>
        <w:t>总人数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4118E"/>
    <w:multiLevelType w:val="multilevel"/>
    <w:tmpl w:val="36E4118E"/>
    <w:lvl w:ilvl="0" w:tentative="0">
      <w:start w:val="1"/>
      <w:numFmt w:val="decimal"/>
      <w:pStyle w:val="42"/>
      <w:suff w:val="nothing"/>
      <w:lvlText w:val="表1.%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3B57A8"/>
    <w:multiLevelType w:val="multilevel"/>
    <w:tmpl w:val="4B3B57A8"/>
    <w:lvl w:ilvl="0" w:tentative="0">
      <w:start w:val="1"/>
      <w:numFmt w:val="decimal"/>
      <w:pStyle w:val="39"/>
      <w:suff w:val="nothing"/>
      <w:lvlText w:val="表2.%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A665C5"/>
    <w:multiLevelType w:val="multilevel"/>
    <w:tmpl w:val="52A665C5"/>
    <w:lvl w:ilvl="0" w:tentative="0">
      <w:start w:val="1"/>
      <w:numFmt w:val="chineseCountingThousand"/>
      <w:pStyle w:val="37"/>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6"/>
    <w:footnote w:id="7"/>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ODhhNzUzZmNlOWU5ZTUzZjlmNTRjYjIwZjI1ZjEifQ=="/>
    <w:docVar w:name="KSO_WPS_MARK_KEY" w:val="5d6a43e5-e8b9-4626-bb3c-14159c8568a7"/>
  </w:docVars>
  <w:rsids>
    <w:rsidRoot w:val="00323175"/>
    <w:rsid w:val="00000188"/>
    <w:rsid w:val="00000C22"/>
    <w:rsid w:val="00001ED3"/>
    <w:rsid w:val="000022A2"/>
    <w:rsid w:val="00002E73"/>
    <w:rsid w:val="00003264"/>
    <w:rsid w:val="00003585"/>
    <w:rsid w:val="00005329"/>
    <w:rsid w:val="00006C5F"/>
    <w:rsid w:val="00010B4A"/>
    <w:rsid w:val="000114AB"/>
    <w:rsid w:val="000119A4"/>
    <w:rsid w:val="000133D5"/>
    <w:rsid w:val="000139BD"/>
    <w:rsid w:val="000215A1"/>
    <w:rsid w:val="00021658"/>
    <w:rsid w:val="00023616"/>
    <w:rsid w:val="00023E84"/>
    <w:rsid w:val="00024456"/>
    <w:rsid w:val="000249CD"/>
    <w:rsid w:val="00025869"/>
    <w:rsid w:val="00025F42"/>
    <w:rsid w:val="000276E2"/>
    <w:rsid w:val="0003190F"/>
    <w:rsid w:val="000319F6"/>
    <w:rsid w:val="00031F2B"/>
    <w:rsid w:val="000332C4"/>
    <w:rsid w:val="000336D5"/>
    <w:rsid w:val="00035771"/>
    <w:rsid w:val="00037923"/>
    <w:rsid w:val="00040F99"/>
    <w:rsid w:val="0004156A"/>
    <w:rsid w:val="000418B3"/>
    <w:rsid w:val="00041BF7"/>
    <w:rsid w:val="000452DF"/>
    <w:rsid w:val="00051A4D"/>
    <w:rsid w:val="000527ED"/>
    <w:rsid w:val="000528F1"/>
    <w:rsid w:val="00052E47"/>
    <w:rsid w:val="00053023"/>
    <w:rsid w:val="00054042"/>
    <w:rsid w:val="00054411"/>
    <w:rsid w:val="000549DD"/>
    <w:rsid w:val="000550B4"/>
    <w:rsid w:val="000565C9"/>
    <w:rsid w:val="00056634"/>
    <w:rsid w:val="000566D9"/>
    <w:rsid w:val="000567C2"/>
    <w:rsid w:val="000575A9"/>
    <w:rsid w:val="00057A38"/>
    <w:rsid w:val="00061DFA"/>
    <w:rsid w:val="000626A4"/>
    <w:rsid w:val="0006319B"/>
    <w:rsid w:val="0006375C"/>
    <w:rsid w:val="00064994"/>
    <w:rsid w:val="00066095"/>
    <w:rsid w:val="00066634"/>
    <w:rsid w:val="0006754D"/>
    <w:rsid w:val="00070C11"/>
    <w:rsid w:val="0007114F"/>
    <w:rsid w:val="00071B69"/>
    <w:rsid w:val="000731CF"/>
    <w:rsid w:val="000733F8"/>
    <w:rsid w:val="00073AE0"/>
    <w:rsid w:val="00074AC2"/>
    <w:rsid w:val="00074E0F"/>
    <w:rsid w:val="000754F5"/>
    <w:rsid w:val="00076963"/>
    <w:rsid w:val="000809FC"/>
    <w:rsid w:val="00080F44"/>
    <w:rsid w:val="00080F70"/>
    <w:rsid w:val="0008141C"/>
    <w:rsid w:val="00082EF8"/>
    <w:rsid w:val="00083217"/>
    <w:rsid w:val="0008386C"/>
    <w:rsid w:val="00083A98"/>
    <w:rsid w:val="00084CF6"/>
    <w:rsid w:val="00085BD0"/>
    <w:rsid w:val="000870B6"/>
    <w:rsid w:val="00087FA5"/>
    <w:rsid w:val="00090952"/>
    <w:rsid w:val="000915B0"/>
    <w:rsid w:val="00092011"/>
    <w:rsid w:val="0009292B"/>
    <w:rsid w:val="000935DF"/>
    <w:rsid w:val="00094258"/>
    <w:rsid w:val="000950FF"/>
    <w:rsid w:val="00097992"/>
    <w:rsid w:val="00097E99"/>
    <w:rsid w:val="000A0483"/>
    <w:rsid w:val="000A1EAF"/>
    <w:rsid w:val="000A1FAD"/>
    <w:rsid w:val="000A4166"/>
    <w:rsid w:val="000A5495"/>
    <w:rsid w:val="000A637B"/>
    <w:rsid w:val="000B0A19"/>
    <w:rsid w:val="000B2D1B"/>
    <w:rsid w:val="000B2F65"/>
    <w:rsid w:val="000B3032"/>
    <w:rsid w:val="000B3C5C"/>
    <w:rsid w:val="000B4536"/>
    <w:rsid w:val="000B5F03"/>
    <w:rsid w:val="000B6392"/>
    <w:rsid w:val="000B6AB0"/>
    <w:rsid w:val="000B6CC6"/>
    <w:rsid w:val="000C0047"/>
    <w:rsid w:val="000C04B7"/>
    <w:rsid w:val="000C05CB"/>
    <w:rsid w:val="000C109B"/>
    <w:rsid w:val="000C1B71"/>
    <w:rsid w:val="000C2BCD"/>
    <w:rsid w:val="000C3112"/>
    <w:rsid w:val="000C3A70"/>
    <w:rsid w:val="000C5A45"/>
    <w:rsid w:val="000C73F3"/>
    <w:rsid w:val="000C7DC0"/>
    <w:rsid w:val="000D0834"/>
    <w:rsid w:val="000D1846"/>
    <w:rsid w:val="000D1DAA"/>
    <w:rsid w:val="000D20EF"/>
    <w:rsid w:val="000D239B"/>
    <w:rsid w:val="000D4219"/>
    <w:rsid w:val="000D446D"/>
    <w:rsid w:val="000D4966"/>
    <w:rsid w:val="000D4A23"/>
    <w:rsid w:val="000D4E3D"/>
    <w:rsid w:val="000D543E"/>
    <w:rsid w:val="000E00A9"/>
    <w:rsid w:val="000E241C"/>
    <w:rsid w:val="000E3E4A"/>
    <w:rsid w:val="000E452F"/>
    <w:rsid w:val="000E46E3"/>
    <w:rsid w:val="000E48A8"/>
    <w:rsid w:val="000E4937"/>
    <w:rsid w:val="000E5570"/>
    <w:rsid w:val="000E588A"/>
    <w:rsid w:val="000E5CD4"/>
    <w:rsid w:val="000E68A6"/>
    <w:rsid w:val="000E6F7E"/>
    <w:rsid w:val="000E7986"/>
    <w:rsid w:val="000F1086"/>
    <w:rsid w:val="000F24B0"/>
    <w:rsid w:val="000F2C9E"/>
    <w:rsid w:val="000F2E63"/>
    <w:rsid w:val="000F3840"/>
    <w:rsid w:val="000F3E18"/>
    <w:rsid w:val="000F3EDB"/>
    <w:rsid w:val="000F49B7"/>
    <w:rsid w:val="000F4FAF"/>
    <w:rsid w:val="000F5A6D"/>
    <w:rsid w:val="000F657E"/>
    <w:rsid w:val="000F731B"/>
    <w:rsid w:val="000F7398"/>
    <w:rsid w:val="001016C6"/>
    <w:rsid w:val="001037F8"/>
    <w:rsid w:val="00104F88"/>
    <w:rsid w:val="0010607D"/>
    <w:rsid w:val="0010785C"/>
    <w:rsid w:val="00107A22"/>
    <w:rsid w:val="00107E89"/>
    <w:rsid w:val="001112AB"/>
    <w:rsid w:val="0011345E"/>
    <w:rsid w:val="00115AB6"/>
    <w:rsid w:val="00116B88"/>
    <w:rsid w:val="0011748D"/>
    <w:rsid w:val="001210B1"/>
    <w:rsid w:val="00121E01"/>
    <w:rsid w:val="00121EDD"/>
    <w:rsid w:val="00122B55"/>
    <w:rsid w:val="00123B5E"/>
    <w:rsid w:val="00124614"/>
    <w:rsid w:val="001254BD"/>
    <w:rsid w:val="001272EF"/>
    <w:rsid w:val="00127C85"/>
    <w:rsid w:val="00131F63"/>
    <w:rsid w:val="0013229C"/>
    <w:rsid w:val="001325C5"/>
    <w:rsid w:val="0013559C"/>
    <w:rsid w:val="001356C6"/>
    <w:rsid w:val="00135E6C"/>
    <w:rsid w:val="001376BD"/>
    <w:rsid w:val="00140BA5"/>
    <w:rsid w:val="00141EE4"/>
    <w:rsid w:val="001420B1"/>
    <w:rsid w:val="001425BC"/>
    <w:rsid w:val="00142EFC"/>
    <w:rsid w:val="001433DE"/>
    <w:rsid w:val="0014362C"/>
    <w:rsid w:val="001442F4"/>
    <w:rsid w:val="001443B3"/>
    <w:rsid w:val="001444FC"/>
    <w:rsid w:val="00144ACF"/>
    <w:rsid w:val="001472F4"/>
    <w:rsid w:val="00147FEE"/>
    <w:rsid w:val="00150328"/>
    <w:rsid w:val="00150506"/>
    <w:rsid w:val="00151A52"/>
    <w:rsid w:val="00151C17"/>
    <w:rsid w:val="00152384"/>
    <w:rsid w:val="0015240B"/>
    <w:rsid w:val="00152AA9"/>
    <w:rsid w:val="0015354E"/>
    <w:rsid w:val="00153CF0"/>
    <w:rsid w:val="00153DD2"/>
    <w:rsid w:val="001544AA"/>
    <w:rsid w:val="001563E0"/>
    <w:rsid w:val="00157662"/>
    <w:rsid w:val="00157DE2"/>
    <w:rsid w:val="00164CDA"/>
    <w:rsid w:val="00164D64"/>
    <w:rsid w:val="00166920"/>
    <w:rsid w:val="00167CE4"/>
    <w:rsid w:val="0017019B"/>
    <w:rsid w:val="00170766"/>
    <w:rsid w:val="001709E4"/>
    <w:rsid w:val="00171904"/>
    <w:rsid w:val="00171A42"/>
    <w:rsid w:val="00172D17"/>
    <w:rsid w:val="0017581E"/>
    <w:rsid w:val="00180146"/>
    <w:rsid w:val="0018076D"/>
    <w:rsid w:val="00184DE6"/>
    <w:rsid w:val="00185114"/>
    <w:rsid w:val="00186AFB"/>
    <w:rsid w:val="00186B6C"/>
    <w:rsid w:val="00187248"/>
    <w:rsid w:val="001925F0"/>
    <w:rsid w:val="001932B3"/>
    <w:rsid w:val="00193492"/>
    <w:rsid w:val="0019355A"/>
    <w:rsid w:val="0019464C"/>
    <w:rsid w:val="0019576C"/>
    <w:rsid w:val="00196027"/>
    <w:rsid w:val="00196E65"/>
    <w:rsid w:val="001A0204"/>
    <w:rsid w:val="001A2901"/>
    <w:rsid w:val="001A35B1"/>
    <w:rsid w:val="001A366E"/>
    <w:rsid w:val="001A367A"/>
    <w:rsid w:val="001A4605"/>
    <w:rsid w:val="001A65E1"/>
    <w:rsid w:val="001A7E7F"/>
    <w:rsid w:val="001B03C5"/>
    <w:rsid w:val="001B2114"/>
    <w:rsid w:val="001B2EAE"/>
    <w:rsid w:val="001B618A"/>
    <w:rsid w:val="001B6FAA"/>
    <w:rsid w:val="001B7E79"/>
    <w:rsid w:val="001C028B"/>
    <w:rsid w:val="001C1DF9"/>
    <w:rsid w:val="001C3B9C"/>
    <w:rsid w:val="001C3EF1"/>
    <w:rsid w:val="001C599D"/>
    <w:rsid w:val="001C5D63"/>
    <w:rsid w:val="001C6111"/>
    <w:rsid w:val="001C652C"/>
    <w:rsid w:val="001D0160"/>
    <w:rsid w:val="001D21D9"/>
    <w:rsid w:val="001D2C56"/>
    <w:rsid w:val="001D3AE6"/>
    <w:rsid w:val="001D511F"/>
    <w:rsid w:val="001D58C7"/>
    <w:rsid w:val="001D5A90"/>
    <w:rsid w:val="001D6AEF"/>
    <w:rsid w:val="001D721D"/>
    <w:rsid w:val="001D7CDF"/>
    <w:rsid w:val="001D7FDC"/>
    <w:rsid w:val="001E081B"/>
    <w:rsid w:val="001E0E98"/>
    <w:rsid w:val="001E20BB"/>
    <w:rsid w:val="001E30A5"/>
    <w:rsid w:val="001E40BE"/>
    <w:rsid w:val="001E4543"/>
    <w:rsid w:val="001E5D88"/>
    <w:rsid w:val="001F079C"/>
    <w:rsid w:val="001F0A7B"/>
    <w:rsid w:val="001F1FE2"/>
    <w:rsid w:val="001F39EF"/>
    <w:rsid w:val="001F4052"/>
    <w:rsid w:val="001F42E0"/>
    <w:rsid w:val="001F4416"/>
    <w:rsid w:val="001F54AE"/>
    <w:rsid w:val="001F68AA"/>
    <w:rsid w:val="001F790A"/>
    <w:rsid w:val="001F7CBB"/>
    <w:rsid w:val="001F7ECB"/>
    <w:rsid w:val="00200CB8"/>
    <w:rsid w:val="00200F79"/>
    <w:rsid w:val="002015C0"/>
    <w:rsid w:val="00203267"/>
    <w:rsid w:val="002039A8"/>
    <w:rsid w:val="00203E9F"/>
    <w:rsid w:val="00203F86"/>
    <w:rsid w:val="0020403A"/>
    <w:rsid w:val="002053FE"/>
    <w:rsid w:val="00205F1C"/>
    <w:rsid w:val="00205F34"/>
    <w:rsid w:val="002061AE"/>
    <w:rsid w:val="0021027C"/>
    <w:rsid w:val="00213980"/>
    <w:rsid w:val="00217708"/>
    <w:rsid w:val="00217AF8"/>
    <w:rsid w:val="00217BFB"/>
    <w:rsid w:val="00217F20"/>
    <w:rsid w:val="00220146"/>
    <w:rsid w:val="00220FFA"/>
    <w:rsid w:val="00221A6A"/>
    <w:rsid w:val="00224B09"/>
    <w:rsid w:val="00225233"/>
    <w:rsid w:val="00225DED"/>
    <w:rsid w:val="00226731"/>
    <w:rsid w:val="002267C6"/>
    <w:rsid w:val="00230218"/>
    <w:rsid w:val="002314E5"/>
    <w:rsid w:val="00232ADE"/>
    <w:rsid w:val="002331BF"/>
    <w:rsid w:val="002337BA"/>
    <w:rsid w:val="00235495"/>
    <w:rsid w:val="00240E7C"/>
    <w:rsid w:val="00242D4A"/>
    <w:rsid w:val="00243479"/>
    <w:rsid w:val="00243C0E"/>
    <w:rsid w:val="00243D24"/>
    <w:rsid w:val="0024616E"/>
    <w:rsid w:val="002464B7"/>
    <w:rsid w:val="00246822"/>
    <w:rsid w:val="00246AF6"/>
    <w:rsid w:val="0024751E"/>
    <w:rsid w:val="00250131"/>
    <w:rsid w:val="002517EF"/>
    <w:rsid w:val="00251D65"/>
    <w:rsid w:val="00255AD2"/>
    <w:rsid w:val="00256420"/>
    <w:rsid w:val="00256636"/>
    <w:rsid w:val="0025685C"/>
    <w:rsid w:val="00257098"/>
    <w:rsid w:val="00257654"/>
    <w:rsid w:val="00257B0B"/>
    <w:rsid w:val="002605CA"/>
    <w:rsid w:val="00260992"/>
    <w:rsid w:val="00260D1C"/>
    <w:rsid w:val="00262F6B"/>
    <w:rsid w:val="00264337"/>
    <w:rsid w:val="0026567A"/>
    <w:rsid w:val="00265CF6"/>
    <w:rsid w:val="00266AE6"/>
    <w:rsid w:val="00266DC2"/>
    <w:rsid w:val="0027087C"/>
    <w:rsid w:val="00272669"/>
    <w:rsid w:val="00273366"/>
    <w:rsid w:val="00273C80"/>
    <w:rsid w:val="00273D58"/>
    <w:rsid w:val="00277AEC"/>
    <w:rsid w:val="002811B7"/>
    <w:rsid w:val="00282582"/>
    <w:rsid w:val="00282F29"/>
    <w:rsid w:val="0028320B"/>
    <w:rsid w:val="00284C62"/>
    <w:rsid w:val="00286A7B"/>
    <w:rsid w:val="002870E0"/>
    <w:rsid w:val="002870FC"/>
    <w:rsid w:val="00287839"/>
    <w:rsid w:val="00287B27"/>
    <w:rsid w:val="0029245C"/>
    <w:rsid w:val="00293018"/>
    <w:rsid w:val="0029377E"/>
    <w:rsid w:val="00293FB6"/>
    <w:rsid w:val="00294EF0"/>
    <w:rsid w:val="00297A7D"/>
    <w:rsid w:val="00297ED7"/>
    <w:rsid w:val="002A0C07"/>
    <w:rsid w:val="002A1A03"/>
    <w:rsid w:val="002A383F"/>
    <w:rsid w:val="002A38DF"/>
    <w:rsid w:val="002A3EB0"/>
    <w:rsid w:val="002A4562"/>
    <w:rsid w:val="002A4CE6"/>
    <w:rsid w:val="002A58AE"/>
    <w:rsid w:val="002A6241"/>
    <w:rsid w:val="002A6E2A"/>
    <w:rsid w:val="002A799D"/>
    <w:rsid w:val="002B194B"/>
    <w:rsid w:val="002B3B7E"/>
    <w:rsid w:val="002B4139"/>
    <w:rsid w:val="002B75CE"/>
    <w:rsid w:val="002B7A9D"/>
    <w:rsid w:val="002C1927"/>
    <w:rsid w:val="002C1C62"/>
    <w:rsid w:val="002C20BA"/>
    <w:rsid w:val="002C3145"/>
    <w:rsid w:val="002C4B2E"/>
    <w:rsid w:val="002C4E77"/>
    <w:rsid w:val="002C5828"/>
    <w:rsid w:val="002C5AB0"/>
    <w:rsid w:val="002C641F"/>
    <w:rsid w:val="002D06F5"/>
    <w:rsid w:val="002D0C1D"/>
    <w:rsid w:val="002D169F"/>
    <w:rsid w:val="002D1E89"/>
    <w:rsid w:val="002D1F05"/>
    <w:rsid w:val="002D28C6"/>
    <w:rsid w:val="002D2D23"/>
    <w:rsid w:val="002D356D"/>
    <w:rsid w:val="002D3B8F"/>
    <w:rsid w:val="002D428E"/>
    <w:rsid w:val="002D6AA3"/>
    <w:rsid w:val="002D7338"/>
    <w:rsid w:val="002E002F"/>
    <w:rsid w:val="002E03C1"/>
    <w:rsid w:val="002E3816"/>
    <w:rsid w:val="002E3C93"/>
    <w:rsid w:val="002E3D6D"/>
    <w:rsid w:val="002E4D83"/>
    <w:rsid w:val="002E50C8"/>
    <w:rsid w:val="002E5B28"/>
    <w:rsid w:val="002E70A7"/>
    <w:rsid w:val="002F03ED"/>
    <w:rsid w:val="002F2652"/>
    <w:rsid w:val="002F39E2"/>
    <w:rsid w:val="002F45F3"/>
    <w:rsid w:val="002F5B2F"/>
    <w:rsid w:val="002F7FD6"/>
    <w:rsid w:val="00300412"/>
    <w:rsid w:val="003014E6"/>
    <w:rsid w:val="003025E1"/>
    <w:rsid w:val="0030280F"/>
    <w:rsid w:val="00302822"/>
    <w:rsid w:val="00302EB9"/>
    <w:rsid w:val="0030453B"/>
    <w:rsid w:val="00304D65"/>
    <w:rsid w:val="0030560C"/>
    <w:rsid w:val="0030754A"/>
    <w:rsid w:val="00311ADF"/>
    <w:rsid w:val="0031252F"/>
    <w:rsid w:val="00312C24"/>
    <w:rsid w:val="00316935"/>
    <w:rsid w:val="00317CE5"/>
    <w:rsid w:val="003203F6"/>
    <w:rsid w:val="00321B1A"/>
    <w:rsid w:val="0032279B"/>
    <w:rsid w:val="003230A8"/>
    <w:rsid w:val="00323175"/>
    <w:rsid w:val="00326E2C"/>
    <w:rsid w:val="003276BB"/>
    <w:rsid w:val="0033051D"/>
    <w:rsid w:val="00331275"/>
    <w:rsid w:val="00332673"/>
    <w:rsid w:val="00335C6A"/>
    <w:rsid w:val="00335E0A"/>
    <w:rsid w:val="00336302"/>
    <w:rsid w:val="003363C2"/>
    <w:rsid w:val="00336E4E"/>
    <w:rsid w:val="0034143E"/>
    <w:rsid w:val="00343664"/>
    <w:rsid w:val="00344077"/>
    <w:rsid w:val="0034512B"/>
    <w:rsid w:val="00345213"/>
    <w:rsid w:val="00350B4B"/>
    <w:rsid w:val="00353750"/>
    <w:rsid w:val="003538CC"/>
    <w:rsid w:val="0035633A"/>
    <w:rsid w:val="0035696B"/>
    <w:rsid w:val="00356A14"/>
    <w:rsid w:val="00356D41"/>
    <w:rsid w:val="003579DC"/>
    <w:rsid w:val="00362AE6"/>
    <w:rsid w:val="003633FF"/>
    <w:rsid w:val="003652EF"/>
    <w:rsid w:val="00367B35"/>
    <w:rsid w:val="003726B4"/>
    <w:rsid w:val="00372E7D"/>
    <w:rsid w:val="00373514"/>
    <w:rsid w:val="003755CC"/>
    <w:rsid w:val="0037619B"/>
    <w:rsid w:val="00381912"/>
    <w:rsid w:val="003822AC"/>
    <w:rsid w:val="003844FA"/>
    <w:rsid w:val="00384742"/>
    <w:rsid w:val="00384F1B"/>
    <w:rsid w:val="00385DC9"/>
    <w:rsid w:val="0039034E"/>
    <w:rsid w:val="00390B0F"/>
    <w:rsid w:val="00391444"/>
    <w:rsid w:val="00392628"/>
    <w:rsid w:val="003931AD"/>
    <w:rsid w:val="00394089"/>
    <w:rsid w:val="00394298"/>
    <w:rsid w:val="00394477"/>
    <w:rsid w:val="00394E0F"/>
    <w:rsid w:val="00397AB3"/>
    <w:rsid w:val="003A084F"/>
    <w:rsid w:val="003A087C"/>
    <w:rsid w:val="003A30C9"/>
    <w:rsid w:val="003A369C"/>
    <w:rsid w:val="003A4404"/>
    <w:rsid w:val="003A5BED"/>
    <w:rsid w:val="003A5E2B"/>
    <w:rsid w:val="003A6F49"/>
    <w:rsid w:val="003A72C6"/>
    <w:rsid w:val="003A7716"/>
    <w:rsid w:val="003A7E1D"/>
    <w:rsid w:val="003B599F"/>
    <w:rsid w:val="003B61BA"/>
    <w:rsid w:val="003B6A39"/>
    <w:rsid w:val="003C0CF1"/>
    <w:rsid w:val="003C15E3"/>
    <w:rsid w:val="003C1CD6"/>
    <w:rsid w:val="003C2084"/>
    <w:rsid w:val="003C31F6"/>
    <w:rsid w:val="003C35D6"/>
    <w:rsid w:val="003C390B"/>
    <w:rsid w:val="003C4145"/>
    <w:rsid w:val="003C5404"/>
    <w:rsid w:val="003D037B"/>
    <w:rsid w:val="003D0869"/>
    <w:rsid w:val="003D0EA2"/>
    <w:rsid w:val="003D1379"/>
    <w:rsid w:val="003D2732"/>
    <w:rsid w:val="003D2999"/>
    <w:rsid w:val="003D7CAD"/>
    <w:rsid w:val="003E0430"/>
    <w:rsid w:val="003E070D"/>
    <w:rsid w:val="003E0C10"/>
    <w:rsid w:val="003E1198"/>
    <w:rsid w:val="003E2BED"/>
    <w:rsid w:val="003E34BA"/>
    <w:rsid w:val="003E3F6E"/>
    <w:rsid w:val="003E5E7A"/>
    <w:rsid w:val="003E607D"/>
    <w:rsid w:val="003E6CD2"/>
    <w:rsid w:val="003E7C60"/>
    <w:rsid w:val="003F1B99"/>
    <w:rsid w:val="003F1F4A"/>
    <w:rsid w:val="003F3A8D"/>
    <w:rsid w:val="003F5D60"/>
    <w:rsid w:val="003F62F9"/>
    <w:rsid w:val="003F7505"/>
    <w:rsid w:val="00400F34"/>
    <w:rsid w:val="00401B0E"/>
    <w:rsid w:val="00402DC2"/>
    <w:rsid w:val="00402E2A"/>
    <w:rsid w:val="004041E9"/>
    <w:rsid w:val="004060E8"/>
    <w:rsid w:val="00406506"/>
    <w:rsid w:val="00406948"/>
    <w:rsid w:val="00407917"/>
    <w:rsid w:val="00407E8C"/>
    <w:rsid w:val="00410357"/>
    <w:rsid w:val="004106E0"/>
    <w:rsid w:val="00410DFE"/>
    <w:rsid w:val="004115A9"/>
    <w:rsid w:val="00414DB9"/>
    <w:rsid w:val="00415FE7"/>
    <w:rsid w:val="004170BA"/>
    <w:rsid w:val="00417309"/>
    <w:rsid w:val="00421997"/>
    <w:rsid w:val="004219CB"/>
    <w:rsid w:val="00421F62"/>
    <w:rsid w:val="004238EE"/>
    <w:rsid w:val="00423FED"/>
    <w:rsid w:val="00425557"/>
    <w:rsid w:val="00427DF8"/>
    <w:rsid w:val="00427E7D"/>
    <w:rsid w:val="0043024A"/>
    <w:rsid w:val="0043189E"/>
    <w:rsid w:val="00432961"/>
    <w:rsid w:val="00432B3D"/>
    <w:rsid w:val="0043326F"/>
    <w:rsid w:val="0043361C"/>
    <w:rsid w:val="0043705F"/>
    <w:rsid w:val="00437B6B"/>
    <w:rsid w:val="00441495"/>
    <w:rsid w:val="00441D87"/>
    <w:rsid w:val="00442C98"/>
    <w:rsid w:val="0044411D"/>
    <w:rsid w:val="0044423C"/>
    <w:rsid w:val="004446F1"/>
    <w:rsid w:val="004448F3"/>
    <w:rsid w:val="00445917"/>
    <w:rsid w:val="004473A9"/>
    <w:rsid w:val="00455728"/>
    <w:rsid w:val="004565E0"/>
    <w:rsid w:val="0045779C"/>
    <w:rsid w:val="004608CD"/>
    <w:rsid w:val="00461A0A"/>
    <w:rsid w:val="004626AC"/>
    <w:rsid w:val="00463770"/>
    <w:rsid w:val="00464798"/>
    <w:rsid w:val="0046522D"/>
    <w:rsid w:val="0046721E"/>
    <w:rsid w:val="0046779F"/>
    <w:rsid w:val="00467BFE"/>
    <w:rsid w:val="00470865"/>
    <w:rsid w:val="0047154C"/>
    <w:rsid w:val="00473CAC"/>
    <w:rsid w:val="004745AE"/>
    <w:rsid w:val="004751B4"/>
    <w:rsid w:val="00480EFD"/>
    <w:rsid w:val="00481A04"/>
    <w:rsid w:val="00481E11"/>
    <w:rsid w:val="00483145"/>
    <w:rsid w:val="00484281"/>
    <w:rsid w:val="0048461D"/>
    <w:rsid w:val="00486679"/>
    <w:rsid w:val="004903B8"/>
    <w:rsid w:val="00491151"/>
    <w:rsid w:val="004918CC"/>
    <w:rsid w:val="00491C7C"/>
    <w:rsid w:val="004927CF"/>
    <w:rsid w:val="004936A1"/>
    <w:rsid w:val="00493D6C"/>
    <w:rsid w:val="0049420A"/>
    <w:rsid w:val="00494C40"/>
    <w:rsid w:val="0049669E"/>
    <w:rsid w:val="00496822"/>
    <w:rsid w:val="00496A57"/>
    <w:rsid w:val="004971CE"/>
    <w:rsid w:val="00497848"/>
    <w:rsid w:val="004A305A"/>
    <w:rsid w:val="004A3DCF"/>
    <w:rsid w:val="004A3E37"/>
    <w:rsid w:val="004A427E"/>
    <w:rsid w:val="004A42E4"/>
    <w:rsid w:val="004A4F20"/>
    <w:rsid w:val="004A544C"/>
    <w:rsid w:val="004B1294"/>
    <w:rsid w:val="004B19BA"/>
    <w:rsid w:val="004B269A"/>
    <w:rsid w:val="004B3835"/>
    <w:rsid w:val="004B5564"/>
    <w:rsid w:val="004B5756"/>
    <w:rsid w:val="004B7418"/>
    <w:rsid w:val="004C5CDD"/>
    <w:rsid w:val="004C6434"/>
    <w:rsid w:val="004C6C27"/>
    <w:rsid w:val="004D0A88"/>
    <w:rsid w:val="004D1AF8"/>
    <w:rsid w:val="004D1EAD"/>
    <w:rsid w:val="004D216A"/>
    <w:rsid w:val="004D2F06"/>
    <w:rsid w:val="004D2FA1"/>
    <w:rsid w:val="004E32A6"/>
    <w:rsid w:val="004E39E2"/>
    <w:rsid w:val="004E669B"/>
    <w:rsid w:val="004E755C"/>
    <w:rsid w:val="004E7C2B"/>
    <w:rsid w:val="004F10B6"/>
    <w:rsid w:val="004F4A62"/>
    <w:rsid w:val="004F5239"/>
    <w:rsid w:val="004F6763"/>
    <w:rsid w:val="00502C56"/>
    <w:rsid w:val="00502E0F"/>
    <w:rsid w:val="00503740"/>
    <w:rsid w:val="00504A64"/>
    <w:rsid w:val="00510B5A"/>
    <w:rsid w:val="00511726"/>
    <w:rsid w:val="00511CD2"/>
    <w:rsid w:val="0051268D"/>
    <w:rsid w:val="00512F91"/>
    <w:rsid w:val="00513667"/>
    <w:rsid w:val="00514795"/>
    <w:rsid w:val="00514A9B"/>
    <w:rsid w:val="00515008"/>
    <w:rsid w:val="00516B3A"/>
    <w:rsid w:val="005170A7"/>
    <w:rsid w:val="005210F9"/>
    <w:rsid w:val="00522982"/>
    <w:rsid w:val="005231CC"/>
    <w:rsid w:val="0052367B"/>
    <w:rsid w:val="005241ED"/>
    <w:rsid w:val="00525A95"/>
    <w:rsid w:val="0052661C"/>
    <w:rsid w:val="0052667F"/>
    <w:rsid w:val="00527F45"/>
    <w:rsid w:val="005308BD"/>
    <w:rsid w:val="00530E7A"/>
    <w:rsid w:val="00530F80"/>
    <w:rsid w:val="005318AF"/>
    <w:rsid w:val="0053377D"/>
    <w:rsid w:val="00535B8E"/>
    <w:rsid w:val="00536CB6"/>
    <w:rsid w:val="0054099C"/>
    <w:rsid w:val="0054226E"/>
    <w:rsid w:val="00543763"/>
    <w:rsid w:val="00543D64"/>
    <w:rsid w:val="0054455A"/>
    <w:rsid w:val="0054502C"/>
    <w:rsid w:val="005454A2"/>
    <w:rsid w:val="00545BE7"/>
    <w:rsid w:val="00546FF7"/>
    <w:rsid w:val="005503E1"/>
    <w:rsid w:val="0055044F"/>
    <w:rsid w:val="00551C22"/>
    <w:rsid w:val="00552890"/>
    <w:rsid w:val="00552B7B"/>
    <w:rsid w:val="00553E08"/>
    <w:rsid w:val="00555836"/>
    <w:rsid w:val="00555ED0"/>
    <w:rsid w:val="00557D2D"/>
    <w:rsid w:val="00560B1C"/>
    <w:rsid w:val="00561265"/>
    <w:rsid w:val="00562E24"/>
    <w:rsid w:val="0056424C"/>
    <w:rsid w:val="00564B29"/>
    <w:rsid w:val="005667E5"/>
    <w:rsid w:val="0056743F"/>
    <w:rsid w:val="00572993"/>
    <w:rsid w:val="0057351D"/>
    <w:rsid w:val="00573562"/>
    <w:rsid w:val="005735A7"/>
    <w:rsid w:val="00573D32"/>
    <w:rsid w:val="00575992"/>
    <w:rsid w:val="005761D6"/>
    <w:rsid w:val="005807A4"/>
    <w:rsid w:val="005810A3"/>
    <w:rsid w:val="00582FDF"/>
    <w:rsid w:val="00583958"/>
    <w:rsid w:val="00585893"/>
    <w:rsid w:val="005860FD"/>
    <w:rsid w:val="0058654E"/>
    <w:rsid w:val="005865A3"/>
    <w:rsid w:val="005871C8"/>
    <w:rsid w:val="00590741"/>
    <w:rsid w:val="00590B15"/>
    <w:rsid w:val="00592B7C"/>
    <w:rsid w:val="00592BA6"/>
    <w:rsid w:val="00593AD3"/>
    <w:rsid w:val="00594582"/>
    <w:rsid w:val="0059646C"/>
    <w:rsid w:val="00597531"/>
    <w:rsid w:val="005A2BA8"/>
    <w:rsid w:val="005A30C9"/>
    <w:rsid w:val="005A31E6"/>
    <w:rsid w:val="005A3F0C"/>
    <w:rsid w:val="005A3FD4"/>
    <w:rsid w:val="005A44F8"/>
    <w:rsid w:val="005A64DC"/>
    <w:rsid w:val="005B2401"/>
    <w:rsid w:val="005B3899"/>
    <w:rsid w:val="005B4CF9"/>
    <w:rsid w:val="005B6D36"/>
    <w:rsid w:val="005B738A"/>
    <w:rsid w:val="005C0796"/>
    <w:rsid w:val="005C1D2B"/>
    <w:rsid w:val="005C2153"/>
    <w:rsid w:val="005C4747"/>
    <w:rsid w:val="005C54C3"/>
    <w:rsid w:val="005C59FD"/>
    <w:rsid w:val="005C5B12"/>
    <w:rsid w:val="005C7BFD"/>
    <w:rsid w:val="005D0C99"/>
    <w:rsid w:val="005D1565"/>
    <w:rsid w:val="005D44DF"/>
    <w:rsid w:val="005D62FD"/>
    <w:rsid w:val="005D6497"/>
    <w:rsid w:val="005D7C3B"/>
    <w:rsid w:val="005D7F2A"/>
    <w:rsid w:val="005E042F"/>
    <w:rsid w:val="005E0931"/>
    <w:rsid w:val="005E0A03"/>
    <w:rsid w:val="005E0AAD"/>
    <w:rsid w:val="005E0B9D"/>
    <w:rsid w:val="005E1681"/>
    <w:rsid w:val="005E3F4E"/>
    <w:rsid w:val="005E3F5A"/>
    <w:rsid w:val="005F1EFB"/>
    <w:rsid w:val="005F23F5"/>
    <w:rsid w:val="005F3141"/>
    <w:rsid w:val="005F3767"/>
    <w:rsid w:val="005F3814"/>
    <w:rsid w:val="005F44E3"/>
    <w:rsid w:val="005F4601"/>
    <w:rsid w:val="005F5BC4"/>
    <w:rsid w:val="005F7B3C"/>
    <w:rsid w:val="0060018A"/>
    <w:rsid w:val="006003DB"/>
    <w:rsid w:val="006018E0"/>
    <w:rsid w:val="00601A8D"/>
    <w:rsid w:val="00601F9F"/>
    <w:rsid w:val="006021D6"/>
    <w:rsid w:val="00602425"/>
    <w:rsid w:val="00604C91"/>
    <w:rsid w:val="006059B9"/>
    <w:rsid w:val="0060641E"/>
    <w:rsid w:val="006123E5"/>
    <w:rsid w:val="006125E4"/>
    <w:rsid w:val="006141E7"/>
    <w:rsid w:val="00616139"/>
    <w:rsid w:val="006204AE"/>
    <w:rsid w:val="00622136"/>
    <w:rsid w:val="006226FB"/>
    <w:rsid w:val="00623964"/>
    <w:rsid w:val="00623ADF"/>
    <w:rsid w:val="00624FBC"/>
    <w:rsid w:val="0063067D"/>
    <w:rsid w:val="006317AC"/>
    <w:rsid w:val="00632BEE"/>
    <w:rsid w:val="006338EA"/>
    <w:rsid w:val="00634C97"/>
    <w:rsid w:val="006366CB"/>
    <w:rsid w:val="0063712C"/>
    <w:rsid w:val="00637BD3"/>
    <w:rsid w:val="0064199A"/>
    <w:rsid w:val="00642253"/>
    <w:rsid w:val="00644447"/>
    <w:rsid w:val="00646731"/>
    <w:rsid w:val="006469B4"/>
    <w:rsid w:val="00646D07"/>
    <w:rsid w:val="00650F34"/>
    <w:rsid w:val="00651869"/>
    <w:rsid w:val="00651E5E"/>
    <w:rsid w:val="00654226"/>
    <w:rsid w:val="00655AA2"/>
    <w:rsid w:val="00656990"/>
    <w:rsid w:val="00656D2A"/>
    <w:rsid w:val="00657224"/>
    <w:rsid w:val="00657ABC"/>
    <w:rsid w:val="00661448"/>
    <w:rsid w:val="00662162"/>
    <w:rsid w:val="006627B9"/>
    <w:rsid w:val="00662915"/>
    <w:rsid w:val="00662D3B"/>
    <w:rsid w:val="00666518"/>
    <w:rsid w:val="00666A58"/>
    <w:rsid w:val="00666A88"/>
    <w:rsid w:val="00667302"/>
    <w:rsid w:val="006702A4"/>
    <w:rsid w:val="006706FC"/>
    <w:rsid w:val="00670FBD"/>
    <w:rsid w:val="00671AD6"/>
    <w:rsid w:val="00674E9E"/>
    <w:rsid w:val="00675D23"/>
    <w:rsid w:val="00676D14"/>
    <w:rsid w:val="006777B5"/>
    <w:rsid w:val="006812BB"/>
    <w:rsid w:val="0068193F"/>
    <w:rsid w:val="006820E6"/>
    <w:rsid w:val="00682544"/>
    <w:rsid w:val="006833D5"/>
    <w:rsid w:val="00683736"/>
    <w:rsid w:val="00683F7B"/>
    <w:rsid w:val="00684100"/>
    <w:rsid w:val="00686A2F"/>
    <w:rsid w:val="006910C4"/>
    <w:rsid w:val="006924F3"/>
    <w:rsid w:val="00692774"/>
    <w:rsid w:val="00692E30"/>
    <w:rsid w:val="0069338B"/>
    <w:rsid w:val="00696033"/>
    <w:rsid w:val="006A0359"/>
    <w:rsid w:val="006A0787"/>
    <w:rsid w:val="006A0C10"/>
    <w:rsid w:val="006A20C6"/>
    <w:rsid w:val="006A270D"/>
    <w:rsid w:val="006A34F8"/>
    <w:rsid w:val="006A5825"/>
    <w:rsid w:val="006A653A"/>
    <w:rsid w:val="006A65F9"/>
    <w:rsid w:val="006B08FC"/>
    <w:rsid w:val="006B19E2"/>
    <w:rsid w:val="006B47A1"/>
    <w:rsid w:val="006B5890"/>
    <w:rsid w:val="006C1046"/>
    <w:rsid w:val="006C1321"/>
    <w:rsid w:val="006C2DAA"/>
    <w:rsid w:val="006C3C2B"/>
    <w:rsid w:val="006C4494"/>
    <w:rsid w:val="006C45C8"/>
    <w:rsid w:val="006C52FD"/>
    <w:rsid w:val="006C6DD5"/>
    <w:rsid w:val="006C6F21"/>
    <w:rsid w:val="006D1494"/>
    <w:rsid w:val="006D175B"/>
    <w:rsid w:val="006D2B36"/>
    <w:rsid w:val="006D438E"/>
    <w:rsid w:val="006D587E"/>
    <w:rsid w:val="006D633C"/>
    <w:rsid w:val="006E1868"/>
    <w:rsid w:val="006E2C04"/>
    <w:rsid w:val="006E3EE3"/>
    <w:rsid w:val="006E4370"/>
    <w:rsid w:val="006E580B"/>
    <w:rsid w:val="006E5FE8"/>
    <w:rsid w:val="006E6CFF"/>
    <w:rsid w:val="006E74BD"/>
    <w:rsid w:val="006F00B4"/>
    <w:rsid w:val="006F1E35"/>
    <w:rsid w:val="006F1F74"/>
    <w:rsid w:val="006F5CCA"/>
    <w:rsid w:val="006F6225"/>
    <w:rsid w:val="006F6A20"/>
    <w:rsid w:val="006F7972"/>
    <w:rsid w:val="007036EC"/>
    <w:rsid w:val="007039FE"/>
    <w:rsid w:val="00704621"/>
    <w:rsid w:val="00704F26"/>
    <w:rsid w:val="00705EB0"/>
    <w:rsid w:val="00706B29"/>
    <w:rsid w:val="00706BBF"/>
    <w:rsid w:val="00707912"/>
    <w:rsid w:val="00707B08"/>
    <w:rsid w:val="00707F8C"/>
    <w:rsid w:val="00710019"/>
    <w:rsid w:val="00711D38"/>
    <w:rsid w:val="00715B88"/>
    <w:rsid w:val="00716BF0"/>
    <w:rsid w:val="00717132"/>
    <w:rsid w:val="00717C7E"/>
    <w:rsid w:val="0072356E"/>
    <w:rsid w:val="007239E3"/>
    <w:rsid w:val="00723B0E"/>
    <w:rsid w:val="00723D7A"/>
    <w:rsid w:val="007262E5"/>
    <w:rsid w:val="007267C3"/>
    <w:rsid w:val="00726A0C"/>
    <w:rsid w:val="0073144C"/>
    <w:rsid w:val="00733C30"/>
    <w:rsid w:val="007353D2"/>
    <w:rsid w:val="0073542D"/>
    <w:rsid w:val="0073670C"/>
    <w:rsid w:val="00736FDA"/>
    <w:rsid w:val="00740053"/>
    <w:rsid w:val="00741D77"/>
    <w:rsid w:val="00742531"/>
    <w:rsid w:val="00742600"/>
    <w:rsid w:val="007429E6"/>
    <w:rsid w:val="0074432A"/>
    <w:rsid w:val="00746432"/>
    <w:rsid w:val="00746B16"/>
    <w:rsid w:val="00746BEF"/>
    <w:rsid w:val="007504B1"/>
    <w:rsid w:val="007520FF"/>
    <w:rsid w:val="007529E5"/>
    <w:rsid w:val="00756E28"/>
    <w:rsid w:val="007615C5"/>
    <w:rsid w:val="00761A23"/>
    <w:rsid w:val="00761A5B"/>
    <w:rsid w:val="00762114"/>
    <w:rsid w:val="00762456"/>
    <w:rsid w:val="00762544"/>
    <w:rsid w:val="0076267F"/>
    <w:rsid w:val="007630D1"/>
    <w:rsid w:val="00764574"/>
    <w:rsid w:val="00764EF8"/>
    <w:rsid w:val="007654D9"/>
    <w:rsid w:val="00766379"/>
    <w:rsid w:val="00770848"/>
    <w:rsid w:val="00770F81"/>
    <w:rsid w:val="00772A3E"/>
    <w:rsid w:val="00774A09"/>
    <w:rsid w:val="00776A98"/>
    <w:rsid w:val="00780E20"/>
    <w:rsid w:val="0078103B"/>
    <w:rsid w:val="00781352"/>
    <w:rsid w:val="00781A4A"/>
    <w:rsid w:val="0078273F"/>
    <w:rsid w:val="00782FF6"/>
    <w:rsid w:val="00783153"/>
    <w:rsid w:val="00783905"/>
    <w:rsid w:val="00783D12"/>
    <w:rsid w:val="00784488"/>
    <w:rsid w:val="00787140"/>
    <w:rsid w:val="0078785E"/>
    <w:rsid w:val="00794AFE"/>
    <w:rsid w:val="00794C26"/>
    <w:rsid w:val="00795DC3"/>
    <w:rsid w:val="00796354"/>
    <w:rsid w:val="00796E55"/>
    <w:rsid w:val="007A03ED"/>
    <w:rsid w:val="007A50F5"/>
    <w:rsid w:val="007A7AED"/>
    <w:rsid w:val="007B1528"/>
    <w:rsid w:val="007B1BCF"/>
    <w:rsid w:val="007B5F51"/>
    <w:rsid w:val="007B7460"/>
    <w:rsid w:val="007B78A9"/>
    <w:rsid w:val="007C0B88"/>
    <w:rsid w:val="007C1B76"/>
    <w:rsid w:val="007C1FA2"/>
    <w:rsid w:val="007C2D34"/>
    <w:rsid w:val="007C38C6"/>
    <w:rsid w:val="007C3DD4"/>
    <w:rsid w:val="007C5DBB"/>
    <w:rsid w:val="007C659C"/>
    <w:rsid w:val="007C6EE7"/>
    <w:rsid w:val="007D01E0"/>
    <w:rsid w:val="007D0349"/>
    <w:rsid w:val="007D1065"/>
    <w:rsid w:val="007D18EB"/>
    <w:rsid w:val="007D20DD"/>
    <w:rsid w:val="007D3955"/>
    <w:rsid w:val="007D733F"/>
    <w:rsid w:val="007D7549"/>
    <w:rsid w:val="007E059E"/>
    <w:rsid w:val="007E0916"/>
    <w:rsid w:val="007E0AAF"/>
    <w:rsid w:val="007E244B"/>
    <w:rsid w:val="007E3B3E"/>
    <w:rsid w:val="007E4734"/>
    <w:rsid w:val="007E6FD0"/>
    <w:rsid w:val="007E760A"/>
    <w:rsid w:val="007F032C"/>
    <w:rsid w:val="007F1914"/>
    <w:rsid w:val="007F19CF"/>
    <w:rsid w:val="007F272A"/>
    <w:rsid w:val="007F2BD8"/>
    <w:rsid w:val="007F451D"/>
    <w:rsid w:val="007F4AE9"/>
    <w:rsid w:val="007F5984"/>
    <w:rsid w:val="007F6458"/>
    <w:rsid w:val="007F67A5"/>
    <w:rsid w:val="008039D9"/>
    <w:rsid w:val="00803CD4"/>
    <w:rsid w:val="00804411"/>
    <w:rsid w:val="00805F71"/>
    <w:rsid w:val="00807289"/>
    <w:rsid w:val="00807376"/>
    <w:rsid w:val="00807B94"/>
    <w:rsid w:val="00810516"/>
    <w:rsid w:val="008133BF"/>
    <w:rsid w:val="00820A60"/>
    <w:rsid w:val="00820FB0"/>
    <w:rsid w:val="00821AA7"/>
    <w:rsid w:val="00822825"/>
    <w:rsid w:val="00823181"/>
    <w:rsid w:val="008233AC"/>
    <w:rsid w:val="00824A0A"/>
    <w:rsid w:val="00825A3D"/>
    <w:rsid w:val="008268D3"/>
    <w:rsid w:val="00831215"/>
    <w:rsid w:val="008328CA"/>
    <w:rsid w:val="00832D09"/>
    <w:rsid w:val="008341AA"/>
    <w:rsid w:val="00834982"/>
    <w:rsid w:val="00834A8A"/>
    <w:rsid w:val="0083644A"/>
    <w:rsid w:val="00842885"/>
    <w:rsid w:val="00843380"/>
    <w:rsid w:val="00843B47"/>
    <w:rsid w:val="00845884"/>
    <w:rsid w:val="0084598A"/>
    <w:rsid w:val="00845D3D"/>
    <w:rsid w:val="00847412"/>
    <w:rsid w:val="0084783E"/>
    <w:rsid w:val="00847BEA"/>
    <w:rsid w:val="0085057A"/>
    <w:rsid w:val="00851FA0"/>
    <w:rsid w:val="008536CE"/>
    <w:rsid w:val="00855A83"/>
    <w:rsid w:val="008570A9"/>
    <w:rsid w:val="00857D53"/>
    <w:rsid w:val="0086015A"/>
    <w:rsid w:val="00860A97"/>
    <w:rsid w:val="008619BF"/>
    <w:rsid w:val="00861E07"/>
    <w:rsid w:val="008624C6"/>
    <w:rsid w:val="00862D91"/>
    <w:rsid w:val="00866A14"/>
    <w:rsid w:val="00867895"/>
    <w:rsid w:val="008712DC"/>
    <w:rsid w:val="00872F5A"/>
    <w:rsid w:val="0087311F"/>
    <w:rsid w:val="0087344D"/>
    <w:rsid w:val="00874049"/>
    <w:rsid w:val="0088582C"/>
    <w:rsid w:val="008866BF"/>
    <w:rsid w:val="0088743A"/>
    <w:rsid w:val="00891753"/>
    <w:rsid w:val="008923B2"/>
    <w:rsid w:val="00894CE7"/>
    <w:rsid w:val="008961AF"/>
    <w:rsid w:val="00897F97"/>
    <w:rsid w:val="008A0AED"/>
    <w:rsid w:val="008A2D6B"/>
    <w:rsid w:val="008A363F"/>
    <w:rsid w:val="008A73CC"/>
    <w:rsid w:val="008B09C0"/>
    <w:rsid w:val="008B22CF"/>
    <w:rsid w:val="008B250F"/>
    <w:rsid w:val="008B2CE7"/>
    <w:rsid w:val="008B2D25"/>
    <w:rsid w:val="008B3245"/>
    <w:rsid w:val="008B5EF9"/>
    <w:rsid w:val="008B6B5F"/>
    <w:rsid w:val="008B7AF2"/>
    <w:rsid w:val="008B7F6D"/>
    <w:rsid w:val="008C4061"/>
    <w:rsid w:val="008C6E04"/>
    <w:rsid w:val="008D01DF"/>
    <w:rsid w:val="008D0A86"/>
    <w:rsid w:val="008D0C70"/>
    <w:rsid w:val="008D15DA"/>
    <w:rsid w:val="008D1F6C"/>
    <w:rsid w:val="008D4282"/>
    <w:rsid w:val="008D5EA5"/>
    <w:rsid w:val="008D62C8"/>
    <w:rsid w:val="008D6D94"/>
    <w:rsid w:val="008E1E84"/>
    <w:rsid w:val="008E3E08"/>
    <w:rsid w:val="008E5869"/>
    <w:rsid w:val="008E7C09"/>
    <w:rsid w:val="008F0835"/>
    <w:rsid w:val="008F0E85"/>
    <w:rsid w:val="008F1B2C"/>
    <w:rsid w:val="008F307A"/>
    <w:rsid w:val="008F35ED"/>
    <w:rsid w:val="008F4DE5"/>
    <w:rsid w:val="008F5CDD"/>
    <w:rsid w:val="008F623B"/>
    <w:rsid w:val="008F68B8"/>
    <w:rsid w:val="008F7AAE"/>
    <w:rsid w:val="00901A74"/>
    <w:rsid w:val="00901C89"/>
    <w:rsid w:val="009033DA"/>
    <w:rsid w:val="00904972"/>
    <w:rsid w:val="00905561"/>
    <w:rsid w:val="00905B8C"/>
    <w:rsid w:val="009061F4"/>
    <w:rsid w:val="00910799"/>
    <w:rsid w:val="00910916"/>
    <w:rsid w:val="00910B56"/>
    <w:rsid w:val="00913579"/>
    <w:rsid w:val="00913D30"/>
    <w:rsid w:val="00915732"/>
    <w:rsid w:val="0091630C"/>
    <w:rsid w:val="009210BE"/>
    <w:rsid w:val="009213B7"/>
    <w:rsid w:val="00922D8C"/>
    <w:rsid w:val="00923F83"/>
    <w:rsid w:val="009244AF"/>
    <w:rsid w:val="00924A01"/>
    <w:rsid w:val="00925464"/>
    <w:rsid w:val="00926233"/>
    <w:rsid w:val="00926E58"/>
    <w:rsid w:val="00930A41"/>
    <w:rsid w:val="0093476F"/>
    <w:rsid w:val="0093647B"/>
    <w:rsid w:val="00940364"/>
    <w:rsid w:val="0094166E"/>
    <w:rsid w:val="00941E76"/>
    <w:rsid w:val="009425AD"/>
    <w:rsid w:val="009427A3"/>
    <w:rsid w:val="009430FB"/>
    <w:rsid w:val="00943973"/>
    <w:rsid w:val="00943A46"/>
    <w:rsid w:val="00943FE3"/>
    <w:rsid w:val="00945122"/>
    <w:rsid w:val="00945D2E"/>
    <w:rsid w:val="00946B25"/>
    <w:rsid w:val="009471AD"/>
    <w:rsid w:val="00950377"/>
    <w:rsid w:val="00951210"/>
    <w:rsid w:val="00951C0B"/>
    <w:rsid w:val="00953417"/>
    <w:rsid w:val="00953840"/>
    <w:rsid w:val="00955D3E"/>
    <w:rsid w:val="009566BA"/>
    <w:rsid w:val="009578DB"/>
    <w:rsid w:val="00957912"/>
    <w:rsid w:val="00960572"/>
    <w:rsid w:val="009612FB"/>
    <w:rsid w:val="009615A2"/>
    <w:rsid w:val="0096176E"/>
    <w:rsid w:val="00961F25"/>
    <w:rsid w:val="00962898"/>
    <w:rsid w:val="00962A21"/>
    <w:rsid w:val="00962BA7"/>
    <w:rsid w:val="00963218"/>
    <w:rsid w:val="00965F6B"/>
    <w:rsid w:val="00967A55"/>
    <w:rsid w:val="00967D87"/>
    <w:rsid w:val="00970428"/>
    <w:rsid w:val="00970981"/>
    <w:rsid w:val="00970A75"/>
    <w:rsid w:val="00970AFB"/>
    <w:rsid w:val="009714DC"/>
    <w:rsid w:val="009725C1"/>
    <w:rsid w:val="00973716"/>
    <w:rsid w:val="00974396"/>
    <w:rsid w:val="00974E8E"/>
    <w:rsid w:val="00975999"/>
    <w:rsid w:val="00977181"/>
    <w:rsid w:val="00981596"/>
    <w:rsid w:val="0098172C"/>
    <w:rsid w:val="009900E8"/>
    <w:rsid w:val="009914E7"/>
    <w:rsid w:val="0099294E"/>
    <w:rsid w:val="00992F10"/>
    <w:rsid w:val="00993111"/>
    <w:rsid w:val="00993997"/>
    <w:rsid w:val="00993E15"/>
    <w:rsid w:val="00994624"/>
    <w:rsid w:val="00995AC8"/>
    <w:rsid w:val="009963E9"/>
    <w:rsid w:val="009964E2"/>
    <w:rsid w:val="009A1227"/>
    <w:rsid w:val="009A1818"/>
    <w:rsid w:val="009A26B0"/>
    <w:rsid w:val="009A44AA"/>
    <w:rsid w:val="009A54C8"/>
    <w:rsid w:val="009A5E52"/>
    <w:rsid w:val="009A61DC"/>
    <w:rsid w:val="009B0334"/>
    <w:rsid w:val="009B1B3B"/>
    <w:rsid w:val="009B1DD2"/>
    <w:rsid w:val="009B2537"/>
    <w:rsid w:val="009B4060"/>
    <w:rsid w:val="009B4CF7"/>
    <w:rsid w:val="009B4F86"/>
    <w:rsid w:val="009B593D"/>
    <w:rsid w:val="009B5DAD"/>
    <w:rsid w:val="009B7035"/>
    <w:rsid w:val="009B763F"/>
    <w:rsid w:val="009C0225"/>
    <w:rsid w:val="009C0812"/>
    <w:rsid w:val="009C0E45"/>
    <w:rsid w:val="009C111A"/>
    <w:rsid w:val="009C18E7"/>
    <w:rsid w:val="009C1F7F"/>
    <w:rsid w:val="009C29DB"/>
    <w:rsid w:val="009C4CD0"/>
    <w:rsid w:val="009C51A7"/>
    <w:rsid w:val="009C5788"/>
    <w:rsid w:val="009C5805"/>
    <w:rsid w:val="009C660E"/>
    <w:rsid w:val="009C77D8"/>
    <w:rsid w:val="009D209C"/>
    <w:rsid w:val="009D212E"/>
    <w:rsid w:val="009D3225"/>
    <w:rsid w:val="009D3EC0"/>
    <w:rsid w:val="009D401F"/>
    <w:rsid w:val="009D4A3F"/>
    <w:rsid w:val="009D4A4B"/>
    <w:rsid w:val="009D4F00"/>
    <w:rsid w:val="009D52D7"/>
    <w:rsid w:val="009D7E3E"/>
    <w:rsid w:val="009E0378"/>
    <w:rsid w:val="009E0735"/>
    <w:rsid w:val="009E2AFA"/>
    <w:rsid w:val="009E3F6E"/>
    <w:rsid w:val="009E5D06"/>
    <w:rsid w:val="009F2A1C"/>
    <w:rsid w:val="009F2C9C"/>
    <w:rsid w:val="009F48CD"/>
    <w:rsid w:val="009F4DBD"/>
    <w:rsid w:val="009F5925"/>
    <w:rsid w:val="009F5F45"/>
    <w:rsid w:val="009F7112"/>
    <w:rsid w:val="00A01044"/>
    <w:rsid w:val="00A02060"/>
    <w:rsid w:val="00A02B59"/>
    <w:rsid w:val="00A03370"/>
    <w:rsid w:val="00A033F5"/>
    <w:rsid w:val="00A03808"/>
    <w:rsid w:val="00A04E76"/>
    <w:rsid w:val="00A065B7"/>
    <w:rsid w:val="00A102D6"/>
    <w:rsid w:val="00A10813"/>
    <w:rsid w:val="00A11612"/>
    <w:rsid w:val="00A118BB"/>
    <w:rsid w:val="00A11FB2"/>
    <w:rsid w:val="00A12270"/>
    <w:rsid w:val="00A124B5"/>
    <w:rsid w:val="00A134A7"/>
    <w:rsid w:val="00A16637"/>
    <w:rsid w:val="00A166D8"/>
    <w:rsid w:val="00A16CD7"/>
    <w:rsid w:val="00A17777"/>
    <w:rsid w:val="00A20144"/>
    <w:rsid w:val="00A2157A"/>
    <w:rsid w:val="00A219EF"/>
    <w:rsid w:val="00A23C2A"/>
    <w:rsid w:val="00A255B9"/>
    <w:rsid w:val="00A257D1"/>
    <w:rsid w:val="00A25FCC"/>
    <w:rsid w:val="00A30B1D"/>
    <w:rsid w:val="00A31BC9"/>
    <w:rsid w:val="00A31BD6"/>
    <w:rsid w:val="00A32070"/>
    <w:rsid w:val="00A33760"/>
    <w:rsid w:val="00A3429F"/>
    <w:rsid w:val="00A35A39"/>
    <w:rsid w:val="00A35B7D"/>
    <w:rsid w:val="00A36B5C"/>
    <w:rsid w:val="00A37070"/>
    <w:rsid w:val="00A370B1"/>
    <w:rsid w:val="00A3793B"/>
    <w:rsid w:val="00A37D40"/>
    <w:rsid w:val="00A40195"/>
    <w:rsid w:val="00A4084F"/>
    <w:rsid w:val="00A40E5A"/>
    <w:rsid w:val="00A4382A"/>
    <w:rsid w:val="00A46150"/>
    <w:rsid w:val="00A46A66"/>
    <w:rsid w:val="00A46C34"/>
    <w:rsid w:val="00A50AF6"/>
    <w:rsid w:val="00A50B7C"/>
    <w:rsid w:val="00A52F26"/>
    <w:rsid w:val="00A53F63"/>
    <w:rsid w:val="00A55213"/>
    <w:rsid w:val="00A5555A"/>
    <w:rsid w:val="00A56629"/>
    <w:rsid w:val="00A57F31"/>
    <w:rsid w:val="00A60B9A"/>
    <w:rsid w:val="00A618D6"/>
    <w:rsid w:val="00A625F1"/>
    <w:rsid w:val="00A62767"/>
    <w:rsid w:val="00A6352F"/>
    <w:rsid w:val="00A63556"/>
    <w:rsid w:val="00A63E7A"/>
    <w:rsid w:val="00A64095"/>
    <w:rsid w:val="00A64D3F"/>
    <w:rsid w:val="00A6529C"/>
    <w:rsid w:val="00A65A2B"/>
    <w:rsid w:val="00A67412"/>
    <w:rsid w:val="00A67F51"/>
    <w:rsid w:val="00A70410"/>
    <w:rsid w:val="00A72605"/>
    <w:rsid w:val="00A7274B"/>
    <w:rsid w:val="00A743F8"/>
    <w:rsid w:val="00A76331"/>
    <w:rsid w:val="00A82581"/>
    <w:rsid w:val="00A825A3"/>
    <w:rsid w:val="00A828E4"/>
    <w:rsid w:val="00A83D33"/>
    <w:rsid w:val="00A84983"/>
    <w:rsid w:val="00A86C9D"/>
    <w:rsid w:val="00A928DC"/>
    <w:rsid w:val="00A934EE"/>
    <w:rsid w:val="00A93D2E"/>
    <w:rsid w:val="00A950E4"/>
    <w:rsid w:val="00A9575F"/>
    <w:rsid w:val="00A96972"/>
    <w:rsid w:val="00A96C91"/>
    <w:rsid w:val="00A97496"/>
    <w:rsid w:val="00A97C26"/>
    <w:rsid w:val="00A97C7C"/>
    <w:rsid w:val="00AA02AC"/>
    <w:rsid w:val="00AA0F74"/>
    <w:rsid w:val="00AA1BEE"/>
    <w:rsid w:val="00AA30F5"/>
    <w:rsid w:val="00AA3885"/>
    <w:rsid w:val="00AA3F9F"/>
    <w:rsid w:val="00AA4945"/>
    <w:rsid w:val="00AB1162"/>
    <w:rsid w:val="00AB2968"/>
    <w:rsid w:val="00AB551D"/>
    <w:rsid w:val="00AB78C0"/>
    <w:rsid w:val="00AC0965"/>
    <w:rsid w:val="00AC1069"/>
    <w:rsid w:val="00AC16C6"/>
    <w:rsid w:val="00AC2BB5"/>
    <w:rsid w:val="00AC2C2E"/>
    <w:rsid w:val="00AC4368"/>
    <w:rsid w:val="00AC4C8A"/>
    <w:rsid w:val="00AC5A79"/>
    <w:rsid w:val="00AC687A"/>
    <w:rsid w:val="00AC68B8"/>
    <w:rsid w:val="00AD0DCD"/>
    <w:rsid w:val="00AD1846"/>
    <w:rsid w:val="00AD23C7"/>
    <w:rsid w:val="00AD28C8"/>
    <w:rsid w:val="00AD2C34"/>
    <w:rsid w:val="00AD4B61"/>
    <w:rsid w:val="00AD4EB9"/>
    <w:rsid w:val="00AD4F1E"/>
    <w:rsid w:val="00AD6307"/>
    <w:rsid w:val="00AD7342"/>
    <w:rsid w:val="00AE0AD6"/>
    <w:rsid w:val="00AE0F23"/>
    <w:rsid w:val="00AE0FA2"/>
    <w:rsid w:val="00AE1360"/>
    <w:rsid w:val="00AE14E4"/>
    <w:rsid w:val="00AE2630"/>
    <w:rsid w:val="00AE2DAC"/>
    <w:rsid w:val="00AE303B"/>
    <w:rsid w:val="00AE34D7"/>
    <w:rsid w:val="00AE36AB"/>
    <w:rsid w:val="00AE4588"/>
    <w:rsid w:val="00AE4651"/>
    <w:rsid w:val="00AE4744"/>
    <w:rsid w:val="00AE6324"/>
    <w:rsid w:val="00AE644D"/>
    <w:rsid w:val="00AE7A59"/>
    <w:rsid w:val="00AF100C"/>
    <w:rsid w:val="00AF1AC6"/>
    <w:rsid w:val="00AF2018"/>
    <w:rsid w:val="00AF23F4"/>
    <w:rsid w:val="00AF3146"/>
    <w:rsid w:val="00AF3976"/>
    <w:rsid w:val="00AF419B"/>
    <w:rsid w:val="00AF5CEA"/>
    <w:rsid w:val="00AF60B7"/>
    <w:rsid w:val="00AF6398"/>
    <w:rsid w:val="00AF6B70"/>
    <w:rsid w:val="00B004D3"/>
    <w:rsid w:val="00B005FC"/>
    <w:rsid w:val="00B008EC"/>
    <w:rsid w:val="00B00C5D"/>
    <w:rsid w:val="00B02665"/>
    <w:rsid w:val="00B02C8A"/>
    <w:rsid w:val="00B04D3D"/>
    <w:rsid w:val="00B05187"/>
    <w:rsid w:val="00B05500"/>
    <w:rsid w:val="00B05D1C"/>
    <w:rsid w:val="00B0720A"/>
    <w:rsid w:val="00B10567"/>
    <w:rsid w:val="00B11168"/>
    <w:rsid w:val="00B1146D"/>
    <w:rsid w:val="00B12256"/>
    <w:rsid w:val="00B12766"/>
    <w:rsid w:val="00B12BC9"/>
    <w:rsid w:val="00B13983"/>
    <w:rsid w:val="00B13C1B"/>
    <w:rsid w:val="00B1404F"/>
    <w:rsid w:val="00B146ED"/>
    <w:rsid w:val="00B15B5E"/>
    <w:rsid w:val="00B1626B"/>
    <w:rsid w:val="00B17C77"/>
    <w:rsid w:val="00B204E4"/>
    <w:rsid w:val="00B223D4"/>
    <w:rsid w:val="00B22FB2"/>
    <w:rsid w:val="00B233C5"/>
    <w:rsid w:val="00B24928"/>
    <w:rsid w:val="00B24BCE"/>
    <w:rsid w:val="00B25B77"/>
    <w:rsid w:val="00B26864"/>
    <w:rsid w:val="00B3036F"/>
    <w:rsid w:val="00B305F7"/>
    <w:rsid w:val="00B312FA"/>
    <w:rsid w:val="00B314BA"/>
    <w:rsid w:val="00B31D33"/>
    <w:rsid w:val="00B326B9"/>
    <w:rsid w:val="00B333E4"/>
    <w:rsid w:val="00B34FA4"/>
    <w:rsid w:val="00B351F1"/>
    <w:rsid w:val="00B37251"/>
    <w:rsid w:val="00B42E67"/>
    <w:rsid w:val="00B43509"/>
    <w:rsid w:val="00B4573D"/>
    <w:rsid w:val="00B45B33"/>
    <w:rsid w:val="00B45D4E"/>
    <w:rsid w:val="00B478DA"/>
    <w:rsid w:val="00B47F54"/>
    <w:rsid w:val="00B50689"/>
    <w:rsid w:val="00B51362"/>
    <w:rsid w:val="00B51D15"/>
    <w:rsid w:val="00B52128"/>
    <w:rsid w:val="00B52EB7"/>
    <w:rsid w:val="00B5454F"/>
    <w:rsid w:val="00B63AFF"/>
    <w:rsid w:val="00B67DE8"/>
    <w:rsid w:val="00B71EF6"/>
    <w:rsid w:val="00B723C7"/>
    <w:rsid w:val="00B724D2"/>
    <w:rsid w:val="00B73AAA"/>
    <w:rsid w:val="00B73D0D"/>
    <w:rsid w:val="00B765C7"/>
    <w:rsid w:val="00B83200"/>
    <w:rsid w:val="00B860D6"/>
    <w:rsid w:val="00B8718C"/>
    <w:rsid w:val="00B87250"/>
    <w:rsid w:val="00B8784A"/>
    <w:rsid w:val="00B93613"/>
    <w:rsid w:val="00B95199"/>
    <w:rsid w:val="00B95834"/>
    <w:rsid w:val="00B96658"/>
    <w:rsid w:val="00B97575"/>
    <w:rsid w:val="00BA02E4"/>
    <w:rsid w:val="00BA0A07"/>
    <w:rsid w:val="00BA2DDC"/>
    <w:rsid w:val="00BA405C"/>
    <w:rsid w:val="00BA462E"/>
    <w:rsid w:val="00BA531D"/>
    <w:rsid w:val="00BA5710"/>
    <w:rsid w:val="00BB0A58"/>
    <w:rsid w:val="00BB1247"/>
    <w:rsid w:val="00BB18B4"/>
    <w:rsid w:val="00BB2B3D"/>
    <w:rsid w:val="00BB4512"/>
    <w:rsid w:val="00BB46E5"/>
    <w:rsid w:val="00BB60B8"/>
    <w:rsid w:val="00BB6803"/>
    <w:rsid w:val="00BB733A"/>
    <w:rsid w:val="00BC0D81"/>
    <w:rsid w:val="00BC0FE1"/>
    <w:rsid w:val="00BC2289"/>
    <w:rsid w:val="00BC349A"/>
    <w:rsid w:val="00BC5241"/>
    <w:rsid w:val="00BC5869"/>
    <w:rsid w:val="00BC58B5"/>
    <w:rsid w:val="00BC79D8"/>
    <w:rsid w:val="00BD2244"/>
    <w:rsid w:val="00BD26F6"/>
    <w:rsid w:val="00BD2C67"/>
    <w:rsid w:val="00BD2D91"/>
    <w:rsid w:val="00BD5695"/>
    <w:rsid w:val="00BD6CF8"/>
    <w:rsid w:val="00BE0620"/>
    <w:rsid w:val="00BE0D06"/>
    <w:rsid w:val="00BE26A7"/>
    <w:rsid w:val="00BE4053"/>
    <w:rsid w:val="00BE54E5"/>
    <w:rsid w:val="00BE66CC"/>
    <w:rsid w:val="00BE6A46"/>
    <w:rsid w:val="00BE6A80"/>
    <w:rsid w:val="00BE7233"/>
    <w:rsid w:val="00BE7D1E"/>
    <w:rsid w:val="00BF17EF"/>
    <w:rsid w:val="00BF23C8"/>
    <w:rsid w:val="00BF35B5"/>
    <w:rsid w:val="00BF3D44"/>
    <w:rsid w:val="00BF5E4B"/>
    <w:rsid w:val="00BF6EAB"/>
    <w:rsid w:val="00BF7E45"/>
    <w:rsid w:val="00C000B6"/>
    <w:rsid w:val="00C00FEE"/>
    <w:rsid w:val="00C01E1C"/>
    <w:rsid w:val="00C02019"/>
    <w:rsid w:val="00C04A7F"/>
    <w:rsid w:val="00C0507D"/>
    <w:rsid w:val="00C05271"/>
    <w:rsid w:val="00C06921"/>
    <w:rsid w:val="00C07792"/>
    <w:rsid w:val="00C07DAC"/>
    <w:rsid w:val="00C1021C"/>
    <w:rsid w:val="00C11D13"/>
    <w:rsid w:val="00C11DE3"/>
    <w:rsid w:val="00C145C8"/>
    <w:rsid w:val="00C152C9"/>
    <w:rsid w:val="00C168D7"/>
    <w:rsid w:val="00C20022"/>
    <w:rsid w:val="00C200CB"/>
    <w:rsid w:val="00C21A80"/>
    <w:rsid w:val="00C2273D"/>
    <w:rsid w:val="00C232EB"/>
    <w:rsid w:val="00C2407F"/>
    <w:rsid w:val="00C24114"/>
    <w:rsid w:val="00C25214"/>
    <w:rsid w:val="00C2559F"/>
    <w:rsid w:val="00C26CD7"/>
    <w:rsid w:val="00C27CBB"/>
    <w:rsid w:val="00C32C81"/>
    <w:rsid w:val="00C33861"/>
    <w:rsid w:val="00C33AED"/>
    <w:rsid w:val="00C34102"/>
    <w:rsid w:val="00C34278"/>
    <w:rsid w:val="00C35619"/>
    <w:rsid w:val="00C35683"/>
    <w:rsid w:val="00C36ADA"/>
    <w:rsid w:val="00C36F1C"/>
    <w:rsid w:val="00C37283"/>
    <w:rsid w:val="00C3731E"/>
    <w:rsid w:val="00C37AEE"/>
    <w:rsid w:val="00C37EAD"/>
    <w:rsid w:val="00C40789"/>
    <w:rsid w:val="00C41A7E"/>
    <w:rsid w:val="00C41C32"/>
    <w:rsid w:val="00C43A98"/>
    <w:rsid w:val="00C44922"/>
    <w:rsid w:val="00C4550E"/>
    <w:rsid w:val="00C46C3F"/>
    <w:rsid w:val="00C471CC"/>
    <w:rsid w:val="00C50604"/>
    <w:rsid w:val="00C50F25"/>
    <w:rsid w:val="00C52C22"/>
    <w:rsid w:val="00C53630"/>
    <w:rsid w:val="00C53DBA"/>
    <w:rsid w:val="00C5554B"/>
    <w:rsid w:val="00C56F8C"/>
    <w:rsid w:val="00C6042E"/>
    <w:rsid w:val="00C62413"/>
    <w:rsid w:val="00C648A7"/>
    <w:rsid w:val="00C65872"/>
    <w:rsid w:val="00C6702B"/>
    <w:rsid w:val="00C676AA"/>
    <w:rsid w:val="00C718CD"/>
    <w:rsid w:val="00C72192"/>
    <w:rsid w:val="00C723E4"/>
    <w:rsid w:val="00C74758"/>
    <w:rsid w:val="00C748E3"/>
    <w:rsid w:val="00C74DEB"/>
    <w:rsid w:val="00C75883"/>
    <w:rsid w:val="00C75CB7"/>
    <w:rsid w:val="00C76454"/>
    <w:rsid w:val="00C767DD"/>
    <w:rsid w:val="00C800B5"/>
    <w:rsid w:val="00C81619"/>
    <w:rsid w:val="00C8311C"/>
    <w:rsid w:val="00C839AB"/>
    <w:rsid w:val="00C83B41"/>
    <w:rsid w:val="00C83BC2"/>
    <w:rsid w:val="00C8401C"/>
    <w:rsid w:val="00C86303"/>
    <w:rsid w:val="00C86842"/>
    <w:rsid w:val="00C909BA"/>
    <w:rsid w:val="00C921DD"/>
    <w:rsid w:val="00C92821"/>
    <w:rsid w:val="00C96189"/>
    <w:rsid w:val="00C97276"/>
    <w:rsid w:val="00C97C19"/>
    <w:rsid w:val="00CA2282"/>
    <w:rsid w:val="00CA2D6D"/>
    <w:rsid w:val="00CA3ED2"/>
    <w:rsid w:val="00CA41A1"/>
    <w:rsid w:val="00CA6A94"/>
    <w:rsid w:val="00CA7304"/>
    <w:rsid w:val="00CA7F04"/>
    <w:rsid w:val="00CB2405"/>
    <w:rsid w:val="00CB2A4A"/>
    <w:rsid w:val="00CB3BEA"/>
    <w:rsid w:val="00CB4254"/>
    <w:rsid w:val="00CB46B2"/>
    <w:rsid w:val="00CB755A"/>
    <w:rsid w:val="00CB7FAA"/>
    <w:rsid w:val="00CC1A7E"/>
    <w:rsid w:val="00CC1C00"/>
    <w:rsid w:val="00CC1C74"/>
    <w:rsid w:val="00CC35AE"/>
    <w:rsid w:val="00CC411B"/>
    <w:rsid w:val="00CC4872"/>
    <w:rsid w:val="00CC5978"/>
    <w:rsid w:val="00CC7086"/>
    <w:rsid w:val="00CC7B21"/>
    <w:rsid w:val="00CD0936"/>
    <w:rsid w:val="00CD1399"/>
    <w:rsid w:val="00CD24E7"/>
    <w:rsid w:val="00CD2B12"/>
    <w:rsid w:val="00CD2F3F"/>
    <w:rsid w:val="00CD4691"/>
    <w:rsid w:val="00CD4EF8"/>
    <w:rsid w:val="00CD61FF"/>
    <w:rsid w:val="00CD6FAE"/>
    <w:rsid w:val="00CE0352"/>
    <w:rsid w:val="00CE0B99"/>
    <w:rsid w:val="00CE209C"/>
    <w:rsid w:val="00CE25B8"/>
    <w:rsid w:val="00CE3FAE"/>
    <w:rsid w:val="00CE417F"/>
    <w:rsid w:val="00CE43D7"/>
    <w:rsid w:val="00CE51DA"/>
    <w:rsid w:val="00CE5DAA"/>
    <w:rsid w:val="00CE5DB0"/>
    <w:rsid w:val="00CE6C2F"/>
    <w:rsid w:val="00CE788B"/>
    <w:rsid w:val="00CF06B6"/>
    <w:rsid w:val="00CF0ED5"/>
    <w:rsid w:val="00CF1D42"/>
    <w:rsid w:val="00CF2937"/>
    <w:rsid w:val="00CF6855"/>
    <w:rsid w:val="00CF685A"/>
    <w:rsid w:val="00CF6ACC"/>
    <w:rsid w:val="00D0099E"/>
    <w:rsid w:val="00D01765"/>
    <w:rsid w:val="00D0259C"/>
    <w:rsid w:val="00D03CF7"/>
    <w:rsid w:val="00D05865"/>
    <w:rsid w:val="00D06D6E"/>
    <w:rsid w:val="00D079C1"/>
    <w:rsid w:val="00D10AF8"/>
    <w:rsid w:val="00D1264E"/>
    <w:rsid w:val="00D12754"/>
    <w:rsid w:val="00D13D8A"/>
    <w:rsid w:val="00D1750A"/>
    <w:rsid w:val="00D1783A"/>
    <w:rsid w:val="00D21A7B"/>
    <w:rsid w:val="00D227BC"/>
    <w:rsid w:val="00D22BC4"/>
    <w:rsid w:val="00D22C15"/>
    <w:rsid w:val="00D22C2A"/>
    <w:rsid w:val="00D22E26"/>
    <w:rsid w:val="00D2321D"/>
    <w:rsid w:val="00D2405D"/>
    <w:rsid w:val="00D25221"/>
    <w:rsid w:val="00D26609"/>
    <w:rsid w:val="00D2693B"/>
    <w:rsid w:val="00D27937"/>
    <w:rsid w:val="00D30E4E"/>
    <w:rsid w:val="00D31606"/>
    <w:rsid w:val="00D31CB6"/>
    <w:rsid w:val="00D323AB"/>
    <w:rsid w:val="00D3299D"/>
    <w:rsid w:val="00D32CBA"/>
    <w:rsid w:val="00D33691"/>
    <w:rsid w:val="00D33FFA"/>
    <w:rsid w:val="00D34733"/>
    <w:rsid w:val="00D35642"/>
    <w:rsid w:val="00D357DF"/>
    <w:rsid w:val="00D36519"/>
    <w:rsid w:val="00D40AD9"/>
    <w:rsid w:val="00D43A2C"/>
    <w:rsid w:val="00D43F20"/>
    <w:rsid w:val="00D44C2C"/>
    <w:rsid w:val="00D46385"/>
    <w:rsid w:val="00D4796E"/>
    <w:rsid w:val="00D47BE1"/>
    <w:rsid w:val="00D47D00"/>
    <w:rsid w:val="00D50C0F"/>
    <w:rsid w:val="00D5224B"/>
    <w:rsid w:val="00D5283A"/>
    <w:rsid w:val="00D53BC3"/>
    <w:rsid w:val="00D5657C"/>
    <w:rsid w:val="00D573B0"/>
    <w:rsid w:val="00D57B0F"/>
    <w:rsid w:val="00D626B1"/>
    <w:rsid w:val="00D62E34"/>
    <w:rsid w:val="00D63212"/>
    <w:rsid w:val="00D6325D"/>
    <w:rsid w:val="00D71FE4"/>
    <w:rsid w:val="00D72A02"/>
    <w:rsid w:val="00D73894"/>
    <w:rsid w:val="00D73B7E"/>
    <w:rsid w:val="00D745BE"/>
    <w:rsid w:val="00D74E94"/>
    <w:rsid w:val="00D75E26"/>
    <w:rsid w:val="00D7634C"/>
    <w:rsid w:val="00D76D5F"/>
    <w:rsid w:val="00D806A4"/>
    <w:rsid w:val="00D80DB1"/>
    <w:rsid w:val="00D812D6"/>
    <w:rsid w:val="00D81E06"/>
    <w:rsid w:val="00D863A8"/>
    <w:rsid w:val="00D878DE"/>
    <w:rsid w:val="00D9105C"/>
    <w:rsid w:val="00D91592"/>
    <w:rsid w:val="00D915DE"/>
    <w:rsid w:val="00D93FEB"/>
    <w:rsid w:val="00D943DA"/>
    <w:rsid w:val="00D97A21"/>
    <w:rsid w:val="00D97F76"/>
    <w:rsid w:val="00DA02FD"/>
    <w:rsid w:val="00DA1ED1"/>
    <w:rsid w:val="00DA48B9"/>
    <w:rsid w:val="00DA4A73"/>
    <w:rsid w:val="00DA4ADF"/>
    <w:rsid w:val="00DA5AA3"/>
    <w:rsid w:val="00DA5EC5"/>
    <w:rsid w:val="00DA6828"/>
    <w:rsid w:val="00DA6B36"/>
    <w:rsid w:val="00DA6ECD"/>
    <w:rsid w:val="00DA7969"/>
    <w:rsid w:val="00DA7E10"/>
    <w:rsid w:val="00DB0968"/>
    <w:rsid w:val="00DB1207"/>
    <w:rsid w:val="00DB4B81"/>
    <w:rsid w:val="00DB53B4"/>
    <w:rsid w:val="00DB7075"/>
    <w:rsid w:val="00DC18C6"/>
    <w:rsid w:val="00DC1A3D"/>
    <w:rsid w:val="00DC1A70"/>
    <w:rsid w:val="00DC4BF7"/>
    <w:rsid w:val="00DC7058"/>
    <w:rsid w:val="00DC7064"/>
    <w:rsid w:val="00DC771D"/>
    <w:rsid w:val="00DC7E08"/>
    <w:rsid w:val="00DD0163"/>
    <w:rsid w:val="00DD032F"/>
    <w:rsid w:val="00DD0A3D"/>
    <w:rsid w:val="00DD325E"/>
    <w:rsid w:val="00DD328D"/>
    <w:rsid w:val="00DD3B8D"/>
    <w:rsid w:val="00DD3D1B"/>
    <w:rsid w:val="00DD450D"/>
    <w:rsid w:val="00DD4775"/>
    <w:rsid w:val="00DD52EC"/>
    <w:rsid w:val="00DD5733"/>
    <w:rsid w:val="00DD7A56"/>
    <w:rsid w:val="00DE130D"/>
    <w:rsid w:val="00DE1CC3"/>
    <w:rsid w:val="00DE4424"/>
    <w:rsid w:val="00DE5246"/>
    <w:rsid w:val="00DE70A2"/>
    <w:rsid w:val="00DE7BBC"/>
    <w:rsid w:val="00DF010A"/>
    <w:rsid w:val="00DF01FF"/>
    <w:rsid w:val="00DF10EB"/>
    <w:rsid w:val="00DF13A0"/>
    <w:rsid w:val="00DF1943"/>
    <w:rsid w:val="00DF1A36"/>
    <w:rsid w:val="00DF20E7"/>
    <w:rsid w:val="00DF230E"/>
    <w:rsid w:val="00DF4DF3"/>
    <w:rsid w:val="00DF4FC5"/>
    <w:rsid w:val="00DF50C7"/>
    <w:rsid w:val="00DF7430"/>
    <w:rsid w:val="00DF7F3A"/>
    <w:rsid w:val="00E0084F"/>
    <w:rsid w:val="00E02808"/>
    <w:rsid w:val="00E03000"/>
    <w:rsid w:val="00E051B7"/>
    <w:rsid w:val="00E06C0F"/>
    <w:rsid w:val="00E07A44"/>
    <w:rsid w:val="00E07D48"/>
    <w:rsid w:val="00E10944"/>
    <w:rsid w:val="00E15003"/>
    <w:rsid w:val="00E151B5"/>
    <w:rsid w:val="00E22770"/>
    <w:rsid w:val="00E2295C"/>
    <w:rsid w:val="00E22C5D"/>
    <w:rsid w:val="00E2332D"/>
    <w:rsid w:val="00E26022"/>
    <w:rsid w:val="00E26190"/>
    <w:rsid w:val="00E266BC"/>
    <w:rsid w:val="00E26FEF"/>
    <w:rsid w:val="00E278A2"/>
    <w:rsid w:val="00E31620"/>
    <w:rsid w:val="00E31E51"/>
    <w:rsid w:val="00E3271D"/>
    <w:rsid w:val="00E33064"/>
    <w:rsid w:val="00E346A9"/>
    <w:rsid w:val="00E35A8D"/>
    <w:rsid w:val="00E35B60"/>
    <w:rsid w:val="00E36ED3"/>
    <w:rsid w:val="00E4045C"/>
    <w:rsid w:val="00E40D7D"/>
    <w:rsid w:val="00E4294E"/>
    <w:rsid w:val="00E44A1F"/>
    <w:rsid w:val="00E47062"/>
    <w:rsid w:val="00E514AE"/>
    <w:rsid w:val="00E51DF1"/>
    <w:rsid w:val="00E530FA"/>
    <w:rsid w:val="00E5318B"/>
    <w:rsid w:val="00E5356D"/>
    <w:rsid w:val="00E5422E"/>
    <w:rsid w:val="00E548C7"/>
    <w:rsid w:val="00E55A83"/>
    <w:rsid w:val="00E55FD6"/>
    <w:rsid w:val="00E560D1"/>
    <w:rsid w:val="00E56286"/>
    <w:rsid w:val="00E563CA"/>
    <w:rsid w:val="00E576AB"/>
    <w:rsid w:val="00E57BF0"/>
    <w:rsid w:val="00E60441"/>
    <w:rsid w:val="00E60949"/>
    <w:rsid w:val="00E60C5A"/>
    <w:rsid w:val="00E6214E"/>
    <w:rsid w:val="00E6597A"/>
    <w:rsid w:val="00E72915"/>
    <w:rsid w:val="00E72ACF"/>
    <w:rsid w:val="00E75F6D"/>
    <w:rsid w:val="00E76D59"/>
    <w:rsid w:val="00E80E81"/>
    <w:rsid w:val="00E80FC1"/>
    <w:rsid w:val="00E812F7"/>
    <w:rsid w:val="00E813ED"/>
    <w:rsid w:val="00E82815"/>
    <w:rsid w:val="00E83A43"/>
    <w:rsid w:val="00E83F01"/>
    <w:rsid w:val="00E8419D"/>
    <w:rsid w:val="00E86752"/>
    <w:rsid w:val="00E90512"/>
    <w:rsid w:val="00E91A31"/>
    <w:rsid w:val="00E97558"/>
    <w:rsid w:val="00E97608"/>
    <w:rsid w:val="00EA01B6"/>
    <w:rsid w:val="00EA2448"/>
    <w:rsid w:val="00EA2981"/>
    <w:rsid w:val="00EA29C8"/>
    <w:rsid w:val="00EA4FA6"/>
    <w:rsid w:val="00EA54C9"/>
    <w:rsid w:val="00EA623B"/>
    <w:rsid w:val="00EA68D1"/>
    <w:rsid w:val="00EA704A"/>
    <w:rsid w:val="00EB0795"/>
    <w:rsid w:val="00EB1BBA"/>
    <w:rsid w:val="00EB363E"/>
    <w:rsid w:val="00EB4261"/>
    <w:rsid w:val="00EB4C94"/>
    <w:rsid w:val="00EB58DC"/>
    <w:rsid w:val="00EB6300"/>
    <w:rsid w:val="00EB7189"/>
    <w:rsid w:val="00EC126F"/>
    <w:rsid w:val="00EC12DA"/>
    <w:rsid w:val="00EC227F"/>
    <w:rsid w:val="00EC2A0F"/>
    <w:rsid w:val="00EC323B"/>
    <w:rsid w:val="00EC34EF"/>
    <w:rsid w:val="00EC3D01"/>
    <w:rsid w:val="00EC5809"/>
    <w:rsid w:val="00EC6B2C"/>
    <w:rsid w:val="00EC722A"/>
    <w:rsid w:val="00EC7435"/>
    <w:rsid w:val="00ED0A0F"/>
    <w:rsid w:val="00ED0BC3"/>
    <w:rsid w:val="00ED1362"/>
    <w:rsid w:val="00ED3B87"/>
    <w:rsid w:val="00ED3DBE"/>
    <w:rsid w:val="00ED5DB9"/>
    <w:rsid w:val="00ED5F00"/>
    <w:rsid w:val="00ED6152"/>
    <w:rsid w:val="00ED6B6B"/>
    <w:rsid w:val="00ED752A"/>
    <w:rsid w:val="00ED7C09"/>
    <w:rsid w:val="00EE1471"/>
    <w:rsid w:val="00EE1D38"/>
    <w:rsid w:val="00EE2460"/>
    <w:rsid w:val="00EE2AA1"/>
    <w:rsid w:val="00EE2BBF"/>
    <w:rsid w:val="00EE3219"/>
    <w:rsid w:val="00EE4246"/>
    <w:rsid w:val="00EE7C7C"/>
    <w:rsid w:val="00EF0CCE"/>
    <w:rsid w:val="00EF1E41"/>
    <w:rsid w:val="00EF25A2"/>
    <w:rsid w:val="00EF2F7C"/>
    <w:rsid w:val="00EF4236"/>
    <w:rsid w:val="00EF4439"/>
    <w:rsid w:val="00EF6E61"/>
    <w:rsid w:val="00EF722B"/>
    <w:rsid w:val="00EF76D5"/>
    <w:rsid w:val="00EF79A3"/>
    <w:rsid w:val="00F01E8D"/>
    <w:rsid w:val="00F032CA"/>
    <w:rsid w:val="00F0411A"/>
    <w:rsid w:val="00F0599B"/>
    <w:rsid w:val="00F06943"/>
    <w:rsid w:val="00F069FC"/>
    <w:rsid w:val="00F06DB4"/>
    <w:rsid w:val="00F12815"/>
    <w:rsid w:val="00F14DBE"/>
    <w:rsid w:val="00F154B0"/>
    <w:rsid w:val="00F15EFF"/>
    <w:rsid w:val="00F16A7D"/>
    <w:rsid w:val="00F16CB8"/>
    <w:rsid w:val="00F1736B"/>
    <w:rsid w:val="00F17A02"/>
    <w:rsid w:val="00F17E33"/>
    <w:rsid w:val="00F20BF5"/>
    <w:rsid w:val="00F210B2"/>
    <w:rsid w:val="00F22A43"/>
    <w:rsid w:val="00F2423C"/>
    <w:rsid w:val="00F24D80"/>
    <w:rsid w:val="00F250A7"/>
    <w:rsid w:val="00F25573"/>
    <w:rsid w:val="00F26941"/>
    <w:rsid w:val="00F272AF"/>
    <w:rsid w:val="00F27CAA"/>
    <w:rsid w:val="00F319B5"/>
    <w:rsid w:val="00F32320"/>
    <w:rsid w:val="00F33B98"/>
    <w:rsid w:val="00F33D9A"/>
    <w:rsid w:val="00F35013"/>
    <w:rsid w:val="00F3589A"/>
    <w:rsid w:val="00F359BB"/>
    <w:rsid w:val="00F365B3"/>
    <w:rsid w:val="00F430C6"/>
    <w:rsid w:val="00F43630"/>
    <w:rsid w:val="00F445EC"/>
    <w:rsid w:val="00F46D14"/>
    <w:rsid w:val="00F502D6"/>
    <w:rsid w:val="00F507EC"/>
    <w:rsid w:val="00F52192"/>
    <w:rsid w:val="00F52B7A"/>
    <w:rsid w:val="00F52D8A"/>
    <w:rsid w:val="00F53024"/>
    <w:rsid w:val="00F5381E"/>
    <w:rsid w:val="00F542AC"/>
    <w:rsid w:val="00F544E9"/>
    <w:rsid w:val="00F54D19"/>
    <w:rsid w:val="00F556A8"/>
    <w:rsid w:val="00F56646"/>
    <w:rsid w:val="00F6016D"/>
    <w:rsid w:val="00F60959"/>
    <w:rsid w:val="00F61EE9"/>
    <w:rsid w:val="00F62AAF"/>
    <w:rsid w:val="00F633AD"/>
    <w:rsid w:val="00F643A3"/>
    <w:rsid w:val="00F65C8E"/>
    <w:rsid w:val="00F66286"/>
    <w:rsid w:val="00F71077"/>
    <w:rsid w:val="00F71368"/>
    <w:rsid w:val="00F727B2"/>
    <w:rsid w:val="00F72A50"/>
    <w:rsid w:val="00F73C29"/>
    <w:rsid w:val="00F741F2"/>
    <w:rsid w:val="00F74A03"/>
    <w:rsid w:val="00F7514E"/>
    <w:rsid w:val="00F77BBA"/>
    <w:rsid w:val="00F80647"/>
    <w:rsid w:val="00F81522"/>
    <w:rsid w:val="00F82E3E"/>
    <w:rsid w:val="00F8363E"/>
    <w:rsid w:val="00F84878"/>
    <w:rsid w:val="00F85ECF"/>
    <w:rsid w:val="00F85FB4"/>
    <w:rsid w:val="00F86399"/>
    <w:rsid w:val="00F86DE3"/>
    <w:rsid w:val="00F9005E"/>
    <w:rsid w:val="00F9020A"/>
    <w:rsid w:val="00F91DCF"/>
    <w:rsid w:val="00F92479"/>
    <w:rsid w:val="00F92F56"/>
    <w:rsid w:val="00F937E5"/>
    <w:rsid w:val="00F94896"/>
    <w:rsid w:val="00F94EAD"/>
    <w:rsid w:val="00F96351"/>
    <w:rsid w:val="00FA013A"/>
    <w:rsid w:val="00FA0153"/>
    <w:rsid w:val="00FA1EDB"/>
    <w:rsid w:val="00FA2D9D"/>
    <w:rsid w:val="00FA3D57"/>
    <w:rsid w:val="00FA4BF0"/>
    <w:rsid w:val="00FA4FE2"/>
    <w:rsid w:val="00FA78F1"/>
    <w:rsid w:val="00FA7C79"/>
    <w:rsid w:val="00FB09C9"/>
    <w:rsid w:val="00FB2467"/>
    <w:rsid w:val="00FB368B"/>
    <w:rsid w:val="00FB3C4B"/>
    <w:rsid w:val="00FB3D8F"/>
    <w:rsid w:val="00FB633D"/>
    <w:rsid w:val="00FB7263"/>
    <w:rsid w:val="00FC04A7"/>
    <w:rsid w:val="00FC050F"/>
    <w:rsid w:val="00FC099E"/>
    <w:rsid w:val="00FC106E"/>
    <w:rsid w:val="00FC12B2"/>
    <w:rsid w:val="00FC1431"/>
    <w:rsid w:val="00FC2C49"/>
    <w:rsid w:val="00FC35D8"/>
    <w:rsid w:val="00FC4535"/>
    <w:rsid w:val="00FC45E6"/>
    <w:rsid w:val="00FC46E4"/>
    <w:rsid w:val="00FC54D3"/>
    <w:rsid w:val="00FC5B7A"/>
    <w:rsid w:val="00FC7F36"/>
    <w:rsid w:val="00FD122F"/>
    <w:rsid w:val="00FD1505"/>
    <w:rsid w:val="00FD1901"/>
    <w:rsid w:val="00FD2529"/>
    <w:rsid w:val="00FD255E"/>
    <w:rsid w:val="00FD3E33"/>
    <w:rsid w:val="00FD4D25"/>
    <w:rsid w:val="00FD5119"/>
    <w:rsid w:val="00FD57C7"/>
    <w:rsid w:val="00FD5A1A"/>
    <w:rsid w:val="00FD6C7B"/>
    <w:rsid w:val="00FE06CA"/>
    <w:rsid w:val="00FE0A2B"/>
    <w:rsid w:val="00FE2FFF"/>
    <w:rsid w:val="00FE4932"/>
    <w:rsid w:val="00FE4A5D"/>
    <w:rsid w:val="00FE5948"/>
    <w:rsid w:val="00FF0B2B"/>
    <w:rsid w:val="00FF1CFC"/>
    <w:rsid w:val="00FF32F9"/>
    <w:rsid w:val="00FF37F3"/>
    <w:rsid w:val="00FF3D19"/>
    <w:rsid w:val="00FF417F"/>
    <w:rsid w:val="00FF7D7C"/>
    <w:rsid w:val="01137E73"/>
    <w:rsid w:val="01270D10"/>
    <w:rsid w:val="019F1377"/>
    <w:rsid w:val="021B79C5"/>
    <w:rsid w:val="025008C3"/>
    <w:rsid w:val="02755C49"/>
    <w:rsid w:val="02792228"/>
    <w:rsid w:val="0282637C"/>
    <w:rsid w:val="02881E0B"/>
    <w:rsid w:val="02902A6D"/>
    <w:rsid w:val="03403547"/>
    <w:rsid w:val="037E4FBC"/>
    <w:rsid w:val="03843A4A"/>
    <w:rsid w:val="03CF5817"/>
    <w:rsid w:val="03E102E4"/>
    <w:rsid w:val="04332368"/>
    <w:rsid w:val="046C750A"/>
    <w:rsid w:val="04BB5D7A"/>
    <w:rsid w:val="04CA4E02"/>
    <w:rsid w:val="04EA0783"/>
    <w:rsid w:val="05275100"/>
    <w:rsid w:val="05465FAD"/>
    <w:rsid w:val="05BB1C6E"/>
    <w:rsid w:val="05E444A9"/>
    <w:rsid w:val="05F045EF"/>
    <w:rsid w:val="06125D7C"/>
    <w:rsid w:val="06BA2F1B"/>
    <w:rsid w:val="06C3679C"/>
    <w:rsid w:val="06F95866"/>
    <w:rsid w:val="07426AB8"/>
    <w:rsid w:val="075C3532"/>
    <w:rsid w:val="07606C05"/>
    <w:rsid w:val="07AA2823"/>
    <w:rsid w:val="08072BD8"/>
    <w:rsid w:val="080B6336"/>
    <w:rsid w:val="08FD4D49"/>
    <w:rsid w:val="091213CA"/>
    <w:rsid w:val="092D4494"/>
    <w:rsid w:val="096D6AAD"/>
    <w:rsid w:val="09B854DB"/>
    <w:rsid w:val="0A2A0C24"/>
    <w:rsid w:val="0A382368"/>
    <w:rsid w:val="0A405C2C"/>
    <w:rsid w:val="0A656874"/>
    <w:rsid w:val="0A741559"/>
    <w:rsid w:val="0AF04AB2"/>
    <w:rsid w:val="0AF74969"/>
    <w:rsid w:val="0B381EF4"/>
    <w:rsid w:val="0BCF2858"/>
    <w:rsid w:val="0BD31955"/>
    <w:rsid w:val="0BFA7045"/>
    <w:rsid w:val="0C74028F"/>
    <w:rsid w:val="0CA830A9"/>
    <w:rsid w:val="0CF662C4"/>
    <w:rsid w:val="0CFC20A7"/>
    <w:rsid w:val="0D5947D9"/>
    <w:rsid w:val="0D7C3661"/>
    <w:rsid w:val="0DBD7CB4"/>
    <w:rsid w:val="0DCD2DC7"/>
    <w:rsid w:val="0E4B0190"/>
    <w:rsid w:val="0ECA4D50"/>
    <w:rsid w:val="0ED511E6"/>
    <w:rsid w:val="0EF51126"/>
    <w:rsid w:val="0F066884"/>
    <w:rsid w:val="0FC001AD"/>
    <w:rsid w:val="0FEF7A2F"/>
    <w:rsid w:val="10567C0A"/>
    <w:rsid w:val="109A074E"/>
    <w:rsid w:val="10D727DF"/>
    <w:rsid w:val="11902A8A"/>
    <w:rsid w:val="12577104"/>
    <w:rsid w:val="12652731"/>
    <w:rsid w:val="12D143D9"/>
    <w:rsid w:val="1312127D"/>
    <w:rsid w:val="13470805"/>
    <w:rsid w:val="139525D9"/>
    <w:rsid w:val="13A81A9E"/>
    <w:rsid w:val="147D64D6"/>
    <w:rsid w:val="14C842E9"/>
    <w:rsid w:val="152A1B03"/>
    <w:rsid w:val="153E45AB"/>
    <w:rsid w:val="1574621E"/>
    <w:rsid w:val="15B15AE2"/>
    <w:rsid w:val="164F05A1"/>
    <w:rsid w:val="1666200B"/>
    <w:rsid w:val="16663DB9"/>
    <w:rsid w:val="16891E05"/>
    <w:rsid w:val="175E0F34"/>
    <w:rsid w:val="17667DE9"/>
    <w:rsid w:val="17845B59"/>
    <w:rsid w:val="17E83555"/>
    <w:rsid w:val="184C1BB1"/>
    <w:rsid w:val="186E070F"/>
    <w:rsid w:val="18BC2690"/>
    <w:rsid w:val="199F1597"/>
    <w:rsid w:val="19EF6338"/>
    <w:rsid w:val="19FF0ED3"/>
    <w:rsid w:val="1A9015B0"/>
    <w:rsid w:val="1ABC7C1C"/>
    <w:rsid w:val="1B413E4D"/>
    <w:rsid w:val="1BC574BA"/>
    <w:rsid w:val="1BF45B2E"/>
    <w:rsid w:val="1C053A22"/>
    <w:rsid w:val="1C3F73E3"/>
    <w:rsid w:val="1F0E4FEE"/>
    <w:rsid w:val="1F5E2016"/>
    <w:rsid w:val="1F823BBD"/>
    <w:rsid w:val="201F57BA"/>
    <w:rsid w:val="20574252"/>
    <w:rsid w:val="20857654"/>
    <w:rsid w:val="20CE350B"/>
    <w:rsid w:val="20E22BD6"/>
    <w:rsid w:val="21004E0A"/>
    <w:rsid w:val="219263AA"/>
    <w:rsid w:val="21942F85"/>
    <w:rsid w:val="21B95B19"/>
    <w:rsid w:val="21D87F1E"/>
    <w:rsid w:val="21F15DA8"/>
    <w:rsid w:val="22256F7A"/>
    <w:rsid w:val="22364F87"/>
    <w:rsid w:val="223F2D22"/>
    <w:rsid w:val="224F7DF7"/>
    <w:rsid w:val="22DC3973"/>
    <w:rsid w:val="2372630C"/>
    <w:rsid w:val="239C52BE"/>
    <w:rsid w:val="239D1036"/>
    <w:rsid w:val="241C63FF"/>
    <w:rsid w:val="2448468B"/>
    <w:rsid w:val="24681596"/>
    <w:rsid w:val="249E00D0"/>
    <w:rsid w:val="24AD05A6"/>
    <w:rsid w:val="24BE6BAF"/>
    <w:rsid w:val="24D74451"/>
    <w:rsid w:val="24FC3BD8"/>
    <w:rsid w:val="25111847"/>
    <w:rsid w:val="256A4F48"/>
    <w:rsid w:val="258D4721"/>
    <w:rsid w:val="26E03E95"/>
    <w:rsid w:val="27A02EA3"/>
    <w:rsid w:val="27BB7737"/>
    <w:rsid w:val="28212236"/>
    <w:rsid w:val="28846321"/>
    <w:rsid w:val="28E432C7"/>
    <w:rsid w:val="29E928DF"/>
    <w:rsid w:val="2A24600D"/>
    <w:rsid w:val="2A4B13DA"/>
    <w:rsid w:val="2A536E3C"/>
    <w:rsid w:val="2A612DBE"/>
    <w:rsid w:val="2A63647D"/>
    <w:rsid w:val="2AAF3B29"/>
    <w:rsid w:val="2AB2193F"/>
    <w:rsid w:val="2ADF5ACE"/>
    <w:rsid w:val="2B000D0F"/>
    <w:rsid w:val="2B5C023E"/>
    <w:rsid w:val="2C850598"/>
    <w:rsid w:val="2CAB4458"/>
    <w:rsid w:val="2CB74F17"/>
    <w:rsid w:val="2CE06781"/>
    <w:rsid w:val="2D200D0E"/>
    <w:rsid w:val="2DD90EBD"/>
    <w:rsid w:val="2E0F628F"/>
    <w:rsid w:val="2E2576DF"/>
    <w:rsid w:val="2E474078"/>
    <w:rsid w:val="2EA119DB"/>
    <w:rsid w:val="2EDA5E2F"/>
    <w:rsid w:val="2F1968B6"/>
    <w:rsid w:val="2F380AA1"/>
    <w:rsid w:val="2F6F08B0"/>
    <w:rsid w:val="2F7215C9"/>
    <w:rsid w:val="2F8A06C1"/>
    <w:rsid w:val="2FB51DF5"/>
    <w:rsid w:val="2FCA1BF9"/>
    <w:rsid w:val="303327C0"/>
    <w:rsid w:val="30B42E47"/>
    <w:rsid w:val="30B811B5"/>
    <w:rsid w:val="30D334B5"/>
    <w:rsid w:val="315527A9"/>
    <w:rsid w:val="31703D74"/>
    <w:rsid w:val="31F15C15"/>
    <w:rsid w:val="31F761BC"/>
    <w:rsid w:val="320D7387"/>
    <w:rsid w:val="321764D9"/>
    <w:rsid w:val="322E61B4"/>
    <w:rsid w:val="3252658E"/>
    <w:rsid w:val="329655CE"/>
    <w:rsid w:val="32FB71B6"/>
    <w:rsid w:val="33662551"/>
    <w:rsid w:val="33A719F1"/>
    <w:rsid w:val="33B921F7"/>
    <w:rsid w:val="33BB2C2B"/>
    <w:rsid w:val="34BD32E6"/>
    <w:rsid w:val="352F73D9"/>
    <w:rsid w:val="35495A63"/>
    <w:rsid w:val="358A33DC"/>
    <w:rsid w:val="35AC6A73"/>
    <w:rsid w:val="35E95389"/>
    <w:rsid w:val="360D1977"/>
    <w:rsid w:val="36F302E9"/>
    <w:rsid w:val="3748158D"/>
    <w:rsid w:val="37E267FD"/>
    <w:rsid w:val="383A24E6"/>
    <w:rsid w:val="384004B6"/>
    <w:rsid w:val="388464CF"/>
    <w:rsid w:val="38991974"/>
    <w:rsid w:val="38E314E0"/>
    <w:rsid w:val="39504FBF"/>
    <w:rsid w:val="39D13113"/>
    <w:rsid w:val="3A0909B7"/>
    <w:rsid w:val="3A235000"/>
    <w:rsid w:val="3A436BC7"/>
    <w:rsid w:val="3A98010E"/>
    <w:rsid w:val="3AC52EF5"/>
    <w:rsid w:val="3AFB5BC0"/>
    <w:rsid w:val="3B823F84"/>
    <w:rsid w:val="3B912BD8"/>
    <w:rsid w:val="3CB466A5"/>
    <w:rsid w:val="3CBC3E83"/>
    <w:rsid w:val="3D3C2B76"/>
    <w:rsid w:val="3D3E652E"/>
    <w:rsid w:val="3D8310A2"/>
    <w:rsid w:val="3DC246FB"/>
    <w:rsid w:val="3DD31485"/>
    <w:rsid w:val="3E5535C2"/>
    <w:rsid w:val="3E5B5421"/>
    <w:rsid w:val="3E907376"/>
    <w:rsid w:val="3F0D4E6A"/>
    <w:rsid w:val="3F4546F9"/>
    <w:rsid w:val="3F4C5993"/>
    <w:rsid w:val="3F680D2A"/>
    <w:rsid w:val="3F7871B2"/>
    <w:rsid w:val="3F7B1DD4"/>
    <w:rsid w:val="3F85470B"/>
    <w:rsid w:val="3FC07D8D"/>
    <w:rsid w:val="3FED1DB0"/>
    <w:rsid w:val="407707ED"/>
    <w:rsid w:val="408847A8"/>
    <w:rsid w:val="40AA0BB6"/>
    <w:rsid w:val="41074D33"/>
    <w:rsid w:val="41130290"/>
    <w:rsid w:val="415E7BFF"/>
    <w:rsid w:val="41DA3BBE"/>
    <w:rsid w:val="41E46A1C"/>
    <w:rsid w:val="4206764B"/>
    <w:rsid w:val="422D15FB"/>
    <w:rsid w:val="429B77F6"/>
    <w:rsid w:val="42B75234"/>
    <w:rsid w:val="42DC427C"/>
    <w:rsid w:val="42F07268"/>
    <w:rsid w:val="42FA7245"/>
    <w:rsid w:val="431B399B"/>
    <w:rsid w:val="436D478F"/>
    <w:rsid w:val="44141584"/>
    <w:rsid w:val="442C0352"/>
    <w:rsid w:val="44305883"/>
    <w:rsid w:val="44360F4E"/>
    <w:rsid w:val="44EB3558"/>
    <w:rsid w:val="453D0472"/>
    <w:rsid w:val="45666E94"/>
    <w:rsid w:val="45831AAD"/>
    <w:rsid w:val="458C4D3B"/>
    <w:rsid w:val="45AF768A"/>
    <w:rsid w:val="45DE4E6B"/>
    <w:rsid w:val="45EA1A61"/>
    <w:rsid w:val="45F823D0"/>
    <w:rsid w:val="45FF5404"/>
    <w:rsid w:val="46D3155C"/>
    <w:rsid w:val="4760647F"/>
    <w:rsid w:val="479853DF"/>
    <w:rsid w:val="47D1059F"/>
    <w:rsid w:val="47E256AB"/>
    <w:rsid w:val="481C79CE"/>
    <w:rsid w:val="481E59F2"/>
    <w:rsid w:val="48735D3E"/>
    <w:rsid w:val="48CE3394"/>
    <w:rsid w:val="48D33532"/>
    <w:rsid w:val="4943606A"/>
    <w:rsid w:val="495F6C65"/>
    <w:rsid w:val="49E34A51"/>
    <w:rsid w:val="49FD5757"/>
    <w:rsid w:val="4A143784"/>
    <w:rsid w:val="4B5700C9"/>
    <w:rsid w:val="4BD92704"/>
    <w:rsid w:val="4C107D48"/>
    <w:rsid w:val="4C3A497F"/>
    <w:rsid w:val="4C577725"/>
    <w:rsid w:val="4CC13561"/>
    <w:rsid w:val="4D2C461E"/>
    <w:rsid w:val="4D331F40"/>
    <w:rsid w:val="4D7F377C"/>
    <w:rsid w:val="4D885CA8"/>
    <w:rsid w:val="4D8D78A2"/>
    <w:rsid w:val="4DAA4E40"/>
    <w:rsid w:val="4DDD1741"/>
    <w:rsid w:val="4DFF320C"/>
    <w:rsid w:val="4E326C4F"/>
    <w:rsid w:val="4E6F1A25"/>
    <w:rsid w:val="4EC3550E"/>
    <w:rsid w:val="4EFD3FE1"/>
    <w:rsid w:val="4F330BF0"/>
    <w:rsid w:val="4F806DC1"/>
    <w:rsid w:val="50033E4B"/>
    <w:rsid w:val="504F0E3F"/>
    <w:rsid w:val="50E023DF"/>
    <w:rsid w:val="51105062"/>
    <w:rsid w:val="516C401C"/>
    <w:rsid w:val="51C63383"/>
    <w:rsid w:val="51D25032"/>
    <w:rsid w:val="52201C66"/>
    <w:rsid w:val="528D7976"/>
    <w:rsid w:val="531C1F96"/>
    <w:rsid w:val="53EC4BF7"/>
    <w:rsid w:val="53FE2C65"/>
    <w:rsid w:val="53FF0DCE"/>
    <w:rsid w:val="54347CCF"/>
    <w:rsid w:val="545E0499"/>
    <w:rsid w:val="546F3904"/>
    <w:rsid w:val="54885CAD"/>
    <w:rsid w:val="54AB6860"/>
    <w:rsid w:val="54BE293A"/>
    <w:rsid w:val="55B11DFD"/>
    <w:rsid w:val="55DE61E5"/>
    <w:rsid w:val="564C6B11"/>
    <w:rsid w:val="56911EEB"/>
    <w:rsid w:val="57F467E3"/>
    <w:rsid w:val="581842AD"/>
    <w:rsid w:val="583D2821"/>
    <w:rsid w:val="586F37CD"/>
    <w:rsid w:val="58875C5D"/>
    <w:rsid w:val="58937174"/>
    <w:rsid w:val="58B32187"/>
    <w:rsid w:val="58C3686E"/>
    <w:rsid w:val="59D6612D"/>
    <w:rsid w:val="59E7033A"/>
    <w:rsid w:val="59E93E34"/>
    <w:rsid w:val="5A427C66"/>
    <w:rsid w:val="5A7616BE"/>
    <w:rsid w:val="5AE44879"/>
    <w:rsid w:val="5AEB1ADE"/>
    <w:rsid w:val="5B0561D3"/>
    <w:rsid w:val="5B536F44"/>
    <w:rsid w:val="5B5A1AF4"/>
    <w:rsid w:val="5BB22078"/>
    <w:rsid w:val="5C18739C"/>
    <w:rsid w:val="5C2418ED"/>
    <w:rsid w:val="5C2A6C04"/>
    <w:rsid w:val="5C531CB7"/>
    <w:rsid w:val="5C731A33"/>
    <w:rsid w:val="5C7678DC"/>
    <w:rsid w:val="5C8473D2"/>
    <w:rsid w:val="5D7828D7"/>
    <w:rsid w:val="5D7E7C3F"/>
    <w:rsid w:val="5D913CCA"/>
    <w:rsid w:val="5DBD2A48"/>
    <w:rsid w:val="5E066E2C"/>
    <w:rsid w:val="5E413AF6"/>
    <w:rsid w:val="5F5C5326"/>
    <w:rsid w:val="600339F4"/>
    <w:rsid w:val="6083126E"/>
    <w:rsid w:val="60F13C45"/>
    <w:rsid w:val="61181721"/>
    <w:rsid w:val="614147D4"/>
    <w:rsid w:val="619A3EE4"/>
    <w:rsid w:val="61BA5760"/>
    <w:rsid w:val="62816A01"/>
    <w:rsid w:val="629848C7"/>
    <w:rsid w:val="62E63C62"/>
    <w:rsid w:val="63077CFB"/>
    <w:rsid w:val="63972DD1"/>
    <w:rsid w:val="63E136F5"/>
    <w:rsid w:val="640C2737"/>
    <w:rsid w:val="64153E0B"/>
    <w:rsid w:val="642F292C"/>
    <w:rsid w:val="648D3E10"/>
    <w:rsid w:val="648F1CFA"/>
    <w:rsid w:val="64920657"/>
    <w:rsid w:val="64D636B2"/>
    <w:rsid w:val="656E3FE4"/>
    <w:rsid w:val="661E6C14"/>
    <w:rsid w:val="66201AE2"/>
    <w:rsid w:val="66426EAA"/>
    <w:rsid w:val="6729060E"/>
    <w:rsid w:val="676B3D44"/>
    <w:rsid w:val="679A13BA"/>
    <w:rsid w:val="67B60879"/>
    <w:rsid w:val="67D41EFF"/>
    <w:rsid w:val="68304CC9"/>
    <w:rsid w:val="68573C08"/>
    <w:rsid w:val="687A4A6F"/>
    <w:rsid w:val="68893E5D"/>
    <w:rsid w:val="68E72104"/>
    <w:rsid w:val="69076303"/>
    <w:rsid w:val="692E3BD2"/>
    <w:rsid w:val="694474E4"/>
    <w:rsid w:val="69AF7B3D"/>
    <w:rsid w:val="69E947C8"/>
    <w:rsid w:val="6A10776E"/>
    <w:rsid w:val="6A1F58CE"/>
    <w:rsid w:val="6A303637"/>
    <w:rsid w:val="6A3C275C"/>
    <w:rsid w:val="6A6432E1"/>
    <w:rsid w:val="6B162C9C"/>
    <w:rsid w:val="6B3B7EE9"/>
    <w:rsid w:val="6B976ED7"/>
    <w:rsid w:val="6BD526E8"/>
    <w:rsid w:val="6BDA3955"/>
    <w:rsid w:val="6C973076"/>
    <w:rsid w:val="6CDA65D2"/>
    <w:rsid w:val="6D52234E"/>
    <w:rsid w:val="6D6868D1"/>
    <w:rsid w:val="6D6E2C31"/>
    <w:rsid w:val="6E007989"/>
    <w:rsid w:val="6E182D60"/>
    <w:rsid w:val="6E2C05BA"/>
    <w:rsid w:val="6E30095A"/>
    <w:rsid w:val="6E3B6931"/>
    <w:rsid w:val="6E405E13"/>
    <w:rsid w:val="6E5D2475"/>
    <w:rsid w:val="6E6D56F7"/>
    <w:rsid w:val="6EFC229F"/>
    <w:rsid w:val="6FA872C6"/>
    <w:rsid w:val="6FAE4F2A"/>
    <w:rsid w:val="700F2882"/>
    <w:rsid w:val="702324A4"/>
    <w:rsid w:val="702F5E8A"/>
    <w:rsid w:val="70587444"/>
    <w:rsid w:val="70671D7D"/>
    <w:rsid w:val="706D20B8"/>
    <w:rsid w:val="708A58FB"/>
    <w:rsid w:val="71167258"/>
    <w:rsid w:val="71270EDA"/>
    <w:rsid w:val="718129CA"/>
    <w:rsid w:val="71D90A58"/>
    <w:rsid w:val="71DE7E1D"/>
    <w:rsid w:val="72253C9E"/>
    <w:rsid w:val="725325B9"/>
    <w:rsid w:val="72753D13"/>
    <w:rsid w:val="72E15E16"/>
    <w:rsid w:val="72E41463"/>
    <w:rsid w:val="73691968"/>
    <w:rsid w:val="73B4092D"/>
    <w:rsid w:val="73C6277B"/>
    <w:rsid w:val="742343AE"/>
    <w:rsid w:val="742F670E"/>
    <w:rsid w:val="74E4574A"/>
    <w:rsid w:val="74E67714"/>
    <w:rsid w:val="74E872E9"/>
    <w:rsid w:val="74F21E96"/>
    <w:rsid w:val="75F52F2F"/>
    <w:rsid w:val="764201D9"/>
    <w:rsid w:val="77587B52"/>
    <w:rsid w:val="77C440B0"/>
    <w:rsid w:val="77F6397C"/>
    <w:rsid w:val="780A196C"/>
    <w:rsid w:val="780A3596"/>
    <w:rsid w:val="78146346"/>
    <w:rsid w:val="78292C8F"/>
    <w:rsid w:val="785A233C"/>
    <w:rsid w:val="78834A5C"/>
    <w:rsid w:val="791A3E30"/>
    <w:rsid w:val="7933282B"/>
    <w:rsid w:val="7A044612"/>
    <w:rsid w:val="7A8D6DA6"/>
    <w:rsid w:val="7AE025BB"/>
    <w:rsid w:val="7B0C4C3B"/>
    <w:rsid w:val="7B917CAE"/>
    <w:rsid w:val="7C1D1542"/>
    <w:rsid w:val="7CC1544F"/>
    <w:rsid w:val="7D2A2168"/>
    <w:rsid w:val="7E0155BF"/>
    <w:rsid w:val="7E3F7E95"/>
    <w:rsid w:val="7ED14832"/>
    <w:rsid w:val="7F547503"/>
    <w:rsid w:val="7F6C2F0C"/>
    <w:rsid w:val="7F9B23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autoRedefine/>
    <w:qFormat/>
    <w:uiPriority w:val="9"/>
    <w:pPr>
      <w:outlineLvl w:val="0"/>
    </w:pPr>
    <w:rPr>
      <w:rFonts w:eastAsia="黑体"/>
      <w:b/>
      <w:bCs/>
      <w:kern w:val="44"/>
      <w:sz w:val="32"/>
      <w:szCs w:val="44"/>
    </w:rPr>
  </w:style>
  <w:style w:type="paragraph" w:styleId="3">
    <w:name w:val="heading 2"/>
    <w:basedOn w:val="1"/>
    <w:next w:val="1"/>
    <w:link w:val="22"/>
    <w:autoRedefine/>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link w:val="23"/>
    <w:autoRedefine/>
    <w:unhideWhenUsed/>
    <w:qFormat/>
    <w:uiPriority w:val="99"/>
    <w:pPr>
      <w:widowControl/>
      <w:jc w:val="left"/>
    </w:pPr>
    <w:rPr>
      <w:rFonts w:eastAsia="等线"/>
      <w:kern w:val="0"/>
      <w:sz w:val="24"/>
    </w:rPr>
  </w:style>
  <w:style w:type="paragraph" w:styleId="5">
    <w:name w:val="Balloon Text"/>
    <w:basedOn w:val="1"/>
    <w:link w:val="24"/>
    <w:autoRedefine/>
    <w:uiPriority w:val="0"/>
    <w:rPr>
      <w:sz w:val="18"/>
      <w:szCs w:val="18"/>
    </w:rPr>
  </w:style>
  <w:style w:type="paragraph" w:styleId="6">
    <w:name w:val="footer"/>
    <w:basedOn w:val="1"/>
    <w:link w:val="25"/>
    <w:qFormat/>
    <w:uiPriority w:val="0"/>
    <w:pPr>
      <w:tabs>
        <w:tab w:val="center" w:pos="4153"/>
        <w:tab w:val="right" w:pos="8306"/>
      </w:tabs>
      <w:snapToGrid w:val="0"/>
      <w:jc w:val="left"/>
    </w:pPr>
    <w:rPr>
      <w:sz w:val="18"/>
      <w:szCs w:val="18"/>
    </w:rPr>
  </w:style>
  <w:style w:type="paragraph" w:styleId="7">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pPr>
      <w:tabs>
        <w:tab w:val="right" w:leader="dot" w:pos="9060"/>
      </w:tabs>
    </w:pPr>
    <w:rPr>
      <w:b/>
    </w:rPr>
  </w:style>
  <w:style w:type="paragraph" w:styleId="9">
    <w:name w:val="footnote text"/>
    <w:basedOn w:val="1"/>
    <w:link w:val="27"/>
    <w:qFormat/>
    <w:uiPriority w:val="0"/>
    <w:pPr>
      <w:snapToGrid w:val="0"/>
      <w:jc w:val="left"/>
    </w:pPr>
    <w:rPr>
      <w:sz w:val="18"/>
      <w:szCs w:val="18"/>
    </w:rPr>
  </w:style>
  <w:style w:type="paragraph" w:styleId="10">
    <w:name w:val="toc 2"/>
    <w:basedOn w:val="1"/>
    <w:next w:val="1"/>
    <w:qFormat/>
    <w:uiPriority w:val="39"/>
    <w:pPr>
      <w:tabs>
        <w:tab w:val="right" w:leader="dot" w:pos="9060"/>
      </w:tabs>
      <w:spacing w:line="360" w:lineRule="auto"/>
      <w:ind w:left="420" w:leftChars="200"/>
    </w:pPr>
  </w:style>
  <w:style w:type="paragraph" w:styleId="11">
    <w:name w:val="Title"/>
    <w:basedOn w:val="1"/>
    <w:next w:val="1"/>
    <w:link w:val="28"/>
    <w:autoRedefine/>
    <w:qFormat/>
    <w:uiPriority w:val="0"/>
    <w:pPr>
      <w:spacing w:line="360" w:lineRule="auto"/>
      <w:jc w:val="center"/>
      <w:outlineLvl w:val="0"/>
    </w:pPr>
    <w:rPr>
      <w:rFonts w:ascii="等线 Light" w:hAnsi="等线 Light" w:eastAsia="黑体" w:cs="Times New Roman"/>
      <w:b/>
      <w:bCs/>
      <w:sz w:val="36"/>
      <w:szCs w:val="32"/>
    </w:rPr>
  </w:style>
  <w:style w:type="paragraph" w:styleId="12">
    <w:name w:val="annotation subject"/>
    <w:basedOn w:val="4"/>
    <w:next w:val="4"/>
    <w:link w:val="29"/>
    <w:autoRedefine/>
    <w:unhideWhenUsed/>
    <w:qFormat/>
    <w:uiPriority w:val="99"/>
    <w:rPr>
      <w:rFonts w:eastAsia="等线"/>
      <w:b/>
      <w:bCs/>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autoRedefine/>
    <w:unhideWhenUsed/>
    <w:qFormat/>
    <w:uiPriority w:val="99"/>
  </w:style>
  <w:style w:type="character" w:styleId="17">
    <w:name w:val="FollowedHyperlink"/>
    <w:autoRedefine/>
    <w:unhideWhenUsed/>
    <w:qFormat/>
    <w:uiPriority w:val="99"/>
    <w:rPr>
      <w:color w:val="800080"/>
      <w:u w:val="single"/>
    </w:rPr>
  </w:style>
  <w:style w:type="character" w:styleId="18">
    <w:name w:val="Hyperlink"/>
    <w:autoRedefine/>
    <w:unhideWhenUsed/>
    <w:qFormat/>
    <w:uiPriority w:val="99"/>
    <w:rPr>
      <w:color w:val="0563C1"/>
      <w:u w:val="single"/>
    </w:rPr>
  </w:style>
  <w:style w:type="character" w:styleId="19">
    <w:name w:val="annotation reference"/>
    <w:autoRedefine/>
    <w:unhideWhenUsed/>
    <w:qFormat/>
    <w:uiPriority w:val="99"/>
    <w:rPr>
      <w:sz w:val="21"/>
      <w:szCs w:val="21"/>
    </w:rPr>
  </w:style>
  <w:style w:type="character" w:styleId="20">
    <w:name w:val="footnote reference"/>
    <w:qFormat/>
    <w:uiPriority w:val="0"/>
    <w:rPr>
      <w:vertAlign w:val="superscript"/>
    </w:rPr>
  </w:style>
  <w:style w:type="character" w:customStyle="1" w:styleId="21">
    <w:name w:val="标题 1 字符1"/>
    <w:link w:val="2"/>
    <w:autoRedefine/>
    <w:qFormat/>
    <w:uiPriority w:val="9"/>
    <w:rPr>
      <w:rFonts w:eastAsia="黑体"/>
      <w:b/>
      <w:bCs/>
      <w:kern w:val="44"/>
      <w:sz w:val="32"/>
      <w:szCs w:val="44"/>
    </w:rPr>
  </w:style>
  <w:style w:type="character" w:customStyle="1" w:styleId="22">
    <w:name w:val="标题 2 字符1"/>
    <w:link w:val="3"/>
    <w:autoRedefine/>
    <w:semiHidden/>
    <w:qFormat/>
    <w:uiPriority w:val="0"/>
    <w:rPr>
      <w:rFonts w:ascii="等线 Light" w:hAnsi="等线 Light" w:eastAsia="等线 Light" w:cs="Times New Roman"/>
      <w:b/>
      <w:bCs/>
      <w:kern w:val="2"/>
      <w:sz w:val="32"/>
      <w:szCs w:val="32"/>
    </w:rPr>
  </w:style>
  <w:style w:type="character" w:customStyle="1" w:styleId="23">
    <w:name w:val="批注文字 字符"/>
    <w:link w:val="4"/>
    <w:autoRedefine/>
    <w:qFormat/>
    <w:uiPriority w:val="99"/>
    <w:rPr>
      <w:rFonts w:eastAsia="等线"/>
      <w:sz w:val="24"/>
      <w:szCs w:val="24"/>
    </w:rPr>
  </w:style>
  <w:style w:type="character" w:customStyle="1" w:styleId="24">
    <w:name w:val="批注框文本 字符1"/>
    <w:link w:val="5"/>
    <w:autoRedefine/>
    <w:qFormat/>
    <w:uiPriority w:val="0"/>
    <w:rPr>
      <w:kern w:val="2"/>
      <w:sz w:val="18"/>
      <w:szCs w:val="18"/>
    </w:rPr>
  </w:style>
  <w:style w:type="character" w:customStyle="1" w:styleId="25">
    <w:name w:val="页脚 字符1"/>
    <w:link w:val="6"/>
    <w:autoRedefine/>
    <w:qFormat/>
    <w:uiPriority w:val="99"/>
    <w:rPr>
      <w:kern w:val="2"/>
      <w:sz w:val="18"/>
      <w:szCs w:val="18"/>
    </w:rPr>
  </w:style>
  <w:style w:type="character" w:customStyle="1" w:styleId="26">
    <w:name w:val="页眉 字符1"/>
    <w:link w:val="7"/>
    <w:autoRedefine/>
    <w:qFormat/>
    <w:uiPriority w:val="0"/>
    <w:rPr>
      <w:kern w:val="2"/>
      <w:sz w:val="18"/>
      <w:szCs w:val="18"/>
    </w:rPr>
  </w:style>
  <w:style w:type="character" w:customStyle="1" w:styleId="27">
    <w:name w:val="脚注文本 字符1"/>
    <w:link w:val="9"/>
    <w:autoRedefine/>
    <w:qFormat/>
    <w:uiPriority w:val="0"/>
    <w:rPr>
      <w:kern w:val="2"/>
      <w:sz w:val="18"/>
      <w:szCs w:val="18"/>
    </w:rPr>
  </w:style>
  <w:style w:type="character" w:customStyle="1" w:styleId="28">
    <w:name w:val="标题 字符"/>
    <w:link w:val="11"/>
    <w:autoRedefine/>
    <w:qFormat/>
    <w:uiPriority w:val="0"/>
    <w:rPr>
      <w:rFonts w:ascii="等线 Light" w:hAnsi="等线 Light" w:eastAsia="黑体" w:cs="Times New Roman"/>
      <w:b/>
      <w:bCs/>
      <w:kern w:val="2"/>
      <w:sz w:val="36"/>
      <w:szCs w:val="32"/>
    </w:rPr>
  </w:style>
  <w:style w:type="character" w:customStyle="1" w:styleId="29">
    <w:name w:val="批注主题 字符"/>
    <w:link w:val="12"/>
    <w:autoRedefine/>
    <w:qFormat/>
    <w:uiPriority w:val="99"/>
    <w:rPr>
      <w:rFonts w:eastAsia="等线"/>
      <w:b/>
      <w:bCs/>
      <w:sz w:val="24"/>
      <w:szCs w:val="24"/>
    </w:rPr>
  </w:style>
  <w:style w:type="character" w:customStyle="1" w:styleId="30">
    <w:name w:val="页脚 字符"/>
    <w:autoRedefine/>
    <w:qFormat/>
    <w:uiPriority w:val="0"/>
    <w:rPr>
      <w:rFonts w:ascii="Times New Roman" w:hAnsi="Times New Roman" w:eastAsia="宋体" w:cs="Times New Roman"/>
      <w:sz w:val="18"/>
      <w:szCs w:val="18"/>
    </w:rPr>
  </w:style>
  <w:style w:type="character" w:customStyle="1" w:styleId="31">
    <w:name w:val="脚注文本 Char1"/>
    <w:autoRedefine/>
    <w:semiHidden/>
    <w:qFormat/>
    <w:uiPriority w:val="99"/>
    <w:rPr>
      <w:kern w:val="2"/>
      <w:sz w:val="18"/>
      <w:szCs w:val="18"/>
    </w:rPr>
  </w:style>
  <w:style w:type="character" w:customStyle="1" w:styleId="32">
    <w:name w:val="批注框文本 字符"/>
    <w:autoRedefine/>
    <w:qFormat/>
    <w:uiPriority w:val="0"/>
    <w:rPr>
      <w:rFonts w:ascii="Times New Roman" w:hAnsi="Times New Roman" w:eastAsia="宋体" w:cs="Times New Roman"/>
      <w:sz w:val="18"/>
      <w:szCs w:val="18"/>
    </w:rPr>
  </w:style>
  <w:style w:type="character" w:customStyle="1" w:styleId="33">
    <w:name w:val="标题 1 字符"/>
    <w:autoRedefine/>
    <w:qFormat/>
    <w:uiPriority w:val="9"/>
    <w:rPr>
      <w:rFonts w:eastAsia="等线"/>
      <w:b/>
      <w:bCs/>
      <w:kern w:val="44"/>
      <w:sz w:val="44"/>
      <w:szCs w:val="44"/>
    </w:rPr>
  </w:style>
  <w:style w:type="character" w:customStyle="1" w:styleId="34">
    <w:name w:val="样式1 字符"/>
    <w:link w:val="35"/>
    <w:autoRedefine/>
    <w:qFormat/>
    <w:uiPriority w:val="0"/>
    <w:rPr>
      <w:rFonts w:ascii="仿宋" w:hAnsi="仿宋" w:eastAsia="仿宋" w:cs="Times New Roman"/>
      <w:bCs/>
      <w:kern w:val="2"/>
      <w:sz w:val="32"/>
      <w:szCs w:val="32"/>
    </w:rPr>
  </w:style>
  <w:style w:type="paragraph" w:customStyle="1" w:styleId="35">
    <w:name w:val="样式1"/>
    <w:basedOn w:val="3"/>
    <w:link w:val="34"/>
    <w:autoRedefine/>
    <w:qFormat/>
    <w:uiPriority w:val="0"/>
    <w:pPr>
      <w:spacing w:before="25" w:beforeLines="25"/>
      <w:jc w:val="left"/>
    </w:pPr>
    <w:rPr>
      <w:rFonts w:ascii="仿宋" w:hAnsi="仿宋" w:eastAsia="仿宋"/>
      <w:b w:val="0"/>
      <w:sz w:val="32"/>
      <w:szCs w:val="32"/>
    </w:rPr>
  </w:style>
  <w:style w:type="character" w:customStyle="1" w:styleId="36">
    <w:name w:val="标题2 字符"/>
    <w:link w:val="37"/>
    <w:autoRedefine/>
    <w:qFormat/>
    <w:uiPriority w:val="0"/>
    <w:rPr>
      <w:rFonts w:ascii="仿宋" w:hAnsi="仿宋" w:eastAsia="华文仿宋"/>
      <w:b/>
      <w:bCs/>
      <w:kern w:val="2"/>
      <w:sz w:val="32"/>
      <w:szCs w:val="32"/>
    </w:rPr>
  </w:style>
  <w:style w:type="paragraph" w:customStyle="1" w:styleId="37">
    <w:name w:val="标题2"/>
    <w:basedOn w:val="3"/>
    <w:link w:val="36"/>
    <w:autoRedefine/>
    <w:qFormat/>
    <w:uiPriority w:val="0"/>
    <w:pPr>
      <w:keepNext w:val="0"/>
      <w:keepLines w:val="0"/>
      <w:numPr>
        <w:ilvl w:val="0"/>
        <w:numId w:val="1"/>
      </w:numPr>
      <w:spacing w:before="50" w:beforeLines="50" w:after="0" w:line="240" w:lineRule="auto"/>
    </w:pPr>
    <w:rPr>
      <w:rFonts w:ascii="仿宋" w:hAnsi="仿宋" w:eastAsia="华文仿宋"/>
    </w:rPr>
  </w:style>
  <w:style w:type="character" w:customStyle="1" w:styleId="38">
    <w:name w:val="样式3 Char"/>
    <w:link w:val="39"/>
    <w:autoRedefine/>
    <w:qFormat/>
    <w:uiPriority w:val="0"/>
    <w:rPr>
      <w:rFonts w:eastAsia="华文仿宋"/>
      <w:b/>
      <w:kern w:val="2"/>
      <w:sz w:val="24"/>
      <w:szCs w:val="28"/>
    </w:rPr>
  </w:style>
  <w:style w:type="paragraph" w:customStyle="1" w:styleId="39">
    <w:name w:val="样式3"/>
    <w:basedOn w:val="1"/>
    <w:link w:val="38"/>
    <w:autoRedefine/>
    <w:qFormat/>
    <w:uiPriority w:val="0"/>
    <w:pPr>
      <w:numPr>
        <w:ilvl w:val="0"/>
        <w:numId w:val="2"/>
      </w:numPr>
      <w:jc w:val="center"/>
    </w:pPr>
    <w:rPr>
      <w:rFonts w:eastAsia="华文仿宋"/>
      <w:b/>
      <w:sz w:val="24"/>
      <w:szCs w:val="28"/>
    </w:rPr>
  </w:style>
  <w:style w:type="character" w:customStyle="1" w:styleId="40">
    <w:name w:val="_Style 39"/>
    <w:qFormat/>
    <w:uiPriority w:val="32"/>
    <w:rPr>
      <w:b/>
      <w:bCs/>
      <w:smallCaps/>
      <w:color w:val="5B9BD5"/>
      <w:spacing w:val="5"/>
    </w:rPr>
  </w:style>
  <w:style w:type="character" w:customStyle="1" w:styleId="41">
    <w:name w:val="样式2 Char"/>
    <w:link w:val="42"/>
    <w:autoRedefine/>
    <w:uiPriority w:val="0"/>
    <w:rPr>
      <w:rFonts w:eastAsia="华文仿宋"/>
      <w:b/>
      <w:kern w:val="2"/>
      <w:sz w:val="24"/>
      <w:szCs w:val="28"/>
    </w:rPr>
  </w:style>
  <w:style w:type="paragraph" w:customStyle="1" w:styleId="42">
    <w:name w:val="样式2"/>
    <w:basedOn w:val="1"/>
    <w:link w:val="41"/>
    <w:qFormat/>
    <w:uiPriority w:val="0"/>
    <w:pPr>
      <w:numPr>
        <w:ilvl w:val="0"/>
        <w:numId w:val="3"/>
      </w:numPr>
      <w:jc w:val="center"/>
    </w:pPr>
    <w:rPr>
      <w:rFonts w:eastAsia="华文仿宋"/>
      <w:b/>
      <w:sz w:val="24"/>
      <w:szCs w:val="28"/>
    </w:rPr>
  </w:style>
  <w:style w:type="character" w:customStyle="1" w:styleId="43">
    <w:name w:val="脚注文本 字符"/>
    <w:autoRedefine/>
    <w:qFormat/>
    <w:uiPriority w:val="0"/>
    <w:rPr>
      <w:rFonts w:ascii="Times New Roman" w:hAnsi="Times New Roman" w:eastAsia="宋体" w:cs="Times New Roman"/>
      <w:sz w:val="18"/>
      <w:szCs w:val="18"/>
    </w:rPr>
  </w:style>
  <w:style w:type="character" w:customStyle="1" w:styleId="44">
    <w:name w:val="页眉 字符"/>
    <w:autoRedefine/>
    <w:qFormat/>
    <w:uiPriority w:val="0"/>
    <w:rPr>
      <w:rFonts w:ascii="Times New Roman" w:hAnsi="Times New Roman" w:eastAsia="宋体" w:cs="Times New Roman"/>
      <w:sz w:val="18"/>
      <w:szCs w:val="18"/>
    </w:rPr>
  </w:style>
  <w:style w:type="character" w:customStyle="1" w:styleId="45">
    <w:name w:val="标题 2 字符"/>
    <w:semiHidden/>
    <w:qFormat/>
    <w:uiPriority w:val="9"/>
    <w:rPr>
      <w:rFonts w:ascii="等线 Light" w:hAnsi="等线 Light" w:eastAsia="等线 Light" w:cs="Times New Roman"/>
      <w:b/>
      <w:bCs/>
      <w:sz w:val="32"/>
      <w:szCs w:val="32"/>
    </w:rPr>
  </w:style>
  <w:style w:type="paragraph" w:customStyle="1" w:styleId="46">
    <w:name w:val="_Style 45"/>
    <w:basedOn w:val="2"/>
    <w:next w:val="1"/>
    <w:qFormat/>
    <w:uiPriority w:val="39"/>
    <w:pPr>
      <w:keepNext/>
      <w:keepLines/>
      <w:widowControl/>
      <w:spacing w:before="240" w:line="259" w:lineRule="auto"/>
      <w:jc w:val="left"/>
      <w:outlineLvl w:val="9"/>
    </w:pPr>
    <w:rPr>
      <w:rFonts w:ascii="等线 Light" w:hAnsi="等线 Light" w:eastAsia="等线 Light" w:cs="Times New Roman"/>
      <w:b w:val="0"/>
      <w:bCs w:val="0"/>
      <w:color w:val="2F5496"/>
      <w:kern w:val="0"/>
      <w:szCs w:val="32"/>
    </w:rPr>
  </w:style>
  <w:style w:type="paragraph" w:customStyle="1" w:styleId="47">
    <w:name w:val="xl67"/>
    <w:basedOn w:val="1"/>
    <w:autoRedefine/>
    <w:qFormat/>
    <w:uiPriority w:val="0"/>
    <w:pPr>
      <w:widowControl/>
      <w:pBdr>
        <w:top w:val="single" w:color="auto" w:sz="8" w:space="0"/>
        <w:right w:val="single" w:color="auto" w:sz="8" w:space="0"/>
      </w:pBdr>
      <w:spacing w:before="100" w:beforeAutospacing="1" w:after="100" w:afterAutospacing="1"/>
      <w:jc w:val="center"/>
      <w:textAlignment w:val="center"/>
    </w:pPr>
    <w:rPr>
      <w:rFonts w:eastAsia="等线"/>
      <w:b/>
      <w:bCs/>
      <w:color w:val="000000"/>
      <w:kern w:val="0"/>
      <w:szCs w:val="21"/>
    </w:rPr>
  </w:style>
  <w:style w:type="paragraph" w:customStyle="1" w:styleId="48">
    <w:name w:val="xl69"/>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eastAsia="等线"/>
      <w:color w:val="000000"/>
      <w:kern w:val="0"/>
      <w:szCs w:val="21"/>
    </w:rPr>
  </w:style>
  <w:style w:type="paragraph" w:customStyle="1" w:styleId="49">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50">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xl83"/>
    <w:basedOn w:val="1"/>
    <w:autoRedefine/>
    <w:qFormat/>
    <w:uiPriority w:val="0"/>
    <w:pPr>
      <w:widowControl/>
      <w:pBdr>
        <w:top w:val="single" w:color="auto" w:sz="8" w:space="0"/>
        <w:bottom w:val="single" w:color="auto" w:sz="8" w:space="0"/>
      </w:pBdr>
      <w:shd w:val="clear" w:color="000000" w:fill="FFFF00"/>
      <w:spacing w:before="100" w:beforeAutospacing="1" w:after="100" w:afterAutospacing="1"/>
      <w:jc w:val="center"/>
      <w:textAlignment w:val="center"/>
    </w:pPr>
    <w:rPr>
      <w:rFonts w:ascii="宋体" w:hAnsi="宋体" w:cs="宋体"/>
      <w:color w:val="000000"/>
      <w:kern w:val="0"/>
      <w:szCs w:val="21"/>
    </w:rPr>
  </w:style>
  <w:style w:type="paragraph" w:customStyle="1" w:styleId="52">
    <w:name w:val="xl6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eastAsia="等线"/>
      <w:b/>
      <w:bCs/>
      <w:color w:val="000000"/>
      <w:kern w:val="0"/>
      <w:sz w:val="24"/>
    </w:rPr>
  </w:style>
  <w:style w:type="paragraph" w:customStyle="1" w:styleId="53">
    <w:name w:val="xl81"/>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cs="宋体"/>
      <w:color w:val="000000"/>
      <w:kern w:val="0"/>
      <w:szCs w:val="21"/>
    </w:rPr>
  </w:style>
  <w:style w:type="paragraph" w:customStyle="1" w:styleId="54">
    <w:name w:val="xl77"/>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55">
    <w:name w:val="xl80"/>
    <w:basedOn w:val="1"/>
    <w:autoRedefine/>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cs="宋体"/>
      <w:b/>
      <w:bCs/>
      <w:color w:val="000000"/>
      <w:kern w:val="0"/>
      <w:sz w:val="24"/>
    </w:rPr>
  </w:style>
  <w:style w:type="paragraph" w:customStyle="1" w:styleId="56">
    <w:name w:val="xl79"/>
    <w:basedOn w:val="1"/>
    <w:autoRedefine/>
    <w:qFormat/>
    <w:uiPriority w:val="0"/>
    <w:pPr>
      <w:widowControl/>
      <w:shd w:val="clear" w:color="000000" w:fill="FFFF00"/>
      <w:spacing w:before="100" w:beforeAutospacing="1" w:after="100" w:afterAutospacing="1"/>
      <w:jc w:val="left"/>
    </w:pPr>
    <w:rPr>
      <w:rFonts w:ascii="宋体" w:hAnsi="宋体" w:cs="宋体"/>
      <w:kern w:val="0"/>
      <w:sz w:val="24"/>
    </w:rPr>
  </w:style>
  <w:style w:type="paragraph" w:customStyle="1" w:styleId="57">
    <w:name w:val="xl65"/>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eastAsia="等线"/>
      <w:b/>
      <w:bCs/>
      <w:color w:val="000000"/>
      <w:kern w:val="0"/>
      <w:szCs w:val="21"/>
    </w:rPr>
  </w:style>
  <w:style w:type="paragraph" w:customStyle="1" w:styleId="58">
    <w:name w:val="xl63"/>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eastAsia="等线"/>
      <w:color w:val="000000"/>
      <w:kern w:val="0"/>
      <w:szCs w:val="21"/>
    </w:rPr>
  </w:style>
  <w:style w:type="paragraph" w:styleId="59">
    <w:name w:val="List Paragraph"/>
    <w:basedOn w:val="1"/>
    <w:autoRedefine/>
    <w:qFormat/>
    <w:uiPriority w:val="34"/>
    <w:pPr>
      <w:ind w:firstLine="420" w:firstLineChars="200"/>
    </w:pPr>
    <w:rPr>
      <w:rFonts w:ascii="等线" w:hAnsi="等线" w:eastAsia="等线" w:cs="Times New Roman"/>
      <w:szCs w:val="22"/>
    </w:rPr>
  </w:style>
  <w:style w:type="paragraph" w:customStyle="1" w:styleId="60">
    <w:name w:val="xl72"/>
    <w:basedOn w:val="1"/>
    <w:autoRedefine/>
    <w:qFormat/>
    <w:uiPriority w:val="0"/>
    <w:pPr>
      <w:widowControl/>
      <w:pBdr>
        <w:top w:val="single" w:color="auto" w:sz="8" w:space="0"/>
        <w:bottom w:val="single" w:color="auto" w:sz="8" w:space="0"/>
      </w:pBdr>
      <w:spacing w:before="100" w:beforeAutospacing="1" w:after="100" w:afterAutospacing="1"/>
      <w:jc w:val="center"/>
      <w:textAlignment w:val="center"/>
    </w:pPr>
    <w:rPr>
      <w:rFonts w:eastAsia="等线"/>
      <w:b/>
      <w:bCs/>
      <w:color w:val="000000"/>
      <w:kern w:val="0"/>
      <w:sz w:val="24"/>
    </w:rPr>
  </w:style>
  <w:style w:type="paragraph" w:customStyle="1" w:styleId="61">
    <w:name w:val="xl68"/>
    <w:basedOn w:val="1"/>
    <w:autoRedefine/>
    <w:qFormat/>
    <w:uiPriority w:val="0"/>
    <w:pPr>
      <w:widowControl/>
      <w:pBdr>
        <w:top w:val="single" w:color="auto" w:sz="8" w:space="0"/>
        <w:bottom w:val="single" w:color="auto" w:sz="8" w:space="0"/>
      </w:pBdr>
      <w:spacing w:before="100" w:beforeAutospacing="1" w:after="100" w:afterAutospacing="1"/>
      <w:jc w:val="center"/>
      <w:textAlignment w:val="center"/>
    </w:pPr>
    <w:rPr>
      <w:rFonts w:eastAsia="等线"/>
      <w:color w:val="000000"/>
      <w:kern w:val="0"/>
      <w:szCs w:val="21"/>
    </w:rPr>
  </w:style>
  <w:style w:type="paragraph" w:customStyle="1" w:styleId="62">
    <w:name w:val="xl76"/>
    <w:basedOn w:val="1"/>
    <w:autoRedefine/>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63">
    <w:name w:val="xl75"/>
    <w:basedOn w:val="1"/>
    <w:autoRedefine/>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cs="宋体"/>
      <w:color w:val="000000"/>
      <w:kern w:val="0"/>
      <w:szCs w:val="21"/>
    </w:rPr>
  </w:style>
  <w:style w:type="paragraph" w:customStyle="1" w:styleId="64">
    <w:name w:val="xl73"/>
    <w:basedOn w:val="1"/>
    <w:autoRedefine/>
    <w:qFormat/>
    <w:uiPriority w:val="0"/>
    <w:pPr>
      <w:widowControl/>
      <w:pBdr>
        <w:top w:val="single" w:color="auto" w:sz="8" w:space="0"/>
        <w:bottom w:val="single" w:color="auto" w:sz="8" w:space="0"/>
      </w:pBdr>
      <w:spacing w:before="100" w:beforeAutospacing="1" w:after="100" w:afterAutospacing="1"/>
      <w:jc w:val="center"/>
      <w:textAlignment w:val="center"/>
    </w:pPr>
    <w:rPr>
      <w:rFonts w:eastAsia="等线"/>
      <w:color w:val="000000"/>
      <w:kern w:val="0"/>
      <w:szCs w:val="21"/>
    </w:rPr>
  </w:style>
  <w:style w:type="paragraph" w:customStyle="1" w:styleId="65">
    <w:name w:val="xl78"/>
    <w:basedOn w:val="1"/>
    <w:autoRedefine/>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66">
    <w:name w:val="xl70"/>
    <w:basedOn w:val="1"/>
    <w:autoRedefine/>
    <w:qFormat/>
    <w:uiPriority w:val="0"/>
    <w:pPr>
      <w:widowControl/>
      <w:pBdr>
        <w:top w:val="single" w:color="auto" w:sz="8" w:space="0"/>
        <w:bottom w:val="single" w:color="auto" w:sz="8" w:space="0"/>
      </w:pBdr>
      <w:spacing w:before="100" w:beforeAutospacing="1" w:after="100" w:afterAutospacing="1"/>
      <w:jc w:val="center"/>
      <w:textAlignment w:val="center"/>
    </w:pPr>
    <w:rPr>
      <w:rFonts w:eastAsia="等线"/>
      <w:b/>
      <w:bCs/>
      <w:color w:val="000000"/>
      <w:kern w:val="0"/>
      <w:sz w:val="24"/>
    </w:rPr>
  </w:style>
  <w:style w:type="paragraph" w:customStyle="1" w:styleId="67">
    <w:name w:val="xl6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eastAsia="等线"/>
      <w:b/>
      <w:bCs/>
      <w:color w:val="000000"/>
      <w:kern w:val="0"/>
      <w:szCs w:val="21"/>
    </w:rPr>
  </w:style>
  <w:style w:type="paragraph" w:customStyle="1" w:styleId="68">
    <w:name w:val="xl84"/>
    <w:basedOn w:val="1"/>
    <w:autoRedefine/>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cs="宋体"/>
      <w:color w:val="000000"/>
      <w:kern w:val="0"/>
      <w:szCs w:val="21"/>
    </w:rPr>
  </w:style>
  <w:style w:type="paragraph" w:customStyle="1" w:styleId="69">
    <w:name w:val="xl7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eastAsia="等线"/>
      <w:color w:val="000000"/>
      <w:kern w:val="0"/>
      <w:szCs w:val="21"/>
    </w:rPr>
  </w:style>
  <w:style w:type="paragraph" w:customStyle="1" w:styleId="70">
    <w:name w:val="修订1"/>
    <w:autoRedefine/>
    <w:semiHidden/>
    <w:qFormat/>
    <w:uiPriority w:val="99"/>
    <w:rPr>
      <w:rFonts w:ascii="Times New Roman" w:hAnsi="Times New Roman" w:eastAsia="等线" w:cs="Times New Roman"/>
      <w:sz w:val="24"/>
      <w:szCs w:val="24"/>
      <w:lang w:val="en-US" w:eastAsia="zh-CN" w:bidi="ar-SA"/>
    </w:rPr>
  </w:style>
  <w:style w:type="paragraph" w:customStyle="1" w:styleId="71">
    <w:name w:val="xl71"/>
    <w:basedOn w:val="1"/>
    <w:autoRedefine/>
    <w:qFormat/>
    <w:uiPriority w:val="0"/>
    <w:pPr>
      <w:widowControl/>
      <w:pBdr>
        <w:top w:val="single" w:color="auto" w:sz="8" w:space="0"/>
        <w:right w:val="single" w:color="auto" w:sz="8" w:space="0"/>
      </w:pBdr>
      <w:spacing w:before="100" w:beforeAutospacing="1" w:after="100" w:afterAutospacing="1"/>
      <w:jc w:val="center"/>
      <w:textAlignment w:val="center"/>
    </w:pPr>
    <w:rPr>
      <w:rFonts w:eastAsia="等线"/>
      <w:b/>
      <w:bCs/>
      <w:color w:val="000000"/>
      <w:kern w:val="0"/>
      <w:szCs w:val="21"/>
    </w:rPr>
  </w:style>
  <w:style w:type="paragraph" w:customStyle="1" w:styleId="72">
    <w:name w:val="xl82"/>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11\Documents\WeChat%20Files\wxid_t9bggg1twemi22\FileStorage\File\2024-01\2023&#24180;&#20174;&#21270;&#21306;&#20225;&#19994;&#29992;&#24037;&#23450;&#28857;&#30417;&#27979;&#35843;&#26597;&#27719;&#24635;&#34920;&#65288;&#23395;&#25253;&#65289;&#20840;&#241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8045602605863"/>
          <c:y val="0.0486112759442679"/>
          <c:w val="0.760586319218241"/>
          <c:h val="0.826391691052555"/>
        </c:manualLayout>
      </c:layout>
      <c:barChart>
        <c:barDir val="col"/>
        <c:grouping val="percentStacked"/>
        <c:varyColors val="0"/>
        <c:ser>
          <c:idx val="0"/>
          <c:order val="0"/>
          <c:tx>
            <c:strRef>
              <c:f>'[2023年从化区企业用工定点监测调查汇总表（季报）全年.xlsx]户籍结构图3.2'!$A$4</c:f>
              <c:strCache>
                <c:ptCount val="1"/>
                <c:pt idx="0">
                  <c:v>本省户籍</c:v>
                </c:pt>
              </c:strCache>
            </c:strRef>
          </c:tx>
          <c:invertIfNegative val="0"/>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'[2023年从化区企业用工定点监测调查汇总表（季报）全年.xlsx]户籍结构图3.2'!$B$3:$E$3</c:f>
              <c:strCache>
                <c:ptCount val="4"/>
                <c:pt idx="0">
                  <c:v>1季度</c:v>
                </c:pt>
                <c:pt idx="1">
                  <c:v>2季度</c:v>
                </c:pt>
                <c:pt idx="2">
                  <c:v>3季度</c:v>
                </c:pt>
                <c:pt idx="3">
                  <c:v>4季度</c:v>
                </c:pt>
              </c:strCache>
            </c:strRef>
          </c:cat>
          <c:val>
            <c:numRef>
              <c:f>'[2023年从化区企业用工定点监测调查汇总表（季报）全年.xlsx]户籍结构图3.2'!$B$4:$E$4</c:f>
              <c:numCache>
                <c:formatCode>0.0%</c:formatCode>
                <c:ptCount val="4"/>
                <c:pt idx="0">
                  <c:v>0.7</c:v>
                </c:pt>
                <c:pt idx="1">
                  <c:v>0.696</c:v>
                </c:pt>
                <c:pt idx="2">
                  <c:v>0.69</c:v>
                </c:pt>
                <c:pt idx="3">
                  <c:v>0.701</c:v>
                </c:pt>
              </c:numCache>
            </c:numRef>
          </c:val>
        </c:ser>
        <c:ser>
          <c:idx val="1"/>
          <c:order val="1"/>
          <c:tx>
            <c:strRef>
              <c:f>'[2023年从化区企业用工定点监测调查汇总表（季报）全年.xlsx]户籍结构图3.2'!$A$5</c:f>
              <c:strCache>
                <c:ptCount val="1"/>
                <c:pt idx="0">
                  <c:v>外省户籍</c:v>
                </c:pt>
              </c:strCache>
            </c:strRef>
          </c:tx>
          <c:invertIfNegative val="0"/>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'[2023年从化区企业用工定点监测调查汇总表（季报）全年.xlsx]户籍结构图3.2'!$B$3:$E$3</c:f>
              <c:strCache>
                <c:ptCount val="4"/>
                <c:pt idx="0">
                  <c:v>1季度</c:v>
                </c:pt>
                <c:pt idx="1">
                  <c:v>2季度</c:v>
                </c:pt>
                <c:pt idx="2">
                  <c:v>3季度</c:v>
                </c:pt>
                <c:pt idx="3">
                  <c:v>4季度</c:v>
                </c:pt>
              </c:strCache>
            </c:strRef>
          </c:cat>
          <c:val>
            <c:numRef>
              <c:f>'[2023年从化区企业用工定点监测调查汇总表（季报）全年.xlsx]户籍结构图3.2'!$B$5:$E$5</c:f>
              <c:numCache>
                <c:formatCode>0.0%</c:formatCode>
                <c:ptCount val="4"/>
                <c:pt idx="0">
                  <c:v>0.3</c:v>
                </c:pt>
                <c:pt idx="1">
                  <c:v>0.304</c:v>
                </c:pt>
                <c:pt idx="2">
                  <c:v>0.31</c:v>
                </c:pt>
                <c:pt idx="3">
                  <c:v>0.299</c:v>
                </c:pt>
              </c:numCache>
            </c:numRef>
          </c:val>
        </c:ser>
        <c:dLbls>
          <c:showLegendKey val="0"/>
          <c:showVal val="0"/>
          <c:showCatName val="0"/>
          <c:showSerName val="0"/>
          <c:showPercent val="0"/>
          <c:showBubbleSize val="0"/>
        </c:dLbls>
        <c:gapWidth val="150"/>
        <c:overlap val="100"/>
        <c:axId val="128714624"/>
        <c:axId val="128716160"/>
      </c:barChart>
      <c:catAx>
        <c:axId val="12871462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8716160"/>
        <c:crosses val="autoZero"/>
        <c:auto val="1"/>
        <c:lblAlgn val="ctr"/>
        <c:lblOffset val="100"/>
        <c:noMultiLvlLbl val="0"/>
      </c:catAx>
      <c:valAx>
        <c:axId val="128716160"/>
        <c:scaling>
          <c:orientation val="minMax"/>
        </c:scaling>
        <c:delete val="0"/>
        <c:axPos val="l"/>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8714624"/>
        <c:crosses val="autoZero"/>
        <c:crossBetween val="between"/>
        <c:majorUnit val="0.2"/>
      </c:valAx>
    </c:plotArea>
    <c:legend>
      <c:legendPos val="r"/>
      <c:legendEntry>
        <c:idx val="0"/>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866449511400652"/>
          <c:y val="0.214121463983669"/>
          <c:w val="0.12214983713355"/>
          <c:h val="0.578704797317002"/>
        </c:manualLayout>
      </c:layout>
      <c:overlay val="0"/>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14330</Words>
  <Characters>20384</Characters>
  <Lines>220</Lines>
  <Paragraphs>61</Paragraphs>
  <TotalTime>29</TotalTime>
  <ScaleCrop>false</ScaleCrop>
  <LinksUpToDate>false</LinksUpToDate>
  <CharactersWithSpaces>22318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2021-01-12T06:38:00Z</dcterms:created>
  <dc:creator>lenovo</dc:creator>
  <cp:lastModifiedBy>fantasy雪碧</cp:lastModifiedBy>
  <dcterms:modified xsi:type="dcterms:W3CDTF">2024-01-15T02:02:56Z</dcterms:modified>
  <dc:title>1、企业用工定点监测的总体情况和简要分析</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1D2BB967E08443B69FA766CAFDA68D77_13</vt:lpwstr>
  </property>
</Properties>
</file>