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fill="FFFFFF"/>
          <w:lang w:val="en-US" w:eastAsia="zh-CN"/>
        </w:rPr>
      </w:pPr>
      <w:bookmarkStart w:id="0" w:name="_GoBack"/>
      <w:bookmarkEnd w:id="0"/>
      <w:r>
        <w:rPr>
          <w:rFonts w:hint="eastAsia" w:ascii="黑体" w:hAnsi="黑体" w:eastAsia="黑体" w:cs="黑体"/>
          <w:i w:val="0"/>
          <w:caps w:val="0"/>
          <w:color w:val="auto"/>
          <w:spacing w:val="0"/>
          <w:sz w:val="32"/>
          <w:szCs w:val="32"/>
          <w:shd w:val="clear" w:fill="FFFFFF"/>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20" w:lineRule="exact"/>
        <w:ind w:right="0"/>
        <w:jc w:val="center"/>
        <w:textAlignment w:val="auto"/>
        <w:rPr>
          <w:rFonts w:hint="eastAsia" w:ascii="方正小标宋简体" w:hAnsi="方正小标宋简体" w:eastAsia="方正小标宋简体" w:cs="方正小标宋简体"/>
          <w:i w:val="0"/>
          <w:caps w:val="0"/>
          <w:color w:val="auto"/>
          <w:spacing w:val="0"/>
          <w:sz w:val="36"/>
          <w:szCs w:val="36"/>
          <w:shd w:val="clear" w:fill="FFFFFF"/>
          <w:lang w:val="en-US" w:eastAsia="zh-CN"/>
        </w:rPr>
      </w:pPr>
      <w:r>
        <w:rPr>
          <w:rFonts w:hint="eastAsia" w:ascii="方正小标宋简体" w:hAnsi="方正小标宋简体" w:eastAsia="方正小标宋简体" w:cs="方正小标宋简体"/>
          <w:i w:val="0"/>
          <w:caps w:val="0"/>
          <w:color w:val="auto"/>
          <w:spacing w:val="0"/>
          <w:sz w:val="36"/>
          <w:szCs w:val="36"/>
          <w:shd w:val="clear" w:fill="FFFFFF"/>
          <w:lang w:val="en-US" w:eastAsia="zh-CN"/>
        </w:rPr>
        <w:t>2023年从化区县域商业体系建设资金项目验收评审结果及拟补助资金分配汇总表（第一批）</w:t>
      </w:r>
    </w:p>
    <w:tbl>
      <w:tblPr>
        <w:tblStyle w:val="6"/>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560"/>
        <w:gridCol w:w="1245"/>
        <w:gridCol w:w="1334"/>
        <w:gridCol w:w="1438"/>
        <w:gridCol w:w="1209"/>
        <w:gridCol w:w="123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仿宋_GB2312"/>
                <w:i w:val="0"/>
                <w:caps w:val="0"/>
                <w:color w:val="auto"/>
                <w:spacing w:val="0"/>
                <w:sz w:val="28"/>
                <w:szCs w:val="28"/>
                <w:shd w:val="clear" w:fill="FFFFFF"/>
                <w:vertAlign w:val="baseline"/>
                <w:lang w:val="en-US" w:eastAsia="zh-CN"/>
              </w:rPr>
            </w:pPr>
            <w:r>
              <w:rPr>
                <w:rFonts w:hint="eastAsia" w:ascii="黑体" w:hAnsi="宋体" w:eastAsia="黑体" w:cs="黑体"/>
                <w:i w:val="0"/>
                <w:color w:val="000000"/>
                <w:kern w:val="0"/>
                <w:sz w:val="24"/>
                <w:szCs w:val="24"/>
                <w:u w:val="none"/>
                <w:lang w:val="en-US" w:eastAsia="zh-CN" w:bidi="ar"/>
              </w:rPr>
              <w:t>序号</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仿宋_GB2312"/>
                <w:i w:val="0"/>
                <w:caps w:val="0"/>
                <w:color w:val="auto"/>
                <w:spacing w:val="0"/>
                <w:sz w:val="28"/>
                <w:szCs w:val="28"/>
                <w:shd w:val="clear" w:fill="FFFFFF"/>
                <w:vertAlign w:val="baseline"/>
                <w:lang w:val="en-US" w:eastAsia="zh-CN"/>
              </w:rPr>
            </w:pPr>
            <w:r>
              <w:rPr>
                <w:rFonts w:hint="eastAsia" w:ascii="黑体" w:hAnsi="宋体" w:eastAsia="黑体" w:cs="黑体"/>
                <w:i w:val="0"/>
                <w:color w:val="000000"/>
                <w:kern w:val="0"/>
                <w:sz w:val="24"/>
                <w:szCs w:val="24"/>
                <w:u w:val="none"/>
                <w:lang w:val="en-US" w:eastAsia="zh-CN" w:bidi="ar"/>
              </w:rPr>
              <w:t>项目名称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仿宋_GB2312"/>
                <w:i w:val="0"/>
                <w:caps w:val="0"/>
                <w:color w:val="auto"/>
                <w:spacing w:val="0"/>
                <w:sz w:val="28"/>
                <w:szCs w:val="28"/>
                <w:shd w:val="clear" w:fill="FFFFFF"/>
                <w:vertAlign w:val="baseline"/>
                <w:lang w:val="en-US" w:eastAsia="zh-CN"/>
              </w:rPr>
            </w:pPr>
            <w:r>
              <w:rPr>
                <w:rFonts w:hint="eastAsia" w:ascii="黑体" w:hAnsi="宋体" w:eastAsia="黑体" w:cs="黑体"/>
                <w:i w:val="0"/>
                <w:color w:val="000000"/>
                <w:kern w:val="0"/>
                <w:sz w:val="24"/>
                <w:szCs w:val="24"/>
                <w:u w:val="none"/>
                <w:lang w:val="en-US" w:eastAsia="zh-CN" w:bidi="ar"/>
              </w:rPr>
              <w:t>项目建设单位</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仿宋_GB2312"/>
                <w:i w:val="0"/>
                <w:caps w:val="0"/>
                <w:color w:val="auto"/>
                <w:spacing w:val="0"/>
                <w:sz w:val="28"/>
                <w:szCs w:val="28"/>
                <w:shd w:val="clear" w:fill="FFFFFF"/>
                <w:vertAlign w:val="baseline"/>
                <w:lang w:val="en-US" w:eastAsia="zh-CN"/>
              </w:rPr>
            </w:pPr>
            <w:r>
              <w:rPr>
                <w:rFonts w:hint="eastAsia" w:ascii="黑体" w:hAnsi="宋体" w:eastAsia="黑体" w:cs="黑体"/>
                <w:i w:val="0"/>
                <w:color w:val="000000"/>
                <w:kern w:val="0"/>
                <w:sz w:val="24"/>
                <w:szCs w:val="24"/>
                <w:u w:val="none"/>
                <w:lang w:val="en-US" w:eastAsia="zh-CN" w:bidi="ar"/>
              </w:rPr>
              <w:t>项目申报支持方向</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专家组评审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pPr>
            <w:r>
              <w:rPr>
                <w:rFonts w:hint="eastAsia" w:ascii="黑体" w:hAnsi="宋体" w:eastAsia="黑体" w:cs="黑体"/>
                <w:i w:val="0"/>
                <w:color w:val="000000"/>
                <w:kern w:val="0"/>
                <w:sz w:val="24"/>
                <w:szCs w:val="24"/>
                <w:u w:val="none"/>
                <w:lang w:val="en-US" w:eastAsia="zh-CN" w:bidi="ar"/>
              </w:rPr>
              <w:t>结果</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pPr>
            <w:r>
              <w:rPr>
                <w:rFonts w:hint="eastAsia" w:ascii="黑体" w:hAnsi="宋体" w:eastAsia="黑体" w:cs="黑体"/>
                <w:i w:val="0"/>
                <w:color w:val="000000"/>
                <w:kern w:val="0"/>
                <w:sz w:val="24"/>
                <w:szCs w:val="24"/>
                <w:u w:val="none"/>
                <w:lang w:val="en-US" w:eastAsia="zh-CN" w:bidi="ar"/>
              </w:rPr>
              <w:t>投资总额（万元）</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奖补金额（万元）</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仿宋_GB2312"/>
                <w:i w:val="0"/>
                <w:caps w:val="0"/>
                <w:color w:val="auto"/>
                <w:spacing w:val="0"/>
                <w:sz w:val="28"/>
                <w:szCs w:val="28"/>
                <w:shd w:val="clear" w:fill="FFFFFF"/>
                <w:vertAlign w:val="baseline"/>
                <w:lang w:val="en-US" w:eastAsia="zh-CN"/>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1</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供销社农副产品直供配送中心建设项目</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广州市华集农食品配送有限公司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增强农村产品上行动能类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281.70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 xml:space="preserve">72.96 </w:t>
            </w:r>
          </w:p>
        </w:tc>
        <w:tc>
          <w:tcPr>
            <w:tcW w:w="813" w:type="dxa"/>
            <w:vAlign w:val="center"/>
          </w:tcPr>
          <w:p>
            <w:pPr>
              <w:keepNext w:val="0"/>
              <w:keepLines w:val="0"/>
              <w:widowControl/>
              <w:suppressLineNumbers w:val="0"/>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2</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全亨农产品冷藏产地仓设施建设项目</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广州全亨农业发展有限公司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增强农村产品上行动能类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285.34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 xml:space="preserve">73.90 </w:t>
            </w:r>
          </w:p>
        </w:tc>
        <w:tc>
          <w:tcPr>
            <w:tcW w:w="813" w:type="dxa"/>
            <w:vAlign w:val="center"/>
          </w:tcPr>
          <w:p>
            <w:pPr>
              <w:keepNext w:val="0"/>
              <w:keepLines w:val="0"/>
              <w:widowControl/>
              <w:suppressLineNumbers w:val="0"/>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3</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从化农产品供应链提升工程</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广东一讯农产品供应链有限公司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增强农村产品上行动能类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172.95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 xml:space="preserve">44.79 </w:t>
            </w:r>
          </w:p>
        </w:tc>
        <w:tc>
          <w:tcPr>
            <w:tcW w:w="813" w:type="dxa"/>
            <w:vAlign w:val="center"/>
          </w:tcPr>
          <w:p>
            <w:pPr>
              <w:keepNext w:val="0"/>
              <w:keepLines w:val="0"/>
              <w:widowControl/>
              <w:suppressLineNumbers w:val="0"/>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4</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流溪河奥莱小镇太平商贸中心改造项目</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广州市八号仓商业管理有限公司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补齐县域商业基础设施短板类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1034.04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 xml:space="preserve">148.00 </w:t>
            </w:r>
          </w:p>
        </w:tc>
        <w:tc>
          <w:tcPr>
            <w:tcW w:w="813" w:type="dxa"/>
            <w:vAlign w:val="center"/>
          </w:tcPr>
          <w:p>
            <w:pPr>
              <w:keepNext w:val="0"/>
              <w:keepLines w:val="0"/>
              <w:widowControl/>
              <w:suppressLineNumbers w:val="0"/>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5</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欣荣广场商贸中心改造升级建设项目</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广州诚和投资管理有限公司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补齐县域商业基础设施短板类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547.85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 xml:space="preserve">126.92 </w:t>
            </w:r>
          </w:p>
        </w:tc>
        <w:tc>
          <w:tcPr>
            <w:tcW w:w="813" w:type="dxa"/>
            <w:vAlign w:val="center"/>
          </w:tcPr>
          <w:p>
            <w:pPr>
              <w:keepNext w:val="0"/>
              <w:keepLines w:val="0"/>
              <w:widowControl/>
              <w:suppressLineNumbers w:val="0"/>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6</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远达广场建设项目</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广州市远达实业有限公司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补齐县域商业基础设施短板类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560.72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 xml:space="preserve">148.00 </w:t>
            </w:r>
          </w:p>
        </w:tc>
        <w:tc>
          <w:tcPr>
            <w:tcW w:w="813" w:type="dxa"/>
            <w:vAlign w:val="center"/>
          </w:tcPr>
          <w:p>
            <w:pPr>
              <w:keepNext w:val="0"/>
              <w:keepLines w:val="0"/>
              <w:widowControl/>
              <w:suppressLineNumbers w:val="0"/>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exac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7</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莱茵汇商业广场</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广州市富财房地产有限公司</w:t>
            </w:r>
          </w:p>
        </w:tc>
        <w:tc>
          <w:tcPr>
            <w:tcW w:w="133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仿宋_GB2312" w:hAnsi="宋体" w:eastAsia="仿宋_GB2312" w:cs="仿宋_GB2312"/>
                <w:i w:val="0"/>
                <w:color w:val="000000"/>
                <w:kern w:val="0"/>
                <w:sz w:val="21"/>
                <w:szCs w:val="21"/>
                <w:u w:val="none"/>
                <w:lang w:val="en-US" w:eastAsia="zh-CN" w:bidi="ar"/>
              </w:rPr>
              <w:t>补齐县域商业基础设施短板类</w:t>
            </w:r>
          </w:p>
        </w:tc>
        <w:tc>
          <w:tcPr>
            <w:tcW w:w="143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pPr>
            <w:r>
              <w:rPr>
                <w:rFonts w:hint="eastAsia" w:ascii="仿宋_GB2312" w:hAnsi="宋体" w:eastAsia="仿宋_GB2312" w:cs="仿宋_GB2312"/>
                <w:i w:val="0"/>
                <w:color w:val="000000"/>
                <w:kern w:val="0"/>
                <w:sz w:val="21"/>
                <w:szCs w:val="21"/>
                <w:u w:val="none"/>
                <w:lang w:val="en-US" w:eastAsia="zh-CN" w:bidi="ar"/>
              </w:rPr>
              <w:t>项目符合建设与申报要求，项目验收通过。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pPr>
            <w:r>
              <w:rPr>
                <w:rFonts w:hint="eastAsia" w:ascii="仿宋_GB2312" w:hAnsi="宋体" w:eastAsia="仿宋_GB2312" w:cs="仿宋_GB2312"/>
                <w:i w:val="0"/>
                <w:color w:val="000000"/>
                <w:kern w:val="0"/>
                <w:sz w:val="21"/>
                <w:szCs w:val="21"/>
                <w:u w:val="none"/>
                <w:lang w:val="en-US" w:eastAsia="zh-CN" w:bidi="ar"/>
              </w:rPr>
              <w:t xml:space="preserve">1501.12 </w:t>
            </w:r>
          </w:p>
        </w:tc>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 xml:space="preserve">148.00 </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仿宋_GB2312" w:cs="仿宋_GB2312"/>
                <w:i w:val="0"/>
                <w:caps w:val="0"/>
                <w:color w:val="auto"/>
                <w:spacing w:val="0"/>
                <w:sz w:val="21"/>
                <w:szCs w:val="21"/>
                <w:shd w:val="clear" w:fill="FFFFFF"/>
                <w:vertAlign w:val="baseline"/>
                <w:lang w:val="en-US" w:eastAsia="zh-CN"/>
              </w:rPr>
            </w:pPr>
            <w:r>
              <w:rPr>
                <w:rFonts w:hint="eastAsia" w:ascii="Times New Roman" w:hAnsi="Times New Roman" w:eastAsia="仿宋_GB2312" w:cs="仿宋_GB2312"/>
                <w:i w:val="0"/>
                <w:color w:val="auto"/>
                <w:kern w:val="0"/>
                <w:sz w:val="18"/>
                <w:szCs w:val="18"/>
                <w:u w:val="none"/>
                <w:lang w:val="en-US" w:eastAsia="zh-CN" w:bidi="ar"/>
              </w:rPr>
              <w:t>承办企业由协成发有限公司调整为</w:t>
            </w:r>
            <w:r>
              <w:rPr>
                <w:rFonts w:hint="eastAsia" w:ascii="仿宋_GB2312" w:hAnsi="宋体" w:eastAsia="仿宋_GB2312" w:cs="仿宋_GB2312"/>
                <w:i w:val="0"/>
                <w:color w:val="000000"/>
                <w:kern w:val="0"/>
                <w:sz w:val="18"/>
                <w:szCs w:val="18"/>
                <w:u w:val="none"/>
                <w:lang w:val="en-US" w:eastAsia="zh-CN" w:bidi="ar"/>
              </w:rPr>
              <w:t>广州市富财房地产有</w:t>
            </w:r>
            <w:r>
              <w:rPr>
                <w:rFonts w:hint="eastAsia" w:ascii="仿宋_GB2312" w:hAnsi="宋体" w:eastAsia="仿宋_GB2312" w:cs="仿宋_GB2312"/>
                <w:i w:val="0"/>
                <w:color w:val="000000"/>
                <w:kern w:val="0"/>
                <w:sz w:val="20"/>
                <w:szCs w:val="20"/>
                <w:u w:val="none"/>
                <w:lang w:val="en-US" w:eastAsia="zh-CN" w:bidi="ar"/>
              </w:rPr>
              <w:t>限公司</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ascii="Times New Roman" w:hAnsi="Times New Roman"/>
        </w:rPr>
      </w:pPr>
    </w:p>
    <w:sectPr>
      <w:footerReference r:id="rId3" w:type="default"/>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E7F0A"/>
    <w:rsid w:val="11965BA0"/>
    <w:rsid w:val="19A658B1"/>
    <w:rsid w:val="1FC164C7"/>
    <w:rsid w:val="374B0800"/>
    <w:rsid w:val="38921337"/>
    <w:rsid w:val="431E7F0A"/>
    <w:rsid w:val="479E6C22"/>
    <w:rsid w:val="4B6B62F6"/>
    <w:rsid w:val="4C244010"/>
    <w:rsid w:val="52BA020C"/>
    <w:rsid w:val="73B9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uiPriority w:val="0"/>
  </w:style>
  <w:style w:type="character" w:styleId="13">
    <w:name w:val="Hyperlink"/>
    <w:basedOn w:val="7"/>
    <w:qFormat/>
    <w:uiPriority w:val="0"/>
    <w:rPr>
      <w:color w:val="333333"/>
      <w:u w:val="none"/>
    </w:rPr>
  </w:style>
  <w:style w:type="character" w:styleId="14">
    <w:name w:val="HTML Code"/>
    <w:basedOn w:val="7"/>
    <w:qFormat/>
    <w:uiPriority w:val="0"/>
    <w:rPr>
      <w:rFonts w:ascii="Courier New" w:hAnsi="Courier New"/>
      <w:sz w:val="20"/>
    </w:rPr>
  </w:style>
  <w:style w:type="character" w:styleId="15">
    <w:name w:val="HTML Cite"/>
    <w:basedOn w:val="7"/>
    <w:uiPriority w:val="0"/>
  </w:style>
  <w:style w:type="character" w:customStyle="1" w:styleId="16">
    <w:name w:val="center2"/>
    <w:basedOn w:val="7"/>
    <w:qFormat/>
    <w:uiPriority w:val="0"/>
  </w:style>
  <w:style w:type="character" w:customStyle="1" w:styleId="17">
    <w:name w:val="show-title"/>
    <w:basedOn w:val="7"/>
    <w:qFormat/>
    <w:uiPriority w:val="0"/>
  </w:style>
  <w:style w:type="character" w:customStyle="1" w:styleId="18">
    <w:name w:val="hover27"/>
    <w:basedOn w:val="7"/>
    <w:uiPriority w:val="0"/>
    <w:rPr>
      <w:color w:val="337AB7"/>
    </w:rPr>
  </w:style>
  <w:style w:type="character" w:customStyle="1" w:styleId="19">
    <w:name w:val="hover28"/>
    <w:basedOn w:val="7"/>
    <w:qFormat/>
    <w:uiPriority w:val="0"/>
    <w:rPr>
      <w:color w:val="0167CC"/>
      <w:u w:val="none"/>
      <w:bdr w:val="single" w:color="0167CC" w:sz="6" w:space="0"/>
    </w:rPr>
  </w:style>
  <w:style w:type="character" w:customStyle="1" w:styleId="20">
    <w:name w:val="first-child"/>
    <w:basedOn w:val="7"/>
    <w:qFormat/>
    <w:uiPriority w:val="0"/>
  </w:style>
  <w:style w:type="character" w:customStyle="1" w:styleId="21">
    <w:name w:val="icons"/>
    <w:basedOn w:val="7"/>
    <w:qFormat/>
    <w:uiPriority w:val="0"/>
    <w:rPr>
      <w:b/>
      <w:color w:val="000000"/>
      <w:sz w:val="0"/>
      <w:szCs w:val="0"/>
    </w:rPr>
  </w:style>
  <w:style w:type="character" w:customStyle="1" w:styleId="22">
    <w:name w:val="icons1"/>
    <w:basedOn w:val="7"/>
    <w:uiPriority w:val="0"/>
    <w:rPr>
      <w:b/>
      <w:color w:val="999999"/>
      <w:sz w:val="0"/>
      <w:szCs w:val="0"/>
    </w:rPr>
  </w:style>
  <w:style w:type="character" w:customStyle="1" w:styleId="23">
    <w:name w:val="icons2"/>
    <w:basedOn w:val="7"/>
    <w:uiPriority w:val="0"/>
    <w:rPr>
      <w:b/>
      <w:color w:val="999999"/>
      <w:sz w:val="0"/>
      <w:szCs w:val="0"/>
    </w:rPr>
  </w:style>
  <w:style w:type="character" w:customStyle="1" w:styleId="24">
    <w:name w:val="image-title2"/>
    <w:basedOn w:val="7"/>
    <w:qFormat/>
    <w:uiPriority w:val="0"/>
    <w:rPr>
      <w:color w:val="808080"/>
      <w:sz w:val="21"/>
      <w:szCs w:val="21"/>
    </w:rPr>
  </w:style>
  <w:style w:type="character" w:customStyle="1" w:styleId="25">
    <w:name w:val="layui-this"/>
    <w:basedOn w:val="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2023-11-17T01:53:00Z</dcterms:created>
  <dc:creator>李桂仪</dc:creator>
  <cp:lastModifiedBy>黄骏健</cp:lastModifiedBy>
  <dcterms:modified xsi:type="dcterms:W3CDTF">2023-11-28T09:56:15Z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