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0" w:firstLineChars="0"/>
        <w:rPr>
          <w:rFonts w:hint="eastAsia" w:ascii="仿宋_GB2312" w:hAnsi="仿宋_GB2312" w:eastAsia="仿宋_GB2312" w:cs="仿宋_GB2312"/>
          <w:bCs/>
          <w:color w:val="000000"/>
          <w:kern w:val="28"/>
          <w:sz w:val="32"/>
          <w:szCs w:val="32"/>
          <w:lang w:val="en-US" w:eastAsia="zh-CN" w:bidi="ar-SA"/>
        </w:rPr>
      </w:pPr>
      <w:bookmarkStart w:id="0" w:name="_Toc27605"/>
      <w:bookmarkStart w:id="1" w:name="_Toc8750"/>
      <w:bookmarkStart w:id="2" w:name="_Toc20953"/>
      <w:bookmarkStart w:id="3" w:name="_Toc26703"/>
      <w:r>
        <w:rPr>
          <w:rFonts w:hint="eastAsia" w:ascii="仿宋_GB2312" w:hAnsi="仿宋_GB2312" w:eastAsia="仿宋_GB2312" w:cs="仿宋_GB2312"/>
          <w:bCs/>
          <w:color w:val="000000"/>
          <w:kern w:val="28"/>
          <w:sz w:val="32"/>
          <w:szCs w:val="32"/>
          <w:lang w:val="en-US" w:eastAsia="zh-CN" w:bidi="ar-SA"/>
        </w:rPr>
        <w:t>附件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bCs/>
          <w:color w:val="000000"/>
          <w:kern w:val="28"/>
          <w:sz w:val="32"/>
          <w:szCs w:val="32"/>
          <w:lang w:val="en-US" w:eastAsia="zh-CN" w:bidi="ar-SA"/>
        </w:rPr>
        <w:t>2-4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广州市从化区妇联幼儿园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2022年项目绩效自评报告</w:t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/>
          <w:color w:val="000000"/>
          <w:sz w:val="32"/>
        </w:rPr>
      </w:pPr>
      <w:bookmarkStart w:id="4" w:name="_Toc10655"/>
      <w:bookmarkStart w:id="5" w:name="_Toc1490"/>
      <w:bookmarkStart w:id="6" w:name="_Toc15651"/>
      <w:bookmarkStart w:id="7" w:name="_Toc13051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一、</w:t>
      </w:r>
      <w:r>
        <w:rPr>
          <w:rFonts w:hint="eastAsia"/>
          <w:color w:val="000000"/>
          <w:sz w:val="32"/>
          <w:lang w:eastAsia="zh-CN"/>
        </w:rPr>
        <w:t>基本情况</w:t>
      </w:r>
      <w:bookmarkEnd w:id="4"/>
      <w:bookmarkEnd w:id="5"/>
      <w:bookmarkEnd w:id="6"/>
      <w:bookmarkEnd w:id="7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</w:pPr>
      <w:bookmarkStart w:id="8" w:name="_Toc26165"/>
      <w:bookmarkStart w:id="9" w:name="_Toc25409"/>
      <w:bookmarkStart w:id="10" w:name="_Toc19838"/>
      <w:bookmarkStart w:id="11" w:name="_Toc8615"/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  <w:t>（一）项目实施情况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广州市从化区妇联幼儿园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公益二类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事业编制单位，</w:t>
      </w:r>
      <w:r>
        <w:rPr>
          <w:rFonts w:hint="eastAsia" w:ascii="仿宋_GB2312" w:hAnsi="仿宋" w:eastAsia="仿宋_GB2312"/>
          <w:sz w:val="32"/>
          <w:szCs w:val="32"/>
        </w:rPr>
        <w:t>主要职责是：全面贯彻落实党和国家的教育方针、政策，为3-6岁学龄前儿童提供保育和教育服务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本单位2022年度共设置4个项目，分别是“办学经费（专户）”、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“办学经费（一般公共预算）”、“二类编制人员工资”和“</w:t>
      </w:r>
      <w:r>
        <w:rPr>
          <w:rFonts w:hint="eastAsia" w:ascii="仿宋_GB2312" w:hAnsi="仿宋" w:eastAsia="仿宋_GB2312" w:cs="Times New Roman"/>
          <w:sz w:val="32"/>
          <w:szCs w:val="32"/>
        </w:rPr>
        <w:t>市教育局学前教育财政补助项目（2022年市补助）穗财教〔202</w:t>
      </w:r>
      <w:r>
        <w:rPr>
          <w:rFonts w:hint="eastAsia" w:ascii="仿宋_GB2312" w:hAnsi="宋体" w:eastAsia="仿宋_GB2312" w:cs="宋体"/>
          <w:sz w:val="32"/>
          <w:szCs w:val="32"/>
        </w:rPr>
        <w:t>1〕169号-生均定额补助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根据财政预算绩效管理要求，我单位组织对202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年度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4个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项目支出开展绩效自评。</w:t>
      </w:r>
    </w:p>
    <w:bookmarkEnd w:id="8"/>
    <w:bookmarkEnd w:id="9"/>
    <w:bookmarkEnd w:id="10"/>
    <w:bookmarkEnd w:id="11"/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</w:pPr>
      <w:bookmarkStart w:id="12" w:name="_Toc21582"/>
      <w:bookmarkStart w:id="13" w:name="_Toc350"/>
      <w:bookmarkStart w:id="14" w:name="_Toc16291"/>
      <w:bookmarkStart w:id="15" w:name="_Toc2183"/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  <w:t>财政支出情况</w:t>
      </w:r>
      <w:bookmarkEnd w:id="12"/>
      <w:bookmarkEnd w:id="13"/>
      <w:bookmarkEnd w:id="14"/>
      <w:bookmarkEnd w:id="15"/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2022年我单位</w:t>
      </w:r>
      <w:r>
        <w:rPr>
          <w:rFonts w:hint="eastAsia" w:ascii="仿宋_GB2312" w:hAnsi="宋体" w:eastAsia="仿宋_GB2312" w:cs="宋体"/>
          <w:sz w:val="32"/>
          <w:szCs w:val="32"/>
        </w:rPr>
        <w:t>项目支出</w:t>
      </w:r>
      <w:bookmarkStart w:id="16" w:name="PO_part3A1B2C2Amou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共378.25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万元，比上年决算数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55.11</w:t>
      </w:r>
      <w:r>
        <w:rPr>
          <w:rFonts w:ascii="仿宋_GB2312" w:hAnsi="宋体" w:eastAsia="仿宋_GB2312" w:cs="宋体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17.05</w:t>
      </w:r>
      <w:r>
        <w:rPr>
          <w:rFonts w:ascii="仿宋_GB2312" w:hAnsi="宋体" w:eastAsia="仿宋_GB2312" w:cs="宋体"/>
          <w:sz w:val="32"/>
          <w:szCs w:val="32"/>
        </w:rPr>
        <w:t>%。主要变动情况：</w:t>
      </w:r>
      <w:r>
        <w:rPr>
          <w:rFonts w:ascii="仿宋_GB2312" w:hAnsi="宋体" w:eastAsia="仿宋_GB2312" w:cs="宋体"/>
          <w:sz w:val="32"/>
          <w:szCs w:val="32"/>
        </w:rPr>
        <w:t>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是增加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公益二类编制人员，财政差额拨款增加；</w:t>
      </w:r>
      <w:r>
        <w:rPr>
          <w:rFonts w:ascii="仿宋_GB2312" w:hAnsi="宋体" w:eastAsia="仿宋_GB2312" w:cs="宋体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增加课后延时服务收入</w:t>
      </w:r>
      <w:r>
        <w:rPr>
          <w:rFonts w:ascii="仿宋_GB2312" w:hAnsi="宋体" w:eastAsia="仿宋_GB2312" w:cs="宋体"/>
          <w:sz w:val="32"/>
          <w:szCs w:val="32"/>
        </w:rPr>
        <w:t>，三是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增加市教育局生均定额补助收入</w:t>
      </w:r>
      <w:r>
        <w:rPr>
          <w:rFonts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项目管理情况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仿宋_GB2312" w:hAnsi="宋体" w:cs="宋体"/>
          <w:bCs/>
          <w:kern w:val="28"/>
          <w:sz w:val="32"/>
          <w:szCs w:val="32"/>
          <w:lang w:val="en-US" w:eastAsia="zh-CN" w:bidi="ar-SA"/>
        </w:rPr>
        <w:t>我</w:t>
      </w:r>
      <w:r>
        <w:rPr>
          <w:rFonts w:hint="eastAsia" w:ascii="仿宋_GB2312" w:hAnsi="宋体" w:eastAsia="仿宋_GB2312" w:cs="宋体"/>
          <w:bCs/>
          <w:kern w:val="28"/>
          <w:sz w:val="32"/>
          <w:szCs w:val="32"/>
          <w:lang w:val="en-US" w:eastAsia="zh-CN" w:bidi="ar-SA"/>
        </w:rPr>
        <w:t>单位</w:t>
      </w:r>
      <w:r>
        <w:rPr>
          <w:rFonts w:hint="eastAsia" w:ascii="仿宋_GB2312" w:hAnsi="宋体" w:cs="宋体"/>
          <w:bCs/>
          <w:kern w:val="28"/>
          <w:sz w:val="32"/>
          <w:szCs w:val="32"/>
          <w:lang w:val="en-US" w:eastAsia="zh-CN" w:bidi="ar-SA"/>
        </w:rPr>
        <w:t>严格按照区妇联幼儿园</w:t>
      </w:r>
      <w:r>
        <w:rPr>
          <w:rFonts w:hint="eastAsia" w:ascii="仿宋_GB2312" w:hAnsi="宋体" w:eastAsia="仿宋_GB2312" w:cs="宋体"/>
          <w:bCs/>
          <w:kern w:val="28"/>
          <w:sz w:val="32"/>
          <w:szCs w:val="32"/>
          <w:lang w:val="en-US" w:eastAsia="zh-CN" w:bidi="ar-SA"/>
        </w:rPr>
        <w:t>财务管理制度</w:t>
      </w:r>
      <w:r>
        <w:rPr>
          <w:rFonts w:hint="eastAsia" w:ascii="仿宋_GB2312" w:hAnsi="宋体" w:cs="宋体"/>
          <w:bCs/>
          <w:kern w:val="28"/>
          <w:sz w:val="32"/>
          <w:szCs w:val="32"/>
          <w:lang w:val="en-US" w:eastAsia="zh-CN" w:bidi="ar-SA"/>
        </w:rPr>
        <w:t>和“收支一条线”原则收取幼儿保教费，并做好财政专户和一般公共预算资金的收支管理。做到</w:t>
      </w:r>
      <w:r>
        <w:rPr>
          <w:rFonts w:hint="eastAsia" w:ascii="仿宋_GB2312" w:hAnsi="宋体" w:eastAsia="仿宋_GB2312" w:cs="宋体"/>
          <w:bCs/>
          <w:kern w:val="28"/>
          <w:sz w:val="32"/>
          <w:szCs w:val="32"/>
          <w:lang w:val="en-US" w:eastAsia="zh-CN" w:bidi="ar-SA"/>
        </w:rPr>
        <w:t>每月按时发放，不克扣、拖欠</w:t>
      </w:r>
      <w:r>
        <w:rPr>
          <w:rFonts w:hint="eastAsia" w:ascii="仿宋_GB2312" w:hAnsi="宋体" w:cs="宋体"/>
          <w:bCs/>
          <w:kern w:val="28"/>
          <w:sz w:val="32"/>
          <w:szCs w:val="32"/>
          <w:lang w:val="en-US" w:eastAsia="zh-CN" w:bidi="ar-SA"/>
        </w:rPr>
        <w:t>教职工</w:t>
      </w:r>
      <w:r>
        <w:rPr>
          <w:rFonts w:hint="eastAsia" w:ascii="仿宋_GB2312" w:hAnsi="宋体" w:eastAsia="仿宋_GB2312" w:cs="宋体"/>
          <w:bCs/>
          <w:kern w:val="28"/>
          <w:sz w:val="32"/>
          <w:szCs w:val="32"/>
          <w:lang w:val="en-US" w:eastAsia="zh-CN" w:bidi="ar-SA"/>
        </w:rPr>
        <w:t>工资，</w:t>
      </w:r>
      <w:r>
        <w:rPr>
          <w:rFonts w:hint="eastAsia" w:ascii="仿宋_GB2312" w:hAnsi="宋体" w:cs="宋体"/>
          <w:bCs/>
          <w:kern w:val="28"/>
          <w:sz w:val="32"/>
          <w:szCs w:val="32"/>
          <w:lang w:val="en-US" w:eastAsia="zh-CN" w:bidi="ar-SA"/>
        </w:rPr>
        <w:t>落实项目跟踪情况，</w:t>
      </w:r>
      <w:r>
        <w:rPr>
          <w:rFonts w:hint="eastAsia" w:ascii="仿宋_GB2312" w:hAnsi="宋体" w:eastAsia="仿宋_GB2312" w:cs="宋体"/>
          <w:bCs/>
          <w:kern w:val="28"/>
          <w:sz w:val="32"/>
          <w:szCs w:val="32"/>
          <w:lang w:val="en-US" w:eastAsia="zh-CN" w:bidi="ar-SA"/>
        </w:rPr>
        <w:t>未存在挪用或超标准开支情况。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项目绩效管理情况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所有项目基本达到目标预期，任务完成率达100%，做到严格控制项目预算，及时跟进项目实施的进度和质量，把控项目资金使用效果。回顾项目开展情况，单位项目的功能实现、经济效益、社会效益、满意度等方面取得良好成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bookmarkStart w:id="17" w:name="_Toc13520"/>
      <w:bookmarkStart w:id="18" w:name="_Toc19074"/>
      <w:bookmarkStart w:id="19" w:name="_Toc11512"/>
      <w:bookmarkStart w:id="20" w:name="_Toc5117"/>
      <w:r>
        <w:rPr>
          <w:rFonts w:hint="eastAsia"/>
          <w:color w:val="000000"/>
          <w:sz w:val="32"/>
          <w:lang w:eastAsia="zh-CN"/>
        </w:rPr>
        <w:t>二</w:t>
      </w:r>
      <w:r>
        <w:rPr>
          <w:rFonts w:hint="eastAsia"/>
          <w:color w:val="000000"/>
          <w:sz w:val="32"/>
        </w:rPr>
        <w:t>、</w:t>
      </w:r>
      <w:r>
        <w:rPr>
          <w:rFonts w:hint="eastAsia"/>
          <w:color w:val="000000"/>
          <w:sz w:val="32"/>
          <w:lang w:eastAsia="zh-CN"/>
        </w:rPr>
        <w:t>综合评价</w:t>
      </w:r>
      <w:r>
        <w:rPr>
          <w:rFonts w:hint="eastAsia"/>
          <w:color w:val="000000"/>
          <w:sz w:val="32"/>
        </w:rPr>
        <w:t>分析</w:t>
      </w:r>
      <w:bookmarkEnd w:id="17"/>
      <w:bookmarkEnd w:id="18"/>
      <w:bookmarkEnd w:id="19"/>
      <w:bookmarkEnd w:id="2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/>
          <w:lang w:val="en-US" w:eastAsia="zh-CN"/>
        </w:rPr>
      </w:pPr>
      <w:bookmarkStart w:id="21" w:name="_Toc1487"/>
      <w:bookmarkStart w:id="22" w:name="_Toc26520"/>
      <w:bookmarkStart w:id="23" w:name="_Toc8786"/>
      <w:bookmarkStart w:id="24" w:name="_Toc7453"/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  <w:lang w:eastAsia="zh-CN"/>
        </w:rPr>
        <w:t>自评结论综述</w:t>
      </w:r>
      <w:bookmarkEnd w:id="21"/>
      <w:bookmarkEnd w:id="22"/>
      <w:bookmarkEnd w:id="23"/>
      <w:bookmarkEnd w:id="24"/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“办学经费</w:t>
      </w:r>
      <w:r>
        <w:rPr>
          <w:rFonts w:hint="eastAsia" w:ascii="仿宋_GB2312" w:hAnsi="宋体" w:cs="宋体"/>
          <w:sz w:val="32"/>
          <w:szCs w:val="32"/>
          <w:lang w:eastAsia="zh-CN"/>
        </w:rPr>
        <w:t>（专户）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项目绩效自评综述：全年预算数为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04.88</w:t>
      </w:r>
      <w:r>
        <w:rPr>
          <w:rFonts w:hint="eastAsia" w:ascii="仿宋_GB2312" w:hAnsi="宋体" w:eastAsia="仿宋_GB2312" w:cs="宋体"/>
          <w:sz w:val="32"/>
          <w:szCs w:val="32"/>
        </w:rPr>
        <w:t>万元，执行数为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204.88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sz w:val="32"/>
          <w:szCs w:val="32"/>
        </w:rPr>
        <w:t>%。项目绩效目标完成情况与效益主要是：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我单位此项目支出绩效目标已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100%完成，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能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及时发放两园教职工工资、社保、公积金和第三方后勤人员劳务费用等，以保障教师队伍的建设。我单位将继续严格按财政“收支一条线”原则收取幼儿保教费，管理好财政专户资金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“办学经费（一般公共预算）”</w:t>
      </w:r>
      <w:r>
        <w:rPr>
          <w:rFonts w:hint="eastAsia" w:ascii="仿宋_GB2312" w:hAnsi="宋体" w:eastAsia="仿宋_GB2312" w:cs="宋体"/>
          <w:sz w:val="32"/>
          <w:szCs w:val="32"/>
        </w:rPr>
        <w:t>项目绩效自评综述：全年预算数为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3.22</w:t>
      </w:r>
      <w:r>
        <w:rPr>
          <w:rFonts w:hint="eastAsia" w:ascii="仿宋_GB2312" w:hAnsi="宋体" w:eastAsia="仿宋_GB2312" w:cs="宋体"/>
          <w:sz w:val="32"/>
          <w:szCs w:val="32"/>
        </w:rPr>
        <w:t>万元，执行数为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3.22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sz w:val="32"/>
          <w:szCs w:val="32"/>
        </w:rPr>
        <w:t>%。项目绩效目标完成情况与效益主要是：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我单位此项目支出绩效目标已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100%完成，能正常开展幼儿课后延时托管服务。我单位将坚持做好保教保育服务，为幼儿提供更好的学前教育环境。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“二类编制人员工资”</w:t>
      </w:r>
      <w:r>
        <w:rPr>
          <w:rFonts w:hint="eastAsia" w:ascii="仿宋_GB2312" w:hAnsi="宋体" w:eastAsia="仿宋_GB2312" w:cs="宋体"/>
          <w:sz w:val="32"/>
          <w:szCs w:val="32"/>
        </w:rPr>
        <w:t>项目绩效自评综述：全年预算数为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7.5</w:t>
      </w:r>
      <w:r>
        <w:rPr>
          <w:rFonts w:hint="eastAsia" w:ascii="仿宋_GB2312" w:hAnsi="宋体" w:eastAsia="仿宋_GB2312" w:cs="宋体"/>
          <w:sz w:val="32"/>
          <w:szCs w:val="32"/>
        </w:rPr>
        <w:t>万元，执行数为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7.5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sz w:val="32"/>
          <w:szCs w:val="32"/>
        </w:rPr>
        <w:t>%。项目绩效目标完成情况与效益主要是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：我单位此项目支出绩效目标已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100%完成，能及时发放二类编制人员工资，保障优质教师队伍的建设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我单位将继续严格按照要求及时发放公益二类编制人员工资，保障其工资待遇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sz w:val="32"/>
          <w:szCs w:val="32"/>
        </w:rPr>
        <w:t>市教育局学前教育财政补助项目（2022年市补助）穗财教〔2021〕169号-生均定额补助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项目绩效自评综述：全年预算数为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162.65</w:t>
      </w:r>
      <w:r>
        <w:rPr>
          <w:rFonts w:hint="eastAsia" w:ascii="仿宋_GB2312" w:hAnsi="宋体" w:eastAsia="仿宋_GB2312" w:cs="宋体"/>
          <w:sz w:val="32"/>
          <w:szCs w:val="32"/>
        </w:rPr>
        <w:t>万元，执行数为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162.65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sz w:val="32"/>
          <w:szCs w:val="32"/>
        </w:rPr>
        <w:t>%。项目绩效目标完成情况与效益主要是：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我单位此项目支出绩效目标已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100%完成，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市教育局对我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园进行生均定额补助，扶持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园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学前教育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发展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提升学前教育质量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，以保障我园合同工教职工的工资补助，为教职工提供教研、培训资金。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我单位将继续严格按照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上级要求把控相关资金支出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25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val="en-US" w:eastAsia="zh-CN" w:bidi="ar-SA"/>
        </w:rPr>
        <w:t>项目效益分析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我单位严格按要求通过非税系统收取保教费等收入，管理好财政专户和一般公共预算资金项目，及时支付园区合同工、公益二类编制人员工资、社保、公积金和第三方后勤人员劳务费用，保障我园教师队伍的建设，促进我园学前教育良好发展</w:t>
      </w:r>
      <w:bookmarkStart w:id="37" w:name="_GoBack"/>
      <w:bookmarkEnd w:id="37"/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25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</w:pPr>
      <w:bookmarkStart w:id="25" w:name="_Toc5726"/>
      <w:bookmarkStart w:id="26" w:name="_Toc7470"/>
      <w:bookmarkStart w:id="27" w:name="_Toc25899"/>
      <w:bookmarkStart w:id="28" w:name="_Toc8218"/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  <w:t>支出效益分析</w:t>
      </w:r>
      <w:bookmarkEnd w:id="25"/>
      <w:bookmarkEnd w:id="26"/>
      <w:bookmarkEnd w:id="27"/>
      <w:bookmarkEnd w:id="28"/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Cs w:val="0"/>
          <w:kern w:val="2"/>
          <w:sz w:val="32"/>
          <w:szCs w:val="32"/>
          <w:lang w:val="en-US" w:eastAsia="zh-CN" w:bidi="ar-SA"/>
        </w:rPr>
        <w:t>本年度我单位所有项目支出均合理依规，不存在截留、挤占、挪用项目资金情况。在保障机构运行项目中，能</w:t>
      </w:r>
      <w:r>
        <w:rPr>
          <w:rFonts w:hint="eastAsia" w:ascii="仿宋_GB2312" w:hAnsi="宋体" w:eastAsia="仿宋_GB2312" w:cs="宋体"/>
          <w:bCs/>
          <w:kern w:val="28"/>
          <w:sz w:val="32"/>
          <w:szCs w:val="32"/>
          <w:lang w:val="en-US" w:eastAsia="zh-CN" w:bidi="ar-SA"/>
        </w:rPr>
        <w:t>按时发放教职工工资，合理利用园区日常运作经费，</w:t>
      </w:r>
      <w:r>
        <w:rPr>
          <w:rFonts w:hint="eastAsia" w:ascii="仿宋_GB2312" w:hAnsi="宋体" w:eastAsia="仿宋_GB2312" w:cs="宋体"/>
          <w:bCs w:val="0"/>
          <w:kern w:val="2"/>
          <w:sz w:val="32"/>
          <w:szCs w:val="32"/>
          <w:lang w:val="en-US" w:eastAsia="zh-CN" w:bidi="ar-SA"/>
        </w:rPr>
        <w:t>使4个项目资金均发挥最大的社会效益与提高服务对象的满意度。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/>
          <w:color w:val="000000"/>
          <w:sz w:val="32"/>
          <w:highlight w:val="none"/>
        </w:rPr>
      </w:pPr>
      <w:bookmarkStart w:id="29" w:name="_Toc10406"/>
      <w:bookmarkStart w:id="30" w:name="_Toc23609"/>
      <w:bookmarkStart w:id="31" w:name="_Toc4224"/>
      <w:bookmarkStart w:id="32" w:name="_Toc10936"/>
      <w:r>
        <w:rPr>
          <w:rFonts w:hint="eastAsia"/>
          <w:color w:val="000000"/>
          <w:sz w:val="32"/>
          <w:highlight w:val="none"/>
        </w:rPr>
        <w:t>存在</w:t>
      </w:r>
      <w:r>
        <w:rPr>
          <w:rFonts w:hint="eastAsia"/>
          <w:color w:val="000000"/>
          <w:sz w:val="32"/>
          <w:highlight w:val="none"/>
          <w:lang w:eastAsia="zh-CN"/>
        </w:rPr>
        <w:t>的主要</w:t>
      </w:r>
      <w:r>
        <w:rPr>
          <w:rFonts w:hint="eastAsia"/>
          <w:color w:val="000000"/>
          <w:sz w:val="32"/>
          <w:highlight w:val="none"/>
        </w:rPr>
        <w:t>问题</w:t>
      </w:r>
      <w:bookmarkEnd w:id="29"/>
      <w:bookmarkEnd w:id="30"/>
      <w:bookmarkEnd w:id="31"/>
      <w:bookmarkEnd w:id="32"/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（一）教职工人数匮乏、空编多，日常保教任务艰巨。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（二）幼儿保教费收费标准低，教职工工资来源渠道少。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cs="黑体"/>
          <w:color w:val="000000"/>
          <w:sz w:val="32"/>
          <w:highlight w:val="none"/>
          <w:lang w:eastAsia="zh-CN"/>
        </w:rPr>
      </w:pPr>
      <w:bookmarkStart w:id="33" w:name="_Toc7349"/>
      <w:bookmarkStart w:id="34" w:name="_Toc27877"/>
      <w:bookmarkStart w:id="35" w:name="_Toc32551"/>
      <w:bookmarkStart w:id="36" w:name="_Toc30357"/>
      <w:r>
        <w:rPr>
          <w:rFonts w:hint="eastAsia"/>
          <w:color w:val="000000"/>
          <w:sz w:val="32"/>
          <w:highlight w:val="none"/>
          <w:lang w:eastAsia="zh-CN"/>
        </w:rPr>
        <w:t>四</w:t>
      </w:r>
      <w:r>
        <w:rPr>
          <w:rFonts w:hint="eastAsia"/>
          <w:color w:val="000000"/>
          <w:sz w:val="32"/>
          <w:highlight w:val="none"/>
        </w:rPr>
        <w:t>、</w:t>
      </w:r>
      <w:r>
        <w:rPr>
          <w:rFonts w:hint="eastAsia" w:ascii="黑体" w:hAnsi="黑体" w:eastAsia="黑体" w:cs="黑体"/>
          <w:color w:val="000000"/>
          <w:sz w:val="32"/>
          <w:highlight w:val="none"/>
          <w:lang w:eastAsia="zh-CN"/>
        </w:rPr>
        <w:t>下一步</w:t>
      </w:r>
      <w:r>
        <w:rPr>
          <w:rFonts w:hint="eastAsia" w:ascii="黑体" w:hAnsi="黑体" w:eastAsia="黑体" w:cs="黑体"/>
          <w:color w:val="000000"/>
          <w:sz w:val="32"/>
          <w:highlight w:val="none"/>
        </w:rPr>
        <w:t>改进</w:t>
      </w:r>
      <w:r>
        <w:rPr>
          <w:rFonts w:hint="eastAsia" w:ascii="黑体" w:hAnsi="黑体" w:cs="黑体"/>
          <w:color w:val="000000"/>
          <w:sz w:val="32"/>
          <w:highlight w:val="none"/>
          <w:lang w:eastAsia="zh-CN"/>
        </w:rPr>
        <w:t>措施</w:t>
      </w:r>
      <w:bookmarkEnd w:id="33"/>
      <w:bookmarkEnd w:id="34"/>
      <w:bookmarkEnd w:id="35"/>
      <w:bookmarkEnd w:id="36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一）为更好发展学前教育，我园将继续开办课后延时托管服务和暑假、寒假托管班，增加幼儿保教费收入，保障教师工资待遇；在稳定原有师资力量的同时，按规定按流程招聘公益二类事业编制人员，填补教师力量的空缺位置，降低目前教师队伍的保教压力，提高我单位的项目效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（二）按照相关财务会计制度，严格把控项目资金支出，科学合理分析、测算支出进度，根据区财政局的要求适时调整项目预算数，合理调配项目资金。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（三）加大对财务人员的培训，多学习相关财务文件及知识，规范会计预算、会计执行与会计核算。</w:t>
      </w:r>
    </w:p>
    <w:p>
      <w:pPr>
        <w:pStyle w:val="8"/>
        <w:ind w:left="0" w:leftChars="0" w:firstLine="640" w:firstLineChars="200"/>
        <w:rPr>
          <w:rFonts w:hint="eastAsia" w:ascii="黑体" w:hAnsi="黑体" w:eastAsia="黑体" w:cs="黑体"/>
          <w:bCs/>
          <w:color w:val="000000"/>
          <w:kern w:val="28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28"/>
          <w:sz w:val="32"/>
          <w:szCs w:val="32"/>
          <w:lang w:val="en-US" w:eastAsia="zh-CN" w:bidi="ar-SA"/>
        </w:rPr>
        <w:t>五、附件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项目支出绩效自评表</w:t>
      </w:r>
    </w:p>
    <w:p>
      <w:pPr>
        <w:ind w:left="0" w:leftChars="0" w:firstLine="0" w:firstLineChars="0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77C50A"/>
    <w:multiLevelType w:val="singleLevel"/>
    <w:tmpl w:val="8C77C50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FC88970"/>
    <w:multiLevelType w:val="singleLevel"/>
    <w:tmpl w:val="AFC8897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DBA9ED8"/>
    <w:multiLevelType w:val="singleLevel"/>
    <w:tmpl w:val="DDBA9ED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GMxYzk2OWY3NTk4NjE4ZTQ2ZDg2MmNhNzJiZTcifQ=="/>
    <w:docVar w:name="KGWebUrl" w:val="http://10.14.160.8/newoa/missive/kinggridOfficeServer.do?method=officeProcess"/>
  </w:docVars>
  <w:rsids>
    <w:rsidRoot w:val="767B1E64"/>
    <w:rsid w:val="057E0A10"/>
    <w:rsid w:val="05D10639"/>
    <w:rsid w:val="063E3FA2"/>
    <w:rsid w:val="0A4B72A6"/>
    <w:rsid w:val="0AAB5F09"/>
    <w:rsid w:val="0BF608BD"/>
    <w:rsid w:val="11744968"/>
    <w:rsid w:val="11881B0D"/>
    <w:rsid w:val="12BA52A0"/>
    <w:rsid w:val="156A4982"/>
    <w:rsid w:val="17FF1FAC"/>
    <w:rsid w:val="18351C95"/>
    <w:rsid w:val="1AB72EEF"/>
    <w:rsid w:val="1F1A7E37"/>
    <w:rsid w:val="1F716419"/>
    <w:rsid w:val="212A2260"/>
    <w:rsid w:val="261849A4"/>
    <w:rsid w:val="2919115F"/>
    <w:rsid w:val="2C9224C4"/>
    <w:rsid w:val="2DE57862"/>
    <w:rsid w:val="2E863247"/>
    <w:rsid w:val="30D103C3"/>
    <w:rsid w:val="32CB34CA"/>
    <w:rsid w:val="32DD76BC"/>
    <w:rsid w:val="34441786"/>
    <w:rsid w:val="3EDB0FDC"/>
    <w:rsid w:val="44415619"/>
    <w:rsid w:val="48325502"/>
    <w:rsid w:val="494D301F"/>
    <w:rsid w:val="49684720"/>
    <w:rsid w:val="4AA25200"/>
    <w:rsid w:val="50463FEC"/>
    <w:rsid w:val="509C675B"/>
    <w:rsid w:val="552374E7"/>
    <w:rsid w:val="556B706F"/>
    <w:rsid w:val="55EE10FA"/>
    <w:rsid w:val="587B479B"/>
    <w:rsid w:val="5995014E"/>
    <w:rsid w:val="5D8B4A80"/>
    <w:rsid w:val="5DC9544C"/>
    <w:rsid w:val="5E0F1B48"/>
    <w:rsid w:val="61AB557E"/>
    <w:rsid w:val="640D6A68"/>
    <w:rsid w:val="656211BC"/>
    <w:rsid w:val="69520C2E"/>
    <w:rsid w:val="69600571"/>
    <w:rsid w:val="6B6056FC"/>
    <w:rsid w:val="6C5F62B4"/>
    <w:rsid w:val="735C0771"/>
    <w:rsid w:val="760836BA"/>
    <w:rsid w:val="76483A82"/>
    <w:rsid w:val="767B1E64"/>
    <w:rsid w:val="7AA716F4"/>
    <w:rsid w:val="7ADE2C3C"/>
    <w:rsid w:val="7D0F1D9C"/>
    <w:rsid w:val="7EB36175"/>
    <w:rsid w:val="7F973BDF"/>
    <w:rsid w:val="7FAC3C18"/>
    <w:rsid w:val="DED357B5"/>
    <w:rsid w:val="EF77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0"/>
      <w:outlineLvl w:val="0"/>
    </w:pPr>
    <w:rPr>
      <w:rFonts w:ascii="Times New Roman" w:hAnsi="Times New Roman" w:eastAsia="黑体" w:cs="Microsoft JhengHei"/>
      <w:bCs/>
      <w:szCs w:val="32"/>
      <w:lang w:val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rFonts w:ascii="Calibri" w:hAnsi="Calibri" w:eastAsia="宋体" w:cs="Calibri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Subtitle"/>
    <w:basedOn w:val="1"/>
    <w:next w:val="1"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customStyle="1" w:styleId="11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2022-02-14T23:49:00Z</dcterms:created>
  <dc:creator>凌海涛</dc:creator>
  <cp:lastModifiedBy>晴晴</cp:lastModifiedBy>
  <dcterms:modified xsi:type="dcterms:W3CDTF">2023-10-23T08:20:39Z</dcterms:modified>
  <dc:title>附件2-4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2C39F7EBE5A0497C86A55A959E625539_13</vt:lpwstr>
  </property>
</Properties>
</file>