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方正小标宋简体" w:cs="Times New Roman"/>
          <w:color w:val="000000"/>
          <w:kern w:val="2"/>
          <w:sz w:val="44"/>
          <w:szCs w:val="44"/>
          <w:lang w:val="en-US" w:eastAsia="zh-CN" w:bidi="ar-SA"/>
        </w:rPr>
      </w:pPr>
      <w:r>
        <w:rPr>
          <w:rFonts w:hint="eastAsia" w:ascii="方正小标宋简体" w:hAnsi="方正小标宋简体" w:eastAsia="方正小标宋简体" w:cs="方正小标宋简体"/>
          <w:sz w:val="44"/>
          <w:szCs w:val="44"/>
          <w:lang w:val="en-US" w:eastAsia="zh-CN"/>
        </w:rPr>
        <w:t>广州市从化区妇女儿童活动中心</w:t>
      </w:r>
      <w:r>
        <w:rPr>
          <w:rFonts w:hint="eastAsia" w:ascii="方正小标宋简体" w:hAnsi="方正小标宋简体" w:eastAsia="方正小标宋简体" w:cs="方正小标宋简体"/>
          <w:color w:val="000000"/>
          <w:sz w:val="44"/>
          <w:szCs w:val="44"/>
          <w:lang w:val="en-US" w:eastAsia="zh-CN"/>
        </w:rPr>
        <w:t>2022年老师工资项目绩效自评报告</w:t>
      </w:r>
    </w:p>
    <w:p>
      <w:pPr>
        <w:pStyle w:val="4"/>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color w:val="000000"/>
          <w:sz w:val="32"/>
        </w:rPr>
      </w:pPr>
      <w:bookmarkStart w:id="0" w:name="_Toc13051"/>
      <w:bookmarkStart w:id="1" w:name="_Toc10655"/>
      <w:bookmarkStart w:id="2" w:name="_Toc1490"/>
      <w:bookmarkStart w:id="3" w:name="_Toc15651"/>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color w:val="000000"/>
          <w:sz w:val="32"/>
        </w:rPr>
      </w:pPr>
      <w:r>
        <w:rPr>
          <w:rFonts w:hint="eastAsia"/>
          <w:color w:val="000000"/>
          <w:sz w:val="32"/>
        </w:rPr>
        <w:t>一、</w:t>
      </w:r>
      <w:r>
        <w:rPr>
          <w:rFonts w:hint="eastAsia"/>
          <w:color w:val="000000"/>
          <w:sz w:val="32"/>
          <w:lang w:eastAsia="zh-CN"/>
        </w:rPr>
        <w:t>基本情况</w:t>
      </w:r>
      <w:bookmarkEnd w:id="0"/>
      <w:bookmarkEnd w:id="1"/>
      <w:bookmarkEnd w:id="2"/>
      <w:bookmarkEnd w:id="3"/>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Times New Roman" w:hAnsi="Times New Roman" w:eastAsia="仿宋_GB2312" w:cs="Times New Roman"/>
          <w:bCs w:val="0"/>
          <w:color w:val="000000"/>
          <w:kern w:val="2"/>
          <w:sz w:val="32"/>
          <w:szCs w:val="32"/>
          <w:highlight w:val="none"/>
          <w:lang w:val="en-US" w:eastAsia="zh-CN" w:bidi="ar-SA"/>
        </w:rPr>
      </w:pPr>
      <w:bookmarkStart w:id="4" w:name="_Toc8615"/>
      <w:bookmarkStart w:id="5" w:name="_Toc19838"/>
      <w:bookmarkStart w:id="6" w:name="_Toc25409"/>
      <w:bookmarkStart w:id="7" w:name="_Toc26165"/>
      <w:r>
        <w:rPr>
          <w:rFonts w:hint="eastAsia" w:ascii="楷体_GB2312" w:hAnsi="楷体_GB2312" w:eastAsia="楷体_GB2312" w:cs="楷体_GB2312"/>
          <w:b/>
          <w:color w:val="000000"/>
          <w:kern w:val="44"/>
          <w:sz w:val="32"/>
        </w:rPr>
        <w:t>（一）项目实施情况</w:t>
      </w:r>
      <w:bookmarkEnd w:id="4"/>
      <w:bookmarkEnd w:id="5"/>
      <w:bookmarkEnd w:id="6"/>
      <w:bookmarkEnd w:id="7"/>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仿宋_GB2312" w:hAnsi="仿宋_GB2312" w:eastAsia="仿宋_GB2312" w:cs="仿宋_GB2312"/>
          <w:sz w:val="32"/>
          <w:szCs w:val="32"/>
          <w:lang w:val="en-US" w:eastAsia="zh-CN"/>
        </w:rPr>
      </w:pPr>
      <w:bookmarkStart w:id="8" w:name="_Toc16291"/>
      <w:bookmarkStart w:id="9" w:name="_Toc21582"/>
      <w:bookmarkStart w:id="10" w:name="_Toc2183"/>
      <w:bookmarkStart w:id="11" w:name="_Toc350"/>
      <w:r>
        <w:rPr>
          <w:rFonts w:hint="eastAsia" w:ascii="仿宋_GB2312" w:hAnsi="仿宋_GB2312" w:eastAsia="仿宋_GB2312" w:cs="仿宋_GB2312"/>
          <w:sz w:val="32"/>
          <w:szCs w:val="32"/>
        </w:rPr>
        <w:t>广州市从化区妇女儿童活动中心是我区少年儿童校外教育机构及服务、凝聚、教育广大妇女的活动平台。全面贯彻落实国家教育方针、政策，致力于推进少年儿童的素质教育；开展少年儿童校外教育工作。全面贯彻男女平等基本国策，积极推动和开展对妇女的科技文化及生产劳动技能教育，全面提高妇女素质；完成上级妇联交办的其他任务和妇女儿童群体有关的其他工作。</w:t>
      </w:r>
      <w:r>
        <w:rPr>
          <w:rFonts w:hint="eastAsia" w:ascii="仿宋_GB2312" w:hAnsi="仿宋_GB2312" w:eastAsia="仿宋_GB2312" w:cs="仿宋_GB2312"/>
          <w:sz w:val="32"/>
          <w:szCs w:val="32"/>
          <w:lang w:val="en-US" w:eastAsia="zh-CN"/>
        </w:rPr>
        <w:t>根据我单位的业务性质制定项目老师工资，用于支付全年度三期少儿校外培训班和两期妇女公益班授课老师的课酬及培训合作项目的委托业务费。</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楷体_GB2312" w:hAnsi="楷体_GB2312" w:eastAsia="楷体_GB2312" w:cs="楷体_GB2312"/>
          <w:b/>
          <w:color w:val="000000"/>
          <w:kern w:val="44"/>
          <w:sz w:val="32"/>
        </w:rPr>
      </w:pPr>
      <w:r>
        <w:rPr>
          <w:rFonts w:hint="eastAsia" w:ascii="楷体_GB2312" w:hAnsi="楷体_GB2312" w:eastAsia="楷体_GB2312" w:cs="楷体_GB2312"/>
          <w:b/>
          <w:color w:val="000000"/>
          <w:kern w:val="44"/>
          <w:sz w:val="32"/>
        </w:rPr>
        <w:t>财政支出情况</w:t>
      </w:r>
      <w:bookmarkEnd w:id="8"/>
      <w:bookmarkEnd w:id="9"/>
      <w:bookmarkEnd w:id="10"/>
      <w:bookmarkEnd w:id="11"/>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bCs w:val="0"/>
          <w:color w:val="000000"/>
          <w:kern w:val="2"/>
          <w:sz w:val="32"/>
          <w:szCs w:val="32"/>
          <w:highlight w:val="none"/>
          <w:lang w:val="en-US" w:eastAsia="zh-CN" w:bidi="ar-SA"/>
        </w:rPr>
      </w:pPr>
      <w:r>
        <w:rPr>
          <w:rFonts w:hint="eastAsia" w:ascii="仿宋_GB2312" w:hAnsi="仿宋_GB2312" w:eastAsia="仿宋_GB2312" w:cs="仿宋_GB2312"/>
          <w:bCs w:val="0"/>
          <w:color w:val="000000"/>
          <w:kern w:val="2"/>
          <w:sz w:val="32"/>
          <w:szCs w:val="32"/>
          <w:highlight w:val="none"/>
          <w:lang w:val="en-US" w:eastAsia="zh-CN" w:bidi="ar-SA"/>
        </w:rPr>
        <w:t>该项目2022年</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145.00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按照专款专用的原则，在本单位的严格监督下，</w:t>
      </w:r>
      <w:r>
        <w:rPr>
          <w:rFonts w:hint="eastAsia" w:ascii="仿宋_GB2312" w:hAnsi="仿宋_GB2312" w:eastAsia="仿宋_GB2312" w:cs="仿宋_GB2312"/>
          <w:sz w:val="32"/>
          <w:szCs w:val="32"/>
        </w:rPr>
        <w:t>执行数为143.02万元，完成预算的</w:t>
      </w:r>
      <w:r>
        <w:rPr>
          <w:rFonts w:hint="eastAsia" w:ascii="仿宋_GB2312" w:hAnsi="仿宋_GB2312" w:eastAsia="仿宋_GB2312" w:cs="仿宋_GB2312"/>
          <w:sz w:val="32"/>
          <w:szCs w:val="32"/>
          <w:lang w:val="en-US" w:eastAsia="zh-CN"/>
        </w:rPr>
        <w:t>98.63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项目资金使用率为98.63</w:t>
      </w:r>
      <w:r>
        <w:rPr>
          <w:rFonts w:hint="eastAsia" w:ascii="仿宋_GB2312" w:hAnsi="仿宋_GB2312" w:eastAsia="仿宋_GB2312" w:cs="仿宋_GB2312"/>
          <w:sz w:val="32"/>
          <w:szCs w:val="32"/>
        </w:rPr>
        <w:t>%。</w:t>
      </w:r>
    </w:p>
    <w:p>
      <w:pPr>
        <w:numPr>
          <w:ilvl w:val="0"/>
          <w:numId w:val="1"/>
        </w:numPr>
        <w:ind w:left="0" w:leftChars="0" w:firstLine="643" w:firstLineChars="200"/>
        <w:rPr>
          <w:rFonts w:hint="eastAsia" w:ascii="楷体_GB2312" w:hAnsi="楷体_GB2312" w:eastAsia="楷体_GB2312" w:cs="楷体_GB2312"/>
          <w:b/>
          <w:bCs/>
          <w:color w:val="000000"/>
          <w:kern w:val="2"/>
          <w:sz w:val="32"/>
          <w:szCs w:val="32"/>
          <w:highlight w:val="none"/>
          <w:lang w:val="en-US" w:eastAsia="zh-CN" w:bidi="ar-SA"/>
        </w:rPr>
      </w:pPr>
      <w:r>
        <w:rPr>
          <w:rFonts w:hint="eastAsia" w:ascii="楷体_GB2312" w:hAnsi="楷体_GB2312" w:eastAsia="楷体_GB2312" w:cs="楷体_GB2312"/>
          <w:b/>
          <w:bCs/>
          <w:color w:val="000000"/>
          <w:kern w:val="2"/>
          <w:sz w:val="32"/>
          <w:szCs w:val="32"/>
          <w:highlight w:val="none"/>
          <w:lang w:val="en-US" w:eastAsia="zh-CN" w:bidi="ar-SA"/>
        </w:rPr>
        <w:t>项目管理情况</w:t>
      </w:r>
    </w:p>
    <w:p>
      <w:pPr>
        <w:numPr>
          <w:ilvl w:val="0"/>
          <w:numId w:val="0"/>
        </w:numPr>
        <w:ind w:firstLine="640" w:firstLineChars="200"/>
        <w:rPr>
          <w:rFonts w:hint="eastAsia" w:ascii="仿宋_GB2312" w:hAnsi="仿宋_GB2312" w:eastAsia="仿宋_GB2312" w:cs="仿宋_GB2312"/>
          <w:bCs/>
          <w:kern w:val="28"/>
          <w:sz w:val="32"/>
          <w:szCs w:val="32"/>
          <w:lang w:val="en-US" w:eastAsia="zh-CN" w:bidi="ar-SA"/>
        </w:rPr>
      </w:pPr>
      <w:r>
        <w:rPr>
          <w:rFonts w:hint="eastAsia" w:ascii="仿宋_GB2312" w:hAnsi="仿宋_GB2312" w:eastAsia="仿宋_GB2312" w:cs="仿宋_GB2312"/>
          <w:bCs/>
          <w:kern w:val="28"/>
          <w:sz w:val="32"/>
          <w:szCs w:val="32"/>
          <w:lang w:val="en-US" w:eastAsia="zh-CN" w:bidi="ar-SA"/>
        </w:rPr>
        <w:t>我单位财务管理制度健全，严格按照合同约定，通过银行系统转账的方式，每月按时发放，不克扣、拖欠老师工资，落实项目跟踪情况，未存在挪用或超标准开支情况。</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项目绩效管理情况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项目实施进度较好，任务完成率达</w:t>
      </w:r>
      <w:r>
        <w:rPr>
          <w:rFonts w:hint="eastAsia" w:ascii="仿宋_GB2312" w:hAnsi="仿宋_GB2312" w:eastAsia="仿宋_GB2312" w:cs="仿宋_GB2312"/>
          <w:sz w:val="32"/>
          <w:szCs w:val="32"/>
          <w:lang w:val="en-US" w:eastAsia="zh-CN"/>
        </w:rPr>
        <w:t>98.63%，做到严格控制项目预算控制，及时跟进项目实施的进度和质量，把控项目资金使用效果。回顾项目开展情况，项目功能实现、经济效益、社会效益、满意度等方面取得良好成效。</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color w:val="000000"/>
          <w:sz w:val="32"/>
        </w:rPr>
      </w:pPr>
      <w:bookmarkStart w:id="12" w:name="_Toc19074"/>
      <w:bookmarkStart w:id="13" w:name="_Toc5117"/>
      <w:bookmarkStart w:id="14" w:name="_Toc11512"/>
      <w:bookmarkStart w:id="15" w:name="_Toc13520"/>
      <w:r>
        <w:rPr>
          <w:rFonts w:hint="eastAsia"/>
          <w:color w:val="000000"/>
          <w:sz w:val="32"/>
          <w:lang w:eastAsia="zh-CN"/>
        </w:rPr>
        <w:t>二</w:t>
      </w:r>
      <w:r>
        <w:rPr>
          <w:rFonts w:hint="eastAsia"/>
          <w:color w:val="000000"/>
          <w:sz w:val="32"/>
        </w:rPr>
        <w:t>、</w:t>
      </w:r>
      <w:r>
        <w:rPr>
          <w:rFonts w:hint="eastAsia"/>
          <w:color w:val="000000"/>
          <w:sz w:val="32"/>
          <w:lang w:eastAsia="zh-CN"/>
        </w:rPr>
        <w:t>综合评价</w:t>
      </w:r>
      <w:r>
        <w:rPr>
          <w:rFonts w:hint="eastAsia"/>
          <w:color w:val="000000"/>
          <w:sz w:val="32"/>
        </w:rPr>
        <w:t>分析</w:t>
      </w:r>
      <w:bookmarkEnd w:id="12"/>
      <w:bookmarkEnd w:id="13"/>
      <w:bookmarkEnd w:id="14"/>
      <w:bookmarkEnd w:id="15"/>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楷体_GB2312" w:hAnsi="楷体_GB2312" w:eastAsia="楷体_GB2312" w:cs="楷体_GB2312"/>
          <w:b/>
          <w:color w:val="000000"/>
          <w:kern w:val="44"/>
          <w:sz w:val="32"/>
          <w:highlight w:val="none"/>
          <w:lang w:eastAsia="zh-CN"/>
        </w:rPr>
      </w:pPr>
      <w:bookmarkStart w:id="16" w:name="_Toc7453"/>
      <w:bookmarkStart w:id="17" w:name="_Toc8786"/>
      <w:bookmarkStart w:id="18" w:name="_Toc1487"/>
      <w:bookmarkStart w:id="19" w:name="_Toc26520"/>
      <w:r>
        <w:rPr>
          <w:rFonts w:hint="eastAsia" w:ascii="楷体_GB2312" w:hAnsi="楷体_GB2312" w:eastAsia="楷体_GB2312" w:cs="楷体_GB2312"/>
          <w:b/>
          <w:color w:val="000000"/>
          <w:kern w:val="44"/>
          <w:sz w:val="32"/>
          <w:highlight w:val="none"/>
        </w:rPr>
        <w:t>（</w:t>
      </w:r>
      <w:r>
        <w:rPr>
          <w:rFonts w:hint="eastAsia" w:ascii="楷体_GB2312" w:hAnsi="楷体_GB2312" w:eastAsia="楷体_GB2312" w:cs="楷体_GB2312"/>
          <w:b/>
          <w:color w:val="000000"/>
          <w:kern w:val="44"/>
          <w:sz w:val="32"/>
          <w:highlight w:val="none"/>
          <w:lang w:eastAsia="zh-CN"/>
        </w:rPr>
        <w:t>一</w:t>
      </w:r>
      <w:r>
        <w:rPr>
          <w:rFonts w:hint="eastAsia" w:ascii="楷体_GB2312" w:hAnsi="楷体_GB2312" w:eastAsia="楷体_GB2312" w:cs="楷体_GB2312"/>
          <w:b/>
          <w:color w:val="000000"/>
          <w:kern w:val="44"/>
          <w:sz w:val="32"/>
          <w:highlight w:val="none"/>
        </w:rPr>
        <w:t>）</w:t>
      </w:r>
      <w:r>
        <w:rPr>
          <w:rFonts w:hint="eastAsia" w:ascii="楷体_GB2312" w:hAnsi="楷体_GB2312" w:eastAsia="楷体_GB2312" w:cs="楷体_GB2312"/>
          <w:b/>
          <w:color w:val="000000"/>
          <w:kern w:val="44"/>
          <w:sz w:val="32"/>
          <w:highlight w:val="none"/>
          <w:lang w:eastAsia="zh-CN"/>
        </w:rPr>
        <w:t>自评结论综述</w:t>
      </w:r>
      <w:bookmarkEnd w:id="16"/>
      <w:bookmarkEnd w:id="17"/>
      <w:bookmarkEnd w:id="18"/>
      <w:bookmarkEnd w:id="19"/>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仿宋_GB2312" w:hAnsi="仿宋_GB2312" w:eastAsia="仿宋_GB2312" w:cs="仿宋_GB2312"/>
          <w:bCs w:val="0"/>
          <w:color w:val="000000"/>
          <w:kern w:val="2"/>
          <w:sz w:val="32"/>
          <w:szCs w:val="32"/>
          <w:highlight w:val="none"/>
          <w:lang w:val="en-US" w:eastAsia="zh-CN" w:bidi="ar-SA"/>
        </w:rPr>
      </w:pPr>
      <w:r>
        <w:rPr>
          <w:rFonts w:hint="eastAsia" w:ascii="仿宋_GB2312" w:hAnsi="仿宋_GB2312" w:eastAsia="仿宋_GB2312" w:cs="仿宋_GB2312"/>
          <w:bCs w:val="0"/>
          <w:color w:val="000000"/>
          <w:kern w:val="2"/>
          <w:sz w:val="32"/>
          <w:szCs w:val="32"/>
          <w:highlight w:val="none"/>
          <w:lang w:val="en-US" w:eastAsia="zh-CN" w:bidi="ar-SA"/>
        </w:rPr>
        <w:t>该项目用于支付少儿</w:t>
      </w:r>
      <w:r>
        <w:rPr>
          <w:rFonts w:hint="eastAsia" w:ascii="仿宋_GB2312" w:hAnsi="仿宋_GB2312" w:eastAsia="仿宋_GB2312" w:cs="仿宋_GB2312"/>
          <w:sz w:val="32"/>
          <w:szCs w:val="32"/>
          <w:lang w:val="en-US" w:eastAsia="zh-CN"/>
        </w:rPr>
        <w:t>校外培训班和妇女公益班授课老师的课酬及培训合作项目的委托业务费，保障我单位业务的顺利开展。本年度该项目较好地完成了年度计划，自评97.15分。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szCs w:val="32"/>
          <w:lang w:val="en-US" w:eastAsia="zh-CN" w:bidi="ar-SA"/>
        </w:rPr>
      </w:pPr>
      <w:r>
        <w:rPr>
          <w:rFonts w:hint="eastAsia" w:ascii="楷体_GB2312" w:hAnsi="楷体_GB2312" w:eastAsia="楷体_GB2312" w:cs="楷体_GB2312"/>
          <w:b/>
          <w:bCs/>
          <w:color w:val="000000"/>
          <w:kern w:val="44"/>
          <w:sz w:val="32"/>
          <w:szCs w:val="32"/>
          <w:lang w:val="en-US" w:eastAsia="zh-CN" w:bidi="ar-SA"/>
        </w:rPr>
        <w:t>（二）项目效益分析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25"/>
        <w:textAlignment w:val="auto"/>
        <w:outlineLvl w:val="9"/>
        <w:rPr>
          <w:rFonts w:hint="eastAsia" w:ascii="仿宋_GB2312" w:hAnsi="仿宋_GB2312" w:eastAsia="仿宋_GB2312" w:cs="仿宋_GB2312"/>
          <w:bCs w:val="0"/>
          <w:color w:val="000000"/>
          <w:kern w:val="2"/>
          <w:sz w:val="32"/>
          <w:szCs w:val="32"/>
          <w:highlight w:val="none"/>
          <w:lang w:val="en-US" w:eastAsia="zh-CN" w:bidi="ar-SA"/>
        </w:rPr>
      </w:pPr>
      <w:r>
        <w:rPr>
          <w:rFonts w:hint="eastAsia" w:ascii="仿宋_GB2312" w:hAnsi="仿宋_GB2312" w:eastAsia="仿宋_GB2312" w:cs="仿宋_GB2312"/>
          <w:color w:val="auto"/>
          <w:kern w:val="2"/>
          <w:sz w:val="32"/>
          <w:szCs w:val="32"/>
          <w:lang w:val="en-US" w:eastAsia="zh-CN" w:bidi="ar"/>
        </w:rPr>
        <w:t>根据年初设定的目标，2022年度我单位顺利</w:t>
      </w:r>
      <w:r>
        <w:rPr>
          <w:rFonts w:hint="eastAsia" w:ascii="仿宋_GB2312" w:hAnsi="仿宋_GB2312" w:eastAsia="仿宋_GB2312" w:cs="仿宋_GB2312"/>
          <w:sz w:val="32"/>
          <w:szCs w:val="32"/>
          <w:lang w:val="en-US" w:eastAsia="zh-CN"/>
        </w:rPr>
        <w:t>开设四期少儿培训班和两期妇女公益班，</w:t>
      </w:r>
      <w:r>
        <w:rPr>
          <w:rFonts w:hint="eastAsia" w:ascii="仿宋_GB2312" w:hAnsi="仿宋_GB2312" w:eastAsia="仿宋_GB2312" w:cs="仿宋_GB2312"/>
          <w:color w:val="auto"/>
          <w:kern w:val="0"/>
          <w:sz w:val="32"/>
          <w:szCs w:val="32"/>
          <w:lang w:val="en-US" w:eastAsia="zh-CN"/>
        </w:rPr>
        <w:t>并</w:t>
      </w:r>
      <w:r>
        <w:rPr>
          <w:rFonts w:hint="eastAsia" w:ascii="仿宋_GB2312" w:hAnsi="仿宋_GB2312" w:eastAsia="仿宋_GB2312" w:cs="仿宋_GB2312"/>
          <w:b w:val="0"/>
          <w:bCs w:val="0"/>
          <w:spacing w:val="0"/>
          <w:position w:val="0"/>
          <w:sz w:val="32"/>
          <w:szCs w:val="32"/>
          <w:shd w:val="clear" w:color="auto" w:fill="auto"/>
        </w:rPr>
        <w:t>为南方医科大学附属第五医院援鄂医护人员子女及低保低收入家庭</w:t>
      </w:r>
      <w:r>
        <w:rPr>
          <w:rFonts w:hint="eastAsia" w:ascii="仿宋_GB2312" w:hAnsi="仿宋_GB2312" w:eastAsia="仿宋_GB2312" w:cs="仿宋_GB2312"/>
          <w:b w:val="0"/>
          <w:bCs w:val="0"/>
          <w:spacing w:val="0"/>
          <w:position w:val="0"/>
          <w:sz w:val="32"/>
          <w:szCs w:val="32"/>
          <w:shd w:val="clear" w:color="auto" w:fill="auto"/>
          <w:lang w:val="en-US" w:eastAsia="zh-CN"/>
        </w:rPr>
        <w:t>等</w:t>
      </w:r>
      <w:r>
        <w:rPr>
          <w:rFonts w:hint="eastAsia" w:ascii="仿宋_GB2312" w:hAnsi="仿宋_GB2312" w:eastAsia="仿宋_GB2312" w:cs="仿宋_GB2312"/>
          <w:b w:val="0"/>
          <w:bCs w:val="0"/>
          <w:spacing w:val="0"/>
          <w:position w:val="0"/>
          <w:sz w:val="32"/>
          <w:szCs w:val="32"/>
          <w:shd w:val="clear" w:color="auto" w:fill="auto"/>
        </w:rPr>
        <w:t>子女提供免费报读机会</w:t>
      </w:r>
      <w:r>
        <w:rPr>
          <w:rFonts w:hint="eastAsia" w:ascii="仿宋_GB2312" w:hAnsi="仿宋_GB2312" w:eastAsia="仿宋_GB2312" w:cs="仿宋_GB2312"/>
          <w:b w:val="0"/>
          <w:bCs w:val="0"/>
          <w:spacing w:val="0"/>
          <w:position w:val="0"/>
          <w:sz w:val="32"/>
          <w:szCs w:val="32"/>
          <w:shd w:val="clear" w:color="auto" w:fill="auto"/>
          <w:lang w:eastAsia="zh-CN"/>
        </w:rPr>
        <w:t>。</w:t>
      </w:r>
      <w:r>
        <w:rPr>
          <w:rFonts w:hint="eastAsia" w:ascii="仿宋_GB2312" w:hAnsi="仿宋_GB2312" w:eastAsia="仿宋_GB2312" w:cs="仿宋_GB2312"/>
          <w:color w:val="auto"/>
          <w:kern w:val="2"/>
          <w:sz w:val="32"/>
          <w:szCs w:val="32"/>
          <w:lang w:val="en-US" w:eastAsia="zh-CN" w:bidi="ar"/>
        </w:rPr>
        <w:t>开设妇女班29个，招生429人次，少儿培训班325个，招生约5035人次，计划开班完成率高。合理安排预算配置，做好严格执行，杜绝不合理支出，保障了妇女、少儿培训班的日常工作正常运行，保障授课老师的课酬发放，保证单位业务的顺利开展和教师队伍的稳定。本年度无安全事故发生，学员满意度高。</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lang w:val="en-US" w:eastAsia="zh-CN"/>
        </w:rPr>
      </w:pPr>
      <w:bookmarkStart w:id="20" w:name="_Toc8218"/>
      <w:bookmarkStart w:id="21" w:name="_Toc7470"/>
      <w:bookmarkStart w:id="22" w:name="_Toc5726"/>
      <w:bookmarkStart w:id="23" w:name="_Toc25899"/>
      <w:r>
        <w:rPr>
          <w:rFonts w:hint="eastAsia" w:ascii="楷体_GB2312" w:hAnsi="楷体_GB2312" w:eastAsia="楷体_GB2312" w:cs="楷体_GB2312"/>
          <w:b/>
          <w:color w:val="000000"/>
          <w:kern w:val="44"/>
          <w:sz w:val="32"/>
        </w:rPr>
        <w:t>支出效益分析</w:t>
      </w:r>
      <w:bookmarkEnd w:id="20"/>
      <w:bookmarkEnd w:id="21"/>
      <w:bookmarkEnd w:id="22"/>
      <w:bookmarkEnd w:id="23"/>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本年度老师工资项目资金专款专用，支出依据合规，不存在截留、挤占、挪用项目资金情况，资金支付与预算相符，资金使用率</w:t>
      </w:r>
      <w:r>
        <w:rPr>
          <w:rFonts w:hint="eastAsia" w:ascii="仿宋_GB2312" w:hAnsi="仿宋_GB2312" w:eastAsia="仿宋_GB2312" w:cs="仿宋_GB2312"/>
          <w:sz w:val="32"/>
          <w:szCs w:val="32"/>
          <w:lang w:val="en-US" w:eastAsia="zh-CN"/>
        </w:rPr>
        <w:t>98.63</w:t>
      </w:r>
      <w:r>
        <w:rPr>
          <w:rFonts w:hint="eastAsia" w:ascii="仿宋_GB2312" w:hAnsi="仿宋_GB2312" w:eastAsia="仿宋_GB2312" w:cs="仿宋_GB2312"/>
          <w:bCs w:val="0"/>
          <w:kern w:val="2"/>
          <w:sz w:val="32"/>
          <w:szCs w:val="32"/>
          <w:lang w:val="en-US" w:eastAsia="zh-CN" w:bidi="ar-SA"/>
        </w:rPr>
        <w:t>%。我单位严格执行财务管理制度，</w:t>
      </w:r>
      <w:r>
        <w:rPr>
          <w:rFonts w:hint="eastAsia" w:ascii="仿宋_GB2312" w:hAnsi="仿宋_GB2312" w:eastAsia="仿宋_GB2312" w:cs="仿宋_GB2312"/>
          <w:bCs/>
          <w:kern w:val="28"/>
          <w:sz w:val="32"/>
          <w:szCs w:val="32"/>
          <w:lang w:val="en-US" w:eastAsia="zh-CN" w:bidi="ar-SA"/>
        </w:rPr>
        <w:t>按时发放老师工资，</w:t>
      </w:r>
      <w:r>
        <w:rPr>
          <w:rFonts w:hint="eastAsia" w:ascii="仿宋_GB2312" w:hAnsi="仿宋_GB2312" w:eastAsia="仿宋_GB2312" w:cs="仿宋_GB2312"/>
          <w:bCs w:val="0"/>
          <w:kern w:val="2"/>
          <w:sz w:val="32"/>
          <w:szCs w:val="32"/>
          <w:lang w:val="en-US" w:eastAsia="zh-CN" w:bidi="ar-SA"/>
        </w:rPr>
        <w:t>使该项目资金发挥最大的社会效益。</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color w:val="000000"/>
          <w:sz w:val="32"/>
          <w:highlight w:val="none"/>
        </w:rPr>
      </w:pPr>
      <w:bookmarkStart w:id="24" w:name="_Toc4224"/>
      <w:bookmarkStart w:id="25" w:name="_Toc10406"/>
      <w:bookmarkStart w:id="26" w:name="_Toc10936"/>
      <w:bookmarkStart w:id="27" w:name="_Toc23609"/>
      <w:r>
        <w:rPr>
          <w:rFonts w:hint="eastAsia"/>
          <w:color w:val="000000"/>
          <w:sz w:val="32"/>
          <w:highlight w:val="none"/>
        </w:rPr>
        <w:t>存在</w:t>
      </w:r>
      <w:r>
        <w:rPr>
          <w:rFonts w:hint="eastAsia"/>
          <w:color w:val="000000"/>
          <w:sz w:val="32"/>
          <w:highlight w:val="none"/>
          <w:lang w:eastAsia="zh-CN"/>
        </w:rPr>
        <w:t>的主要</w:t>
      </w:r>
      <w:r>
        <w:rPr>
          <w:rFonts w:hint="eastAsia"/>
          <w:color w:val="000000"/>
          <w:sz w:val="32"/>
          <w:highlight w:val="none"/>
        </w:rPr>
        <w:t>问题</w:t>
      </w:r>
      <w:bookmarkEnd w:id="24"/>
      <w:bookmarkEnd w:id="25"/>
      <w:bookmarkEnd w:id="26"/>
      <w:bookmarkEnd w:id="27"/>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（一）教职工队伍人手不足。</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（二）课酬费用支出与序时进度会受疫情影响存在延迟的可能。</w:t>
      </w:r>
      <w:bookmarkStart w:id="28" w:name="_Toc27877"/>
      <w:bookmarkStart w:id="29" w:name="_Toc32551"/>
      <w:bookmarkStart w:id="30" w:name="_Toc7349"/>
      <w:bookmarkStart w:id="31" w:name="_Toc30357"/>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cs="黑体"/>
          <w:color w:val="000000"/>
          <w:sz w:val="32"/>
          <w:highlight w:val="none"/>
          <w:lang w:eastAsia="zh-CN"/>
        </w:rPr>
      </w:pPr>
      <w:r>
        <w:rPr>
          <w:rFonts w:hint="eastAsia"/>
          <w:color w:val="000000"/>
          <w:sz w:val="32"/>
          <w:highlight w:val="none"/>
          <w:lang w:eastAsia="zh-CN"/>
        </w:rPr>
        <w:t>四</w:t>
      </w:r>
      <w:r>
        <w:rPr>
          <w:rFonts w:hint="eastAsia"/>
          <w:color w:val="000000"/>
          <w:sz w:val="32"/>
          <w:highlight w:val="none"/>
        </w:rPr>
        <w:t>、</w:t>
      </w:r>
      <w:r>
        <w:rPr>
          <w:rFonts w:hint="eastAsia" w:ascii="黑体" w:hAnsi="黑体" w:eastAsia="黑体" w:cs="黑体"/>
          <w:color w:val="000000"/>
          <w:sz w:val="32"/>
          <w:highlight w:val="none"/>
          <w:lang w:eastAsia="zh-CN"/>
        </w:rPr>
        <w:t>下一步</w:t>
      </w:r>
      <w:r>
        <w:rPr>
          <w:rFonts w:hint="eastAsia" w:ascii="黑体" w:hAnsi="黑体" w:eastAsia="黑体" w:cs="黑体"/>
          <w:color w:val="000000"/>
          <w:sz w:val="32"/>
          <w:highlight w:val="none"/>
        </w:rPr>
        <w:t>改进</w:t>
      </w:r>
      <w:r>
        <w:rPr>
          <w:rFonts w:hint="eastAsia" w:ascii="黑体" w:hAnsi="黑体" w:cs="黑体"/>
          <w:color w:val="000000"/>
          <w:sz w:val="32"/>
          <w:highlight w:val="none"/>
          <w:lang w:eastAsia="zh-CN"/>
        </w:rPr>
        <w:t>措施</w:t>
      </w:r>
      <w:bookmarkEnd w:id="28"/>
      <w:bookmarkEnd w:id="29"/>
      <w:bookmarkEnd w:id="30"/>
      <w:bookmarkEnd w:id="31"/>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（一）在稳定原有的师资力量的同时，广泛选聘德才能兼备的专兼职老师，增强师资实力，增加开设具有特色性、针对性的培训班项目，提高我单位的项目效益。</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（二）按照相关财务会计制度，严格把控项目资金支出，科学合理分析测算相关课酬及其他费用支出序时进度，要适时调整费用预决算规模，合理调配资金。</w:t>
      </w:r>
    </w:p>
    <w:p>
      <w:pPr>
        <w:rPr>
          <w:rFonts w:hint="eastAsia" w:ascii="仿宋_GB2312" w:hAnsi="仿宋_GB2312" w:eastAsia="仿宋_GB2312" w:cs="仿宋_GB2312"/>
          <w:sz w:val="32"/>
          <w:szCs w:val="32"/>
        </w:rPr>
      </w:pPr>
      <w:bookmarkStart w:id="32" w:name="_GoBack"/>
      <w:bookmarkEnd w:id="3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B727E"/>
    <w:multiLevelType w:val="singleLevel"/>
    <w:tmpl w:val="907B727E"/>
    <w:lvl w:ilvl="0" w:tentative="0">
      <w:start w:val="3"/>
      <w:numFmt w:val="chineseCounting"/>
      <w:suff w:val="nothing"/>
      <w:lvlText w:val="%1、"/>
      <w:lvlJc w:val="left"/>
      <w:rPr>
        <w:rFonts w:hint="eastAsia"/>
      </w:rPr>
    </w:lvl>
  </w:abstractNum>
  <w:abstractNum w:abstractNumId="1">
    <w:nsid w:val="BA43EEC4"/>
    <w:multiLevelType w:val="singleLevel"/>
    <w:tmpl w:val="BA43EEC4"/>
    <w:lvl w:ilvl="0" w:tentative="0">
      <w:start w:val="2"/>
      <w:numFmt w:val="chineseCounting"/>
      <w:suff w:val="nothing"/>
      <w:lvlText w:val="（%1）"/>
      <w:lvlJc w:val="left"/>
      <w:rPr>
        <w:rFonts w:hint="eastAsia"/>
      </w:rPr>
    </w:lvl>
  </w:abstractNum>
  <w:abstractNum w:abstractNumId="2">
    <w:nsid w:val="1CDDECAB"/>
    <w:multiLevelType w:val="singleLevel"/>
    <w:tmpl w:val="1CDDECAB"/>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comment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NTE4YzU2NTE4NTE0MzgyYjZkYjVmMDljZmU0OGQifQ=="/>
    <w:docVar w:name="KGWebUrl" w:val="http://10.14.160.8/newoa/missive/kinggridOfficeServer.do?method=officeProcess"/>
  </w:docVars>
  <w:rsids>
    <w:rsidRoot w:val="767B1E64"/>
    <w:rsid w:val="063E3FA2"/>
    <w:rsid w:val="0AAB5F09"/>
    <w:rsid w:val="0BF608BD"/>
    <w:rsid w:val="0EBB17B7"/>
    <w:rsid w:val="11881B0D"/>
    <w:rsid w:val="181C0C30"/>
    <w:rsid w:val="1AB72EEF"/>
    <w:rsid w:val="22FF7ADB"/>
    <w:rsid w:val="25B66DC1"/>
    <w:rsid w:val="28181D2E"/>
    <w:rsid w:val="2C9224C4"/>
    <w:rsid w:val="2E863247"/>
    <w:rsid w:val="35663D33"/>
    <w:rsid w:val="3A9E7716"/>
    <w:rsid w:val="3C1324A5"/>
    <w:rsid w:val="44415619"/>
    <w:rsid w:val="470878A7"/>
    <w:rsid w:val="494D301F"/>
    <w:rsid w:val="509C675B"/>
    <w:rsid w:val="51A679CB"/>
    <w:rsid w:val="522947A6"/>
    <w:rsid w:val="556B706F"/>
    <w:rsid w:val="58A40196"/>
    <w:rsid w:val="5B7327B0"/>
    <w:rsid w:val="5E0F1B48"/>
    <w:rsid w:val="5E7A681E"/>
    <w:rsid w:val="5F6B3529"/>
    <w:rsid w:val="62696E87"/>
    <w:rsid w:val="6B6056FC"/>
    <w:rsid w:val="71F151BE"/>
    <w:rsid w:val="735C0771"/>
    <w:rsid w:val="767B1E64"/>
    <w:rsid w:val="7E673D86"/>
    <w:rsid w:val="7EB36175"/>
    <w:rsid w:val="7F97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1"/>
    <w:pPr>
      <w:ind w:left="0"/>
      <w:outlineLvl w:val="0"/>
    </w:pPr>
    <w:rPr>
      <w:rFonts w:ascii="Times New Roman" w:hAnsi="Times New Roman" w:eastAsia="黑体" w:cs="Microsoft JhengHei"/>
      <w:bCs/>
      <w:szCs w:val="32"/>
      <w:lang w:val="zh-CN" w:bidi="zh-CN"/>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Subtitle"/>
    <w:basedOn w:val="1"/>
    <w:next w:val="1"/>
    <w:qFormat/>
    <w:uiPriority w:val="0"/>
    <w:pPr>
      <w:ind w:firstLine="200" w:firstLineChars="200"/>
      <w:jc w:val="left"/>
      <w:outlineLvl w:val="2"/>
    </w:pPr>
    <w:rPr>
      <w:rFonts w:ascii="Cambria" w:hAnsi="Cambria" w:eastAsia="黑体"/>
      <w:bCs/>
      <w:kern w:val="28"/>
      <w:sz w:val="28"/>
      <w:szCs w:val="32"/>
    </w:rPr>
  </w:style>
  <w:style w:type="paragraph" w:customStyle="1" w:styleId="7">
    <w:name w:val="No Spacing"/>
    <w:qFormat/>
    <w:uiPriority w:val="1"/>
    <w:pPr>
      <w:widowControl w:val="0"/>
      <w:spacing w:line="24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1059</Words>
  <Characters>1095</Characters>
  <Lines>0</Lines>
  <Paragraphs>0</Paragraphs>
  <TotalTime>2</TotalTime>
  <ScaleCrop>false</ScaleCrop>
  <LinksUpToDate>false</LinksUpToDate>
  <CharactersWithSpaces>1095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2022-02-14T07:49:00Z</dcterms:created>
  <dc:creator>凌海涛</dc:creator>
  <cp:lastModifiedBy>李闻灵</cp:lastModifiedBy>
  <dcterms:modified xsi:type="dcterms:W3CDTF">2023-10-24T09:41:16Z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064325E3B2AB4681A44943D218F67891</vt:lpwstr>
  </property>
</Properties>
</file>