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广州市从化区总工会重点项目评价报告</w:t>
      </w:r>
    </w:p>
    <w:p>
      <w:pPr>
        <w:pStyle w:val="2"/>
        <w:rPr>
          <w:rFonts w:hint="eastAsia"/>
          <w:lang w:val="en-US" w:eastAsia="zh-CN"/>
        </w:rPr>
      </w:pPr>
    </w:p>
    <w:p>
      <w:pPr>
        <w:keepNext w:val="0"/>
        <w:keepLines w:val="0"/>
        <w:pageBreakBefore w:val="0"/>
        <w:numPr>
          <w:ilvl w:val="0"/>
          <w:numId w:val="0"/>
        </w:numPr>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lang w:val="en-US" w:eastAsia="zh-CN"/>
        </w:rPr>
        <w:t>根据相关要求，我会自行组织对“劳模管理”项目作为重点项目开展绩效评价，绩效评价报告的主要内容如下：</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lang w:val="en-US" w:eastAsia="zh-CN"/>
        </w:rPr>
        <w:t>项目概况</w:t>
      </w:r>
    </w:p>
    <w:p>
      <w:pPr>
        <w:keepNext w:val="0"/>
        <w:keepLines w:val="0"/>
        <w:pageBreakBefore w:val="0"/>
        <w:kinsoku/>
        <w:wordWrap/>
        <w:overflowPunct/>
        <w:topLinePunct w:val="0"/>
        <w:autoSpaceDE/>
        <w:autoSpaceDN/>
        <w:bidi w:val="0"/>
        <w:adjustRightInd w:val="0"/>
        <w:snapToGrid w:val="0"/>
        <w:spacing w:after="0" w:afterLines="0"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项目基本情况：根据《批转关于从化市级以上劳动模范有关待遇问题的请示的通知》（从办〔2000〕44号）》，通过对从化区96名劳模发放春节慰问金、慰问品和举办迎春座谈会等活动，达到弘扬劳模精神，发挥劳模作用。</w:t>
      </w:r>
    </w:p>
    <w:p>
      <w:pPr>
        <w:keepNext w:val="0"/>
        <w:keepLines w:val="0"/>
        <w:pageBreakBefore w:val="0"/>
        <w:kinsoku/>
        <w:wordWrap/>
        <w:overflowPunct/>
        <w:topLinePunct w:val="0"/>
        <w:autoSpaceDE/>
        <w:autoSpaceDN/>
        <w:bidi w:val="0"/>
        <w:adjustRightInd w:val="0"/>
        <w:snapToGrid w:val="0"/>
        <w:spacing w:after="0" w:afterLines="0"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项目资金情况：本次绩效考核资金为《广州市从化区财政局关于广州市从化区总工会2022年部门预算的批复》中安排的预算3万元，实际到位3万元，资金到位率100%，当年实际支付3万元。</w:t>
      </w:r>
    </w:p>
    <w:p>
      <w:pPr>
        <w:keepNext w:val="0"/>
        <w:keepLines w:val="0"/>
        <w:pageBreakBefore w:val="0"/>
        <w:kinsoku/>
        <w:overflowPunct/>
        <w:topLinePunct w:val="0"/>
        <w:autoSpaceDE/>
        <w:autoSpaceDN/>
        <w:bidi w:val="0"/>
        <w:snapToGrid w:val="0"/>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项目绩效情况</w:t>
      </w:r>
    </w:p>
    <w:p>
      <w:pPr>
        <w:keepNext w:val="0"/>
        <w:keepLines w:val="0"/>
        <w:pageBreakBefore w:val="0"/>
        <w:kinsoku/>
        <w:overflowPunct/>
        <w:topLinePunct w:val="0"/>
        <w:autoSpaceDE/>
        <w:autoSpaceDN/>
        <w:bidi w:val="0"/>
        <w:adjustRightInd w:val="0"/>
        <w:snapToGrid w:val="0"/>
        <w:spacing w:after="0" w:afterLines="0"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项目绩效目标:按照相关政策和文件规定，举办形式多样的劳模活动，让劳模感受政府和工会的关怀和温暖，继续发挥好骨干、示范和带头作用。</w:t>
      </w:r>
    </w:p>
    <w:p>
      <w:pPr>
        <w:keepNext w:val="0"/>
        <w:keepLines w:val="0"/>
        <w:pageBreakBefore w:val="0"/>
        <w:kinsoku/>
        <w:overflowPunct/>
        <w:topLinePunct w:val="0"/>
        <w:autoSpaceDE/>
        <w:autoSpaceDN/>
        <w:bidi w:val="0"/>
        <w:adjustRightInd w:val="0"/>
        <w:snapToGrid w:val="0"/>
        <w:spacing w:after="0" w:afterLines="0"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（二）项目绩效目标完成情况：已举办历届各级劳模迎</w:t>
      </w:r>
    </w:p>
    <w:p>
      <w:pPr>
        <w:keepNext w:val="0"/>
        <w:keepLines w:val="0"/>
        <w:pageBreakBefore w:val="0"/>
        <w:kinsoku/>
        <w:overflowPunct/>
        <w:topLinePunct w:val="0"/>
        <w:autoSpaceDE/>
        <w:autoSpaceDN/>
        <w:bidi w:val="0"/>
        <w:adjustRightInd w:val="0"/>
        <w:snapToGrid w:val="0"/>
        <w:spacing w:after="0" w:afterLines="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春座谈会，发放春节慰问金及慰问品，完成率达</w:t>
      </w:r>
      <w:r>
        <w:rPr>
          <w:rFonts w:hint="eastAsia" w:ascii="仿宋_GB2312" w:hAnsi="仿宋_GB2312" w:eastAsia="仿宋_GB2312" w:cs="仿宋_GB2312"/>
          <w:sz w:val="32"/>
          <w:szCs w:val="32"/>
          <w:lang w:val="en-US" w:eastAsia="zh-CN"/>
        </w:rPr>
        <w:t>100%，达到弘扬劳模精神，发挥劳模作用。</w:t>
      </w:r>
      <w:r>
        <w:rPr>
          <w:rFonts w:hint="eastAsia" w:ascii="仿宋_GB2312" w:hAnsi="仿宋_GB2312" w:eastAsia="仿宋_GB2312" w:cs="仿宋_GB2312"/>
          <w:sz w:val="32"/>
          <w:szCs w:val="32"/>
          <w:lang w:eastAsia="zh-CN"/>
        </w:rPr>
        <w:t>可见本项目效益显著，基本完成预期绩效目标。</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1、项目管理指标分析</w:t>
      </w:r>
    </w:p>
    <w:p>
      <w:pPr>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lang w:val="en-US" w:eastAsia="zh-CN"/>
        </w:rPr>
        <w:t>一是绩效目标合理性。本项目设定了年度目标和绩效指标，绩效目标与相关政策文件保持一致。符合管理规范，但目标设置过于简单。</w:t>
      </w:r>
    </w:p>
    <w:p>
      <w:pPr>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sz w:val="32"/>
          <w:szCs w:val="32"/>
          <w:lang w:val="en-US" w:eastAsia="zh-CN"/>
        </w:rPr>
        <w:t>是绩效指标明确性。指标大部分为量化指标，指标目标基本明确，但存在指标目标值设置不合理；设置了1个定性指标但未设置明确的目标值和计算方法。</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eastAsia" w:ascii="仿宋_GB2312" w:hAnsi="仿宋_GB2312" w:eastAsia="仿宋_GB2312" w:cs="仿宋_GB2312"/>
          <w:kern w:val="2"/>
          <w:sz w:val="32"/>
          <w:szCs w:val="32"/>
          <w:lang w:val="en-US" w:eastAsia="zh-CN" w:bidi="ar-SA"/>
        </w:rPr>
        <w:t>资金使用效率性指标分析</w:t>
      </w:r>
    </w:p>
    <w:p>
      <w:pPr>
        <w:pStyle w:val="3"/>
        <w:keepNext w:val="0"/>
        <w:keepLines w:val="0"/>
        <w:pageBreakBefore w:val="0"/>
        <w:kinsoku/>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预算完成率。202年本项目年度预算数为3万元，实际支付3万元，预算完成率为100%。</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财务管理指标分析</w:t>
      </w:r>
    </w:p>
    <w:p>
      <w:pPr>
        <w:pStyle w:val="3"/>
        <w:keepNext w:val="0"/>
        <w:keepLines w:val="0"/>
        <w:pageBreakBefore w:val="0"/>
        <w:kinsoku/>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财务支出合规性。本项目2022财政资金全部按照支出计划使用，未发生超范围使用资金的情况；项目资金管理情况符合财政法规与财务管理制度，按规定流程审批，未发现任何虚列、套取、截留、挤占、挪用支出等违规操作，项目支出规范性强。</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二是财务监控有效性。对项目的资金使用、审批复核等方面都明确了管理制度，制定完整的内容体系，确保能监控资金使用合规性。</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（三）</w:t>
      </w:r>
      <w:r>
        <w:rPr>
          <w:rFonts w:hint="eastAsia" w:ascii="仿宋_GB2312" w:hAnsi="仿宋_GB2312" w:eastAsia="仿宋_GB2312" w:cs="仿宋_GB2312"/>
          <w:sz w:val="32"/>
          <w:szCs w:val="32"/>
          <w:lang w:val="en-US" w:eastAsia="zh-CN"/>
        </w:rPr>
        <w:t>项目绩效完成情况分析</w:t>
      </w:r>
    </w:p>
    <w:p>
      <w:pPr>
        <w:keepNext w:val="0"/>
        <w:keepLines w:val="0"/>
        <w:pageBreakBefore w:val="0"/>
        <w:kinsoku/>
        <w:overflowPunct/>
        <w:topLinePunct w:val="0"/>
        <w:autoSpaceDE/>
        <w:autoSpaceDN/>
        <w:bidi w:val="0"/>
        <w:adjustRightInd w:val="0"/>
        <w:snapToGrid w:val="0"/>
        <w:spacing w:after="0" w:afterLines="0" w:line="600" w:lineRule="exact"/>
        <w:ind w:firstLine="64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仿宋_GB2312" w:hAnsi="仿宋_GB2312" w:eastAsia="仿宋_GB2312" w:cs="仿宋_GB2312"/>
          <w:sz w:val="32"/>
          <w:szCs w:val="32"/>
          <w:lang w:val="en-US" w:eastAsia="zh-CN"/>
        </w:rPr>
        <w:t>本项目共有四个绩效评价指标，具体完成情况如下：</w:t>
      </w:r>
    </w:p>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eastAsia="仿宋_GB2312" w:cs="Times New Roman"/>
          <w:b/>
          <w:bCs/>
          <w:i w:val="0"/>
          <w:iCs w:val="0"/>
          <w:sz w:val="32"/>
          <w:szCs w:val="32"/>
        </w:rPr>
      </w:pPr>
    </w:p>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eastAsia="仿宋_GB2312" w:cs="Times New Roman"/>
          <w:b/>
          <w:bCs/>
          <w:i w:val="0"/>
          <w:iCs w:val="0"/>
          <w:sz w:val="32"/>
          <w:szCs w:val="32"/>
        </w:rPr>
      </w:pPr>
    </w:p>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eastAsia="仿宋_GB2312" w:cs="Times New Roman"/>
          <w:b w:val="0"/>
          <w:bCs w:val="0"/>
          <w:i w:val="0"/>
          <w:iCs w:val="0"/>
          <w:sz w:val="32"/>
          <w:szCs w:val="32"/>
        </w:rPr>
      </w:pPr>
      <w:r>
        <w:rPr>
          <w:rFonts w:hint="default" w:ascii="Times New Roman" w:hAnsi="Times New Roman" w:eastAsia="仿宋_GB2312" w:cs="Times New Roman"/>
          <w:b/>
          <w:bCs/>
          <w:i w:val="0"/>
          <w:iCs w:val="0"/>
          <w:sz w:val="32"/>
          <w:szCs w:val="32"/>
        </w:rPr>
        <w:t>项目绩效指标完成情况表</w:t>
      </w:r>
    </w:p>
    <w:tbl>
      <w:tblPr>
        <w:tblStyle w:val="5"/>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390"/>
        <w:gridCol w:w="1650"/>
        <w:gridCol w:w="114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45"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序号</w:t>
            </w:r>
          </w:p>
        </w:tc>
        <w:tc>
          <w:tcPr>
            <w:tcW w:w="339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指标名称</w:t>
            </w:r>
          </w:p>
        </w:tc>
        <w:tc>
          <w:tcPr>
            <w:tcW w:w="165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预期值</w:t>
            </w:r>
          </w:p>
        </w:tc>
        <w:tc>
          <w:tcPr>
            <w:tcW w:w="114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实际值</w:t>
            </w:r>
          </w:p>
        </w:tc>
        <w:tc>
          <w:tcPr>
            <w:tcW w:w="1504"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5"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339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开展春节慰问完成率</w:t>
            </w:r>
          </w:p>
        </w:tc>
        <w:tc>
          <w:tcPr>
            <w:tcW w:w="165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100%</w:t>
            </w:r>
          </w:p>
        </w:tc>
        <w:tc>
          <w:tcPr>
            <w:tcW w:w="114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100%</w:t>
            </w:r>
          </w:p>
        </w:tc>
        <w:tc>
          <w:tcPr>
            <w:tcW w:w="1504"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5"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c>
          <w:tcPr>
            <w:tcW w:w="339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慰问金发放完成率</w:t>
            </w:r>
          </w:p>
        </w:tc>
        <w:tc>
          <w:tcPr>
            <w:tcW w:w="165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95</w:t>
            </w:r>
            <w:r>
              <w:rPr>
                <w:rFonts w:hint="default" w:ascii="Times New Roman" w:hAnsi="Times New Roman" w:cs="Times New Roman" w:eastAsiaTheme="minorEastAsia"/>
                <w:sz w:val="24"/>
                <w:szCs w:val="24"/>
              </w:rPr>
              <w:t>%</w:t>
            </w:r>
            <w:r>
              <w:rPr>
                <w:rFonts w:hint="default" w:ascii="Times New Roman" w:hAnsi="Times New Roman" w:cs="Times New Roman"/>
                <w:sz w:val="24"/>
                <w:szCs w:val="24"/>
                <w:lang w:eastAsia="zh-CN"/>
              </w:rPr>
              <w:t>及以上</w:t>
            </w:r>
          </w:p>
        </w:tc>
        <w:tc>
          <w:tcPr>
            <w:tcW w:w="114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szCs w:val="24"/>
                <w:lang w:val="en-US" w:eastAsia="zh-CN"/>
              </w:rPr>
              <w:t>98</w:t>
            </w:r>
            <w:r>
              <w:rPr>
                <w:rFonts w:hint="default" w:ascii="Times New Roman" w:hAnsi="Times New Roman" w:cs="Times New Roman" w:eastAsiaTheme="minorEastAsia"/>
                <w:sz w:val="24"/>
                <w:szCs w:val="24"/>
              </w:rPr>
              <w:t>%</w:t>
            </w:r>
          </w:p>
        </w:tc>
        <w:tc>
          <w:tcPr>
            <w:tcW w:w="1504"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5"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p>
        </w:tc>
        <w:tc>
          <w:tcPr>
            <w:tcW w:w="339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政策覆盖率</w:t>
            </w:r>
          </w:p>
        </w:tc>
        <w:tc>
          <w:tcPr>
            <w:tcW w:w="165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100%</w:t>
            </w:r>
          </w:p>
        </w:tc>
        <w:tc>
          <w:tcPr>
            <w:tcW w:w="114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szCs w:val="24"/>
                <w:lang w:val="en-US" w:eastAsia="zh-CN"/>
              </w:rPr>
              <w:t>100</w:t>
            </w:r>
            <w:r>
              <w:rPr>
                <w:rFonts w:hint="default" w:ascii="Times New Roman" w:hAnsi="Times New Roman" w:cs="Times New Roman" w:eastAsiaTheme="minorEastAsia"/>
                <w:sz w:val="24"/>
                <w:szCs w:val="24"/>
              </w:rPr>
              <w:t>%</w:t>
            </w:r>
          </w:p>
        </w:tc>
        <w:tc>
          <w:tcPr>
            <w:tcW w:w="1504"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5"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w:t>
            </w:r>
          </w:p>
        </w:tc>
        <w:tc>
          <w:tcPr>
            <w:tcW w:w="3390" w:type="dxa"/>
            <w:shd w:val="clear" w:color="auto" w:fill="auto"/>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收到有效投诉次数</w:t>
            </w:r>
          </w:p>
        </w:tc>
        <w:tc>
          <w:tcPr>
            <w:tcW w:w="165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0次</w:t>
            </w:r>
          </w:p>
        </w:tc>
        <w:tc>
          <w:tcPr>
            <w:tcW w:w="1140"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0次</w:t>
            </w:r>
          </w:p>
        </w:tc>
        <w:tc>
          <w:tcPr>
            <w:tcW w:w="1504" w:type="dxa"/>
            <w:noWrap w:val="0"/>
            <w:vAlign w:val="center"/>
          </w:tcPr>
          <w:p>
            <w:pPr>
              <w:keepNext w:val="0"/>
              <w:keepLines w:val="0"/>
              <w:pageBreakBefore w:val="0"/>
              <w:kinsoku/>
              <w:overflowPunct/>
              <w:topLinePunct w:val="0"/>
              <w:autoSpaceDE/>
              <w:autoSpaceDN/>
              <w:bidi w:val="0"/>
              <w:adjustRightInd w:val="0"/>
              <w:snapToGrid w:val="0"/>
              <w:spacing w:after="0" w:afterLines="0" w:line="600" w:lineRule="exact"/>
              <w:ind w:firstLine="0" w:firstLineChars="0"/>
              <w:jc w:val="center"/>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完成</w:t>
            </w:r>
          </w:p>
        </w:tc>
      </w:tr>
    </w:tbl>
    <w:p>
      <w:pPr>
        <w:keepNext w:val="0"/>
        <w:keepLines w:val="0"/>
        <w:pageBreakBefore w:val="0"/>
        <w:kinsoku/>
        <w:wordWrap/>
        <w:overflowPunct/>
        <w:topLinePunct w:val="0"/>
        <w:autoSpaceDE/>
        <w:autoSpaceDN/>
        <w:bidi w:val="0"/>
        <w:spacing w:line="600" w:lineRule="exact"/>
        <w:jc w:val="left"/>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sz w:val="32"/>
          <w:szCs w:val="32"/>
          <w:lang w:val="en-US" w:eastAsia="zh-CN"/>
        </w:rPr>
        <w:t>项目产出指标分析：</w:t>
      </w:r>
    </w:p>
    <w:p>
      <w:pPr>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rPr>
        <w:t>①</w:t>
      </w:r>
      <w:r>
        <w:rPr>
          <w:rFonts w:hint="eastAsia" w:ascii="仿宋_GB2312" w:hAnsi="仿宋_GB2312" w:eastAsia="仿宋_GB2312" w:cs="仿宋_GB2312"/>
          <w:sz w:val="32"/>
          <w:szCs w:val="32"/>
          <w:lang w:val="en-US" w:eastAsia="zh-CN"/>
        </w:rPr>
        <w:t>产出数量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计划开展春节慰问96名劳模，实际覆盖数量96名，覆盖率100%，达到预期目标。计划慰问金发放完成率95%及以上，实际发放完成率98%，达到预期目标。</w:t>
      </w:r>
    </w:p>
    <w:p>
      <w:pPr>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sz w:val="32"/>
          <w:szCs w:val="32"/>
          <w:lang w:val="en-US" w:eastAsia="zh-CN"/>
        </w:rPr>
        <w:t>项目效益指标分析：</w:t>
      </w:r>
    </w:p>
    <w:p>
      <w:pPr>
        <w:keepNext w:val="0"/>
        <w:keepLines w:val="0"/>
        <w:pageBreakBefore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rPr>
        <w:t>①</w:t>
      </w:r>
      <w:r>
        <w:rPr>
          <w:rFonts w:hint="eastAsia" w:ascii="仿宋_GB2312" w:hAnsi="仿宋_GB2312" w:eastAsia="仿宋_GB2312" w:cs="仿宋_GB2312"/>
          <w:b w:val="0"/>
          <w:bCs w:val="0"/>
          <w:color w:val="auto"/>
          <w:sz w:val="32"/>
          <w:szCs w:val="32"/>
        </w:rPr>
        <w:t>社</w:t>
      </w:r>
      <w:r>
        <w:rPr>
          <w:rFonts w:hint="eastAsia" w:ascii="仿宋_GB2312" w:hAnsi="仿宋_GB2312" w:eastAsia="仿宋_GB2312" w:cs="仿宋_GB2312"/>
          <w:sz w:val="32"/>
          <w:szCs w:val="32"/>
          <w:lang w:val="en-US" w:eastAsia="zh-CN"/>
        </w:rPr>
        <w:t>会效益</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lang w:val="en-US" w:eastAsia="zh-CN"/>
        </w:rPr>
        <w:t>计划政策覆盖辖区劳模人数为96名，实际覆盖辖区劳模人数为96名，达到预期目标。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rPr>
        <w:t>①</w:t>
      </w:r>
      <w:r>
        <w:rPr>
          <w:rFonts w:hint="eastAsia" w:ascii="仿宋_GB2312" w:hAnsi="仿宋_GB2312" w:eastAsia="仿宋_GB2312" w:cs="仿宋_GB2312"/>
          <w:sz w:val="32"/>
          <w:szCs w:val="32"/>
          <w:lang w:val="en-US" w:eastAsia="zh-CN"/>
        </w:rPr>
        <w:t>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计划收到有效投诉次数0次，实际收到有效投诉次数0次，达到预期目标。</w:t>
      </w:r>
    </w:p>
    <w:p>
      <w:pPr>
        <w:keepNext w:val="0"/>
        <w:keepLines w:val="0"/>
        <w:pageBreakBefore w:val="0"/>
        <w:numPr>
          <w:ilvl w:val="0"/>
          <w:numId w:val="1"/>
        </w:numPr>
        <w:kinsoku/>
        <w:overflowPunct/>
        <w:topLinePunct w:val="0"/>
        <w:autoSpaceDE/>
        <w:autoSpaceDN/>
        <w:bidi w:val="0"/>
        <w:snapToGrid w:val="0"/>
        <w:spacing w:line="60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主要存在问题及相关建议</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sz w:val="32"/>
          <w:szCs w:val="32"/>
          <w:lang w:val="en-US" w:eastAsia="zh-CN"/>
        </w:rPr>
        <w:t>存在问题</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kern w:val="2"/>
          <w:sz w:val="32"/>
          <w:szCs w:val="32"/>
          <w:lang w:val="en-US" w:eastAsia="zh-CN" w:bidi="ar-SA"/>
        </w:rPr>
        <w:t>是绩效目标及指标设置质量有待提升；</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kern w:val="2"/>
          <w:sz w:val="32"/>
          <w:szCs w:val="32"/>
          <w:lang w:val="en-US" w:eastAsia="zh-CN" w:bidi="ar-SA"/>
        </w:rPr>
        <w:t>二是项目管理规范性有待提高，绩效管理工作仍需加强。</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sz w:val="32"/>
          <w:szCs w:val="32"/>
          <w:lang w:val="en-US" w:eastAsia="zh-CN"/>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一是设置全面有效的绩效目标及细致的绩效指标以提高指标设置质量；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二是增强项目管理力度。</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附表：</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rPr>
        <w:t>年度</w:t>
      </w:r>
      <w:r>
        <w:rPr>
          <w:rFonts w:hint="eastAsia" w:ascii="仿宋_GB2312" w:hAnsi="仿宋_GB2312" w:eastAsia="仿宋_GB2312" w:cs="仿宋_GB2312"/>
          <w:b w:val="0"/>
          <w:bCs w:val="0"/>
          <w:sz w:val="32"/>
          <w:szCs w:val="32"/>
          <w:lang w:eastAsia="zh-CN"/>
        </w:rPr>
        <w:t>重点</w:t>
      </w:r>
      <w:r>
        <w:rPr>
          <w:rFonts w:hint="eastAsia" w:ascii="仿宋_GB2312" w:hAnsi="仿宋_GB2312" w:eastAsia="仿宋_GB2312" w:cs="仿宋_GB2312"/>
          <w:b w:val="0"/>
          <w:bCs w:val="0"/>
          <w:sz w:val="32"/>
          <w:szCs w:val="32"/>
        </w:rPr>
        <w:t>项目绩效</w:t>
      </w:r>
      <w:r>
        <w:rPr>
          <w:rFonts w:hint="eastAsia" w:ascii="仿宋_GB2312" w:hAnsi="仿宋_GB2312" w:eastAsia="仿宋_GB2312" w:cs="仿宋_GB2312"/>
          <w:b w:val="0"/>
          <w:bCs w:val="0"/>
          <w:sz w:val="32"/>
          <w:szCs w:val="32"/>
          <w:lang w:eastAsia="zh-CN"/>
        </w:rPr>
        <w:t>评价评分</w:t>
      </w:r>
      <w:r>
        <w:rPr>
          <w:rFonts w:hint="eastAsia" w:ascii="仿宋_GB2312" w:hAnsi="仿宋_GB2312" w:eastAsia="仿宋_GB2312" w:cs="仿宋_GB2312"/>
          <w:b w:val="0"/>
          <w:bCs w:val="0"/>
          <w:sz w:val="32"/>
          <w:szCs w:val="32"/>
        </w:rPr>
        <w:t>表</w:t>
      </w:r>
    </w:p>
    <w:p>
      <w:pPr>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b/>
          <w:bCs/>
          <w:sz w:val="32"/>
          <w:szCs w:val="32"/>
        </w:rPr>
      </w:pPr>
    </w:p>
    <w:p>
      <w:pPr>
        <w:pStyle w:val="2"/>
        <w:rPr>
          <w:rFonts w:hint="eastAsia"/>
        </w:rPr>
      </w:pP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广州市从化区总工会</w:t>
      </w:r>
    </w:p>
    <w:p>
      <w:pPr>
        <w:pStyle w:val="2"/>
        <w:keepNext w:val="0"/>
        <w:keepLines w:val="0"/>
        <w:pageBreakBefore w:val="0"/>
        <w:kinsoku/>
        <w:overflowPunct/>
        <w:topLinePunct w:val="0"/>
        <w:autoSpaceDE/>
        <w:autoSpaceDN/>
        <w:bidi w:val="0"/>
        <w:spacing w:line="60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2022年10月20日</w:t>
      </w:r>
    </w:p>
    <w:p>
      <w:pPr>
        <w:pStyle w:val="2"/>
        <w:keepNext w:val="0"/>
        <w:keepLines w:val="0"/>
        <w:pageBreakBefore w:val="0"/>
        <w:kinsoku/>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bookmarkStart w:id="0" w:name="_GoBack"/>
      <w:bookmarkEnd w:id="0"/>
    </w:p>
    <w:p>
      <w:pPr>
        <w:pStyle w:val="2"/>
        <w:rPr>
          <w:rFonts w:hint="eastAsia" w:ascii="仿宋_GB2312" w:hAnsi="仿宋_GB2312" w:eastAsia="仿宋_GB2312" w:cs="仿宋_GB2312"/>
          <w:sz w:val="32"/>
          <w:szCs w:val="32"/>
          <w:lang w:eastAsia="zh-CN"/>
        </w:rPr>
      </w:pPr>
    </w:p>
    <w:p>
      <w:pPr>
        <w:pStyle w:val="2"/>
        <w:ind w:left="0" w:leftChars="0" w:firstLine="0" w:firstLineChars="0"/>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sectPr>
          <w:pgSz w:w="11906" w:h="16838"/>
          <w:pgMar w:top="1440" w:right="1800" w:bottom="1440" w:left="1800" w:header="851" w:footer="992" w:gutter="0"/>
          <w:cols w:space="425" w:num="1"/>
          <w:docGrid w:type="lines" w:linePitch="312" w:charSpace="0"/>
        </w:sectPr>
      </w:pPr>
    </w:p>
    <w:tbl>
      <w:tblPr>
        <w:tblStyle w:val="5"/>
        <w:tblW w:w="10773" w:type="dxa"/>
        <w:tblInd w:w="-1134" w:type="dxa"/>
        <w:tblLayout w:type="fixed"/>
        <w:tblCellMar>
          <w:top w:w="0" w:type="dxa"/>
          <w:left w:w="0" w:type="dxa"/>
          <w:bottom w:w="0" w:type="dxa"/>
          <w:right w:w="0" w:type="dxa"/>
        </w:tblCellMar>
      </w:tblPr>
      <w:tblGrid>
        <w:gridCol w:w="10773"/>
      </w:tblGrid>
      <w:tr>
        <w:tblPrEx>
          <w:tblLayout w:type="fixed"/>
          <w:tblCellMar>
            <w:top w:w="0" w:type="dxa"/>
            <w:left w:w="0" w:type="dxa"/>
            <w:bottom w:w="0" w:type="dxa"/>
            <w:right w:w="0" w:type="dxa"/>
          </w:tblCellMar>
        </w:tblPrEx>
        <w:trPr>
          <w:trHeight w:val="431" w:hRule="atLeast"/>
        </w:trPr>
        <w:tc>
          <w:tcPr>
            <w:tcW w:w="10773" w:type="dxa"/>
            <w:tcBorders>
              <w:top w:val="nil"/>
              <w:left w:val="nil"/>
              <w:bottom w:val="nil"/>
              <w:right w:val="nil"/>
            </w:tcBorders>
            <w:tcMar>
              <w:top w:w="15" w:type="dxa"/>
              <w:left w:w="15" w:type="dxa"/>
              <w:right w:w="15" w:type="dxa"/>
            </w:tcMar>
            <w:vAlign w:val="center"/>
          </w:tcPr>
          <w:p>
            <w:pPr>
              <w:snapToGrid w:val="0"/>
              <w:spacing w:line="580" w:lineRule="exact"/>
              <w:ind w:firstLine="643" w:firstLineChars="200"/>
              <w:jc w:val="center"/>
              <w:rPr>
                <w:rFonts w:hint="default" w:ascii="Times New Roman" w:hAnsi="Times New Roman" w:eastAsia="宋体" w:cs="Times New Roman"/>
                <w:sz w:val="24"/>
              </w:rPr>
            </w:pPr>
            <w:r>
              <w:rPr>
                <w:rFonts w:hint="default" w:ascii="Times New Roman" w:hAnsi="Times New Roman" w:eastAsia="仿宋_GB2312" w:cs="Times New Roman"/>
                <w:b/>
                <w:bCs/>
                <w:sz w:val="32"/>
                <w:szCs w:val="32"/>
                <w:lang w:val="en-US" w:eastAsia="zh-CN"/>
              </w:rPr>
              <w:t>2022</w:t>
            </w:r>
            <w:r>
              <w:rPr>
                <w:rFonts w:hint="default" w:ascii="Times New Roman" w:hAnsi="Times New Roman" w:eastAsia="仿宋_GB2312" w:cs="Times New Roman"/>
                <w:b/>
                <w:bCs/>
                <w:sz w:val="32"/>
                <w:szCs w:val="32"/>
              </w:rPr>
              <w:t>年度</w:t>
            </w:r>
            <w:r>
              <w:rPr>
                <w:rFonts w:hint="default" w:ascii="Times New Roman" w:hAnsi="Times New Roman" w:eastAsia="仿宋_GB2312" w:cs="Times New Roman"/>
                <w:b/>
                <w:bCs/>
                <w:sz w:val="32"/>
                <w:szCs w:val="32"/>
                <w:lang w:eastAsia="zh-CN"/>
              </w:rPr>
              <w:t>重点</w:t>
            </w:r>
            <w:r>
              <w:rPr>
                <w:rFonts w:hint="default" w:ascii="Times New Roman" w:hAnsi="Times New Roman" w:eastAsia="仿宋_GB2312" w:cs="Times New Roman"/>
                <w:b/>
                <w:bCs/>
                <w:sz w:val="32"/>
                <w:szCs w:val="32"/>
              </w:rPr>
              <w:t>项目绩效</w:t>
            </w:r>
            <w:r>
              <w:rPr>
                <w:rFonts w:hint="default" w:ascii="Times New Roman" w:hAnsi="Times New Roman" w:eastAsia="仿宋_GB2312" w:cs="Times New Roman"/>
                <w:b/>
                <w:bCs/>
                <w:sz w:val="32"/>
                <w:szCs w:val="32"/>
                <w:lang w:eastAsia="zh-CN"/>
              </w:rPr>
              <w:t>评价评分</w:t>
            </w:r>
            <w:r>
              <w:rPr>
                <w:rFonts w:hint="default" w:ascii="Times New Roman" w:hAnsi="Times New Roman" w:eastAsia="仿宋_GB2312" w:cs="Times New Roman"/>
                <w:b/>
                <w:bCs/>
                <w:sz w:val="32"/>
                <w:szCs w:val="32"/>
              </w:rPr>
              <w:t>表</w:t>
            </w:r>
          </w:p>
        </w:tc>
      </w:tr>
      <w:tr>
        <w:tblPrEx>
          <w:tblLayout w:type="fixed"/>
          <w:tblCellMar>
            <w:top w:w="0" w:type="dxa"/>
            <w:left w:w="0" w:type="dxa"/>
            <w:bottom w:w="0" w:type="dxa"/>
            <w:right w:w="0" w:type="dxa"/>
          </w:tblCellMar>
        </w:tblPrEx>
        <w:trPr>
          <w:trHeight w:val="431" w:hRule="atLeast"/>
        </w:trPr>
        <w:tc>
          <w:tcPr>
            <w:tcW w:w="10773" w:type="dxa"/>
            <w:tcBorders>
              <w:top w:val="nil"/>
              <w:left w:val="nil"/>
              <w:bottom w:val="single" w:color="auto" w:sz="4" w:space="0"/>
              <w:right w:val="nil"/>
            </w:tcBorders>
            <w:tcMar>
              <w:top w:w="15" w:type="dxa"/>
              <w:left w:w="15" w:type="dxa"/>
              <w:right w:w="15" w:type="dxa"/>
            </w:tcMar>
            <w:vAlign w:val="center"/>
          </w:tcPr>
          <w:p>
            <w:pPr>
              <w:snapToGrid w:val="0"/>
              <w:spacing w:line="580" w:lineRule="exact"/>
              <w:ind w:firstLine="480" w:firstLineChars="200"/>
              <w:jc w:val="right"/>
              <w:rPr>
                <w:rFonts w:hint="default" w:ascii="Times New Roman" w:hAnsi="Times New Roman" w:eastAsia="宋体" w:cs="Times New Roman"/>
                <w:sz w:val="24"/>
              </w:rPr>
            </w:pPr>
            <w:r>
              <w:rPr>
                <w:rFonts w:hint="default" w:ascii="Times New Roman" w:hAnsi="Times New Roman" w:eastAsia="仿宋_GB2312" w:cs="Times New Roman"/>
                <w:sz w:val="24"/>
              </w:rPr>
              <w:t>单位：万元</w:t>
            </w:r>
          </w:p>
        </w:tc>
      </w:tr>
    </w:tbl>
    <w:p>
      <w:pPr>
        <w:widowControl w:val="0"/>
        <w:ind w:firstLine="420" w:firstLineChars="200"/>
        <w:jc w:val="both"/>
        <w:rPr>
          <w:rFonts w:hint="default" w:ascii="Times New Roman" w:hAnsi="Times New Roman" w:eastAsia="宋体" w:cs="Times New Roman"/>
          <w:kern w:val="2"/>
          <w:sz w:val="21"/>
          <w:szCs w:val="24"/>
          <w:lang w:val="en-US" w:eastAsia="zh-CN" w:bidi="ar-SA"/>
        </w:rPr>
      </w:pPr>
    </w:p>
    <w:tbl>
      <w:tblPr>
        <w:tblStyle w:val="5"/>
        <w:tblW w:w="10773" w:type="dxa"/>
        <w:tblInd w:w="-1134" w:type="dxa"/>
        <w:tblLayout w:type="fixed"/>
        <w:tblCellMar>
          <w:top w:w="0" w:type="dxa"/>
          <w:left w:w="0" w:type="dxa"/>
          <w:bottom w:w="0" w:type="dxa"/>
          <w:right w:w="0" w:type="dxa"/>
        </w:tblCellMar>
      </w:tblPr>
      <w:tblGrid>
        <w:gridCol w:w="1513"/>
        <w:gridCol w:w="661"/>
        <w:gridCol w:w="1875"/>
        <w:gridCol w:w="837"/>
        <w:gridCol w:w="1234"/>
        <w:gridCol w:w="1312"/>
        <w:gridCol w:w="1134"/>
        <w:gridCol w:w="1225"/>
        <w:gridCol w:w="982"/>
      </w:tblGrid>
      <w:tr>
        <w:tblPrEx>
          <w:tblLayout w:type="fixed"/>
          <w:tblCellMar>
            <w:top w:w="0" w:type="dxa"/>
            <w:left w:w="0" w:type="dxa"/>
            <w:bottom w:w="0" w:type="dxa"/>
            <w:right w:w="0" w:type="dxa"/>
          </w:tblCellMar>
        </w:tblPrEx>
        <w:trPr>
          <w:trHeight w:val="431" w:hRule="atLeast"/>
        </w:trPr>
        <w:tc>
          <w:tcPr>
            <w:tcW w:w="15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项目名称</w:t>
            </w:r>
          </w:p>
        </w:tc>
        <w:tc>
          <w:tcPr>
            <w:tcW w:w="926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劳模管理</w:t>
            </w:r>
          </w:p>
        </w:tc>
      </w:tr>
      <w:tr>
        <w:tblPrEx>
          <w:tblLayout w:type="fixed"/>
          <w:tblCellMar>
            <w:top w:w="0" w:type="dxa"/>
            <w:left w:w="0" w:type="dxa"/>
            <w:bottom w:w="0" w:type="dxa"/>
            <w:right w:w="0" w:type="dxa"/>
          </w:tblCellMar>
        </w:tblPrEx>
        <w:trPr>
          <w:trHeight w:val="431" w:hRule="atLeast"/>
        </w:trPr>
        <w:tc>
          <w:tcPr>
            <w:tcW w:w="15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主管部门</w:t>
            </w:r>
          </w:p>
        </w:tc>
        <w:tc>
          <w:tcPr>
            <w:tcW w:w="4607"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广州市从化区总工会</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实施单位</w:t>
            </w:r>
          </w:p>
        </w:tc>
        <w:tc>
          <w:tcPr>
            <w:tcW w:w="3341"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广州市从化区总工会</w:t>
            </w:r>
          </w:p>
        </w:tc>
      </w:tr>
      <w:tr>
        <w:tblPrEx>
          <w:tblLayout w:type="fixed"/>
          <w:tblCellMar>
            <w:top w:w="0" w:type="dxa"/>
            <w:left w:w="0" w:type="dxa"/>
            <w:bottom w:w="0" w:type="dxa"/>
            <w:right w:w="0" w:type="dxa"/>
          </w:tblCellMar>
        </w:tblPrEx>
        <w:trPr>
          <w:trHeight w:val="431" w:hRule="atLeast"/>
        </w:trPr>
        <w:tc>
          <w:tcPr>
            <w:tcW w:w="151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项目资金</w:t>
            </w:r>
          </w:p>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（万元）</w:t>
            </w:r>
          </w:p>
        </w:tc>
        <w:tc>
          <w:tcPr>
            <w:tcW w:w="337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年度预算数</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年度预算完成数</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分值</w:t>
            </w:r>
          </w:p>
        </w:tc>
        <w:tc>
          <w:tcPr>
            <w:tcW w:w="12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预算完成率</w:t>
            </w:r>
          </w:p>
        </w:tc>
        <w:tc>
          <w:tcPr>
            <w:tcW w:w="9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得分</w:t>
            </w: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337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总额</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w:t>
            </w:r>
          </w:p>
        </w:tc>
        <w:tc>
          <w:tcPr>
            <w:tcW w:w="113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12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98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337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其中：财政拨款（市本级支出）</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w:t>
            </w:r>
          </w:p>
        </w:tc>
        <w:tc>
          <w:tcPr>
            <w:tcW w:w="113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12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98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337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财政拨款（转移支付）</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c>
          <w:tcPr>
            <w:tcW w:w="113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12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98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337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非财政拨款</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c>
          <w:tcPr>
            <w:tcW w:w="113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12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98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151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绩效目标完成情况</w:t>
            </w:r>
          </w:p>
        </w:tc>
        <w:tc>
          <w:tcPr>
            <w:tcW w:w="4607"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r>
              <w:rPr>
                <w:rFonts w:hint="default" w:ascii="Times New Roman" w:hAnsi="Times New Roman" w:eastAsia="宋体" w:cs="Times New Roman"/>
                <w:sz w:val="24"/>
              </w:rPr>
              <w:t>年度绩效目标内容</w:t>
            </w:r>
          </w:p>
        </w:tc>
        <w:tc>
          <w:tcPr>
            <w:tcW w:w="4653"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r>
              <w:rPr>
                <w:rFonts w:hint="default" w:ascii="Times New Roman" w:hAnsi="Times New Roman" w:eastAsia="宋体" w:cs="Times New Roman"/>
                <w:sz w:val="24"/>
              </w:rPr>
              <w:t>目标实际完成情况</w:t>
            </w: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4607"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r>
              <w:rPr>
                <w:rFonts w:hint="default" w:ascii="Times New Roman" w:hAnsi="Times New Roman" w:eastAsia="宋体" w:cs="Times New Roman"/>
                <w:sz w:val="24"/>
              </w:rPr>
              <w:t>按照相关政策和文件规定，举办形式多样的劳模活动，让劳模感受政府和工会的关怀和温暖，继续发挥好骨干、示范和带头作用。</w:t>
            </w:r>
          </w:p>
        </w:tc>
        <w:tc>
          <w:tcPr>
            <w:tcW w:w="4653"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after="0" w:afterLines="0" w:line="560" w:lineRule="exact"/>
              <w:ind w:firstLine="640"/>
              <w:jc w:val="center"/>
              <w:rPr>
                <w:rFonts w:hint="default" w:ascii="Times New Roman" w:hAnsi="Times New Roman" w:eastAsia="宋体" w:cs="Times New Roman"/>
                <w:sz w:val="24"/>
              </w:rPr>
            </w:pPr>
            <w:r>
              <w:rPr>
                <w:rFonts w:hint="default" w:ascii="Times New Roman" w:hAnsi="Times New Roman" w:eastAsia="宋体" w:cs="Times New Roman"/>
                <w:sz w:val="24"/>
                <w:lang w:eastAsia="zh-CN"/>
              </w:rPr>
              <w:t>已举办历届各级劳模迎春座谈会，发放春节慰问金及慰问品，完成率达</w:t>
            </w:r>
            <w:r>
              <w:rPr>
                <w:rFonts w:hint="default" w:ascii="Times New Roman" w:hAnsi="Times New Roman" w:eastAsia="宋体" w:cs="Times New Roman"/>
                <w:sz w:val="24"/>
                <w:lang w:val="en-US" w:eastAsia="zh-CN"/>
              </w:rPr>
              <w:t>100%，达到弘扬劳模精神，发挥劳模作用。</w:t>
            </w:r>
          </w:p>
        </w:tc>
      </w:tr>
      <w:tr>
        <w:tblPrEx>
          <w:tblLayout w:type="fixed"/>
          <w:tblCellMar>
            <w:top w:w="0" w:type="dxa"/>
            <w:left w:w="0" w:type="dxa"/>
            <w:bottom w:w="0" w:type="dxa"/>
            <w:right w:w="0" w:type="dxa"/>
          </w:tblCellMar>
        </w:tblPrEx>
        <w:trPr>
          <w:trHeight w:val="431" w:hRule="atLeast"/>
        </w:trPr>
        <w:tc>
          <w:tcPr>
            <w:tcW w:w="15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一级指标</w:t>
            </w:r>
          </w:p>
        </w:tc>
        <w:tc>
          <w:tcPr>
            <w:tcW w:w="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二级指标</w:t>
            </w:r>
          </w:p>
        </w:tc>
        <w:tc>
          <w:tcPr>
            <w:tcW w:w="18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三级指标</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年度指标值</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实际完成指标值</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分值</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得分</w:t>
            </w:r>
          </w:p>
        </w:tc>
        <w:tc>
          <w:tcPr>
            <w:tcW w:w="220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偏差原因分析及改进措施</w:t>
            </w:r>
          </w:p>
        </w:tc>
      </w:tr>
      <w:tr>
        <w:tblPrEx>
          <w:tblLayout w:type="fixed"/>
          <w:tblCellMar>
            <w:top w:w="0" w:type="dxa"/>
            <w:left w:w="0" w:type="dxa"/>
            <w:bottom w:w="0" w:type="dxa"/>
            <w:right w:w="0" w:type="dxa"/>
          </w:tblCellMar>
        </w:tblPrEx>
        <w:trPr>
          <w:trHeight w:val="431" w:hRule="atLeast"/>
        </w:trPr>
        <w:tc>
          <w:tcPr>
            <w:tcW w:w="151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产出指标</w:t>
            </w:r>
          </w:p>
        </w:tc>
        <w:tc>
          <w:tcPr>
            <w:tcW w:w="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rPr>
            </w:pPr>
            <w:r>
              <w:rPr>
                <w:rFonts w:hint="default" w:ascii="Times New Roman" w:hAnsi="Times New Roman" w:eastAsia="宋体" w:cs="Times New Roman"/>
              </w:rPr>
              <w:t>数量指标</w:t>
            </w:r>
          </w:p>
          <w:p>
            <w:pPr>
              <w:widowControl w:val="0"/>
              <w:ind w:firstLine="480" w:firstLineChars="200"/>
              <w:jc w:val="center"/>
              <w:rPr>
                <w:rFonts w:hint="default" w:ascii="Times New Roman" w:hAnsi="Times New Roman" w:eastAsia="宋体" w:cs="Times New Roman"/>
                <w:kern w:val="2"/>
                <w:sz w:val="24"/>
                <w:szCs w:val="24"/>
                <w:lang w:val="en-US" w:eastAsia="zh-CN" w:bidi="ar-SA"/>
              </w:rPr>
            </w:pPr>
          </w:p>
          <w:p>
            <w:pPr>
              <w:widowControl w:val="0"/>
              <w:ind w:firstLine="480" w:firstLineChars="200"/>
              <w:jc w:val="center"/>
              <w:rPr>
                <w:rFonts w:hint="default" w:ascii="Times New Roman" w:hAnsi="Times New Roman" w:eastAsia="宋体" w:cs="Times New Roman"/>
                <w:kern w:val="2"/>
                <w:sz w:val="24"/>
                <w:szCs w:val="24"/>
                <w:lang w:val="en-US" w:eastAsia="zh-CN" w:bidi="ar-SA"/>
              </w:rPr>
            </w:pPr>
          </w:p>
          <w:p>
            <w:pPr>
              <w:widowControl w:val="0"/>
              <w:ind w:firstLine="480" w:firstLineChars="200"/>
              <w:jc w:val="center"/>
              <w:rPr>
                <w:rFonts w:hint="default" w:ascii="Times New Roman" w:hAnsi="Times New Roman" w:eastAsia="宋体" w:cs="Times New Roman"/>
                <w:kern w:val="2"/>
                <w:sz w:val="24"/>
                <w:szCs w:val="24"/>
                <w:lang w:val="en-US" w:eastAsia="zh-CN" w:bidi="ar-SA"/>
              </w:rPr>
            </w:pPr>
          </w:p>
          <w:p>
            <w:pPr>
              <w:widowControl w:val="0"/>
              <w:ind w:firstLine="480" w:firstLineChars="200"/>
              <w:jc w:val="center"/>
              <w:rPr>
                <w:rFonts w:hint="default" w:ascii="Times New Roman" w:hAnsi="Times New Roman" w:eastAsia="宋体" w:cs="Times New Roman"/>
                <w:kern w:val="2"/>
                <w:sz w:val="24"/>
                <w:szCs w:val="24"/>
                <w:lang w:val="en-US" w:eastAsia="zh-CN" w:bidi="ar-SA"/>
              </w:rPr>
            </w:pPr>
          </w:p>
          <w:p>
            <w:pPr>
              <w:widowControl w:val="0"/>
              <w:ind w:firstLine="480" w:firstLineChars="200"/>
              <w:jc w:val="center"/>
              <w:rPr>
                <w:rFonts w:hint="default" w:ascii="Times New Roman" w:hAnsi="Times New Roman" w:eastAsia="宋体" w:cs="Times New Roman"/>
                <w:kern w:val="2"/>
                <w:sz w:val="24"/>
                <w:szCs w:val="24"/>
                <w:lang w:val="en-US" w:eastAsia="zh-CN" w:bidi="ar-SA"/>
              </w:rPr>
            </w:pPr>
          </w:p>
        </w:tc>
        <w:tc>
          <w:tcPr>
            <w:tcW w:w="18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1"/>
                <w:szCs w:val="21"/>
              </w:rPr>
              <w:t>开展春节慰问完成率=实际开展慰问活动次数/计划开展慰问活动次数×100%率</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预期实现值100%</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sz w:val="24"/>
                <w:lang w:val="en-US" w:eastAsia="zh-CN"/>
              </w:rPr>
            </w:pPr>
            <w:r>
              <w:rPr>
                <w:rFonts w:hint="default" w:ascii="Times New Roman" w:hAnsi="Times New Roman" w:eastAsia="宋体" w:cs="Times New Roman"/>
                <w:i w:val="0"/>
                <w:color w:val="000000"/>
                <w:kern w:val="0"/>
                <w:sz w:val="18"/>
                <w:szCs w:val="18"/>
                <w:u w:val="none"/>
                <w:lang w:val="en-US" w:eastAsia="zh-CN" w:bidi="ar"/>
              </w:rPr>
              <w:t>预期实现值100%</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220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质量指标</w:t>
            </w:r>
          </w:p>
        </w:tc>
        <w:tc>
          <w:tcPr>
            <w:tcW w:w="18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慰问金发放完成率=实际发放人数/计划发放人数×100%</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预期实现值95%及以上</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预期实现值95%及以上</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98</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98</w:t>
            </w:r>
          </w:p>
        </w:tc>
        <w:tc>
          <w:tcPr>
            <w:tcW w:w="220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151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效益指标</w:t>
            </w:r>
          </w:p>
        </w:tc>
        <w:tc>
          <w:tcPr>
            <w:tcW w:w="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社会效益</w:t>
            </w:r>
          </w:p>
        </w:tc>
        <w:tc>
          <w:tcPr>
            <w:tcW w:w="18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政策覆盖率=实际覆盖辖区人数/应覆盖辖区人数×100%</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预期实现值100%</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预期实现值100%</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220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151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p>
        </w:tc>
        <w:tc>
          <w:tcPr>
            <w:tcW w:w="6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满意度指标</w:t>
            </w:r>
          </w:p>
        </w:tc>
        <w:tc>
          <w:tcPr>
            <w:tcW w:w="18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收到有效投诉次数</w:t>
            </w:r>
          </w:p>
        </w:tc>
        <w:tc>
          <w:tcPr>
            <w:tcW w:w="83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0次</w:t>
            </w:r>
          </w:p>
        </w:tc>
        <w:tc>
          <w:tcPr>
            <w:tcW w:w="12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0次</w:t>
            </w:r>
          </w:p>
        </w:tc>
        <w:tc>
          <w:tcPr>
            <w:tcW w:w="1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113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c>
          <w:tcPr>
            <w:tcW w:w="220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jc w:val="center"/>
              <w:rPr>
                <w:rFonts w:hint="default" w:ascii="Times New Roman" w:hAnsi="Times New Roman" w:eastAsia="宋体" w:cs="Times New Roman"/>
                <w:sz w:val="24"/>
              </w:rPr>
            </w:pPr>
          </w:p>
        </w:tc>
      </w:tr>
      <w:tr>
        <w:tblPrEx>
          <w:tblLayout w:type="fixed"/>
          <w:tblCellMar>
            <w:top w:w="0" w:type="dxa"/>
            <w:left w:w="0" w:type="dxa"/>
            <w:bottom w:w="0" w:type="dxa"/>
            <w:right w:w="0" w:type="dxa"/>
          </w:tblCellMar>
        </w:tblPrEx>
        <w:trPr>
          <w:trHeight w:val="431" w:hRule="atLeast"/>
        </w:trPr>
        <w:tc>
          <w:tcPr>
            <w:tcW w:w="4049"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rPr>
            </w:pPr>
            <w:r>
              <w:rPr>
                <w:rFonts w:hint="default" w:ascii="Times New Roman" w:hAnsi="Times New Roman" w:eastAsia="宋体" w:cs="Times New Roman"/>
                <w:sz w:val="24"/>
              </w:rPr>
              <w:t>总 分</w:t>
            </w:r>
          </w:p>
        </w:tc>
        <w:tc>
          <w:tcPr>
            <w:tcW w:w="6724"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580" w:lineRule="exact"/>
              <w:ind w:firstLine="480" w:firstLineChars="200"/>
              <w:jc w:val="center"/>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100</w:t>
            </w:r>
          </w:p>
        </w:tc>
      </w:tr>
    </w:tbl>
    <w:p>
      <w:pPr>
        <w:pStyle w:val="2"/>
        <w:rPr>
          <w:rFonts w:hint="default" w:ascii="Times New Roman" w:hAnsi="Times New Roman" w:eastAsia="仿宋_GB2312" w:cs="Times New Roman"/>
          <w:sz w:val="28"/>
          <w:szCs w:val="28"/>
          <w:lang w:eastAsia="zh-CN"/>
        </w:rPr>
      </w:pPr>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6DF8"/>
    <w:multiLevelType w:val="singleLevel"/>
    <w:tmpl w:val="2B7E6DF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C6248"/>
    <w:rsid w:val="026430DA"/>
    <w:rsid w:val="082C6248"/>
    <w:rsid w:val="0BBF275A"/>
    <w:rsid w:val="18DC1CA6"/>
    <w:rsid w:val="1B933CF5"/>
    <w:rsid w:val="22A16CDF"/>
    <w:rsid w:val="23F679E5"/>
    <w:rsid w:val="37E223F7"/>
    <w:rsid w:val="496F0C54"/>
    <w:rsid w:val="54ED0CB2"/>
    <w:rsid w:val="5DA52AF6"/>
    <w:rsid w:val="65B50ACA"/>
    <w:rsid w:val="70F71E57"/>
    <w:rsid w:val="77FE4FC8"/>
    <w:rsid w:val="79471E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70" w:afterAutospacing="1" w:line="560" w:lineRule="exact"/>
      <w:jc w:val="left"/>
      <w:outlineLvl w:val="9"/>
    </w:pPr>
    <w:rPr>
      <w:rFonts w:hint="eastAsia" w:ascii="宋体" w:hAnsi="宋体" w:eastAsia="方正小标宋简体" w:cs="宋体"/>
      <w:kern w:val="44"/>
      <w:sz w:val="36"/>
      <w:szCs w:val="48"/>
      <w:lang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widowControl/>
      <w:spacing w:line="580" w:lineRule="exact"/>
      <w:ind w:firstLine="420" w:firstLineChars="200"/>
    </w:pPr>
    <w:rPr>
      <w:rFonts w:ascii="仿宋" w:hAnsi="仿宋" w:eastAsia="仿宋"/>
      <w:sz w:val="33"/>
    </w:rPr>
  </w:style>
  <w:style w:type="paragraph" w:styleId="3">
    <w:name w:val="toc 4"/>
    <w:basedOn w:val="1"/>
    <w:next w:val="1"/>
    <w:qFormat/>
    <w:uiPriority w:val="0"/>
    <w:pPr>
      <w:wordWrap w:val="0"/>
      <w:ind w:left="850"/>
    </w:pPr>
    <w:rPr>
      <w:rFonts w:cs="黑体"/>
      <w:szCs w:val="22"/>
    </w:rPr>
  </w:style>
  <w:style w:type="character" w:customStyle="1" w:styleId="7">
    <w:name w:val="font51"/>
    <w:basedOn w:val="6"/>
    <w:uiPriority w:val="0"/>
    <w:rPr>
      <w:rFonts w:hint="eastAsia" w:ascii="仿宋_GB2312" w:eastAsia="仿宋_GB2312" w:cs="仿宋_GB2312"/>
      <w:color w:val="000000"/>
      <w:sz w:val="28"/>
      <w:szCs w:val="28"/>
      <w:u w:val="none"/>
    </w:rPr>
  </w:style>
  <w:style w:type="character" w:customStyle="1" w:styleId="8">
    <w:name w:val="font21"/>
    <w:basedOn w:val="6"/>
    <w:uiPriority w:val="0"/>
    <w:rPr>
      <w:rFonts w:ascii="Arial" w:hAnsi="Arial" w:cs="Arial"/>
      <w:color w:val="000000"/>
      <w:sz w:val="28"/>
      <w:szCs w:val="28"/>
      <w:u w:val="none"/>
    </w:rPr>
  </w:style>
  <w:style w:type="character" w:customStyle="1" w:styleId="9">
    <w:name w:val="font61"/>
    <w:basedOn w:val="6"/>
    <w:uiPriority w:val="0"/>
    <w:rPr>
      <w:rFonts w:ascii="Arial" w:hAnsi="Arial" w:cs="Arial"/>
      <w:color w:val="000000"/>
      <w:sz w:val="22"/>
      <w:szCs w:val="22"/>
      <w:u w:val="none"/>
    </w:rPr>
  </w:style>
  <w:style w:type="character" w:customStyle="1" w:styleId="10">
    <w:name w:val="font31"/>
    <w:basedOn w:val="6"/>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从化区总工会</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2023-10-19T07:18:00Z</dcterms:created>
  <dc:creator>孙娇</dc:creator>
  <cp:lastModifiedBy>孙娇</cp:lastModifiedBy>
  <dcterms:modified xsi:type="dcterms:W3CDTF">2023-10-19T09:09:45Z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