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640" w:lineRule="exac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附件1</w:t>
      </w:r>
    </w:p>
    <w:p>
      <w:pPr>
        <w:snapToGrid w:val="0"/>
        <w:spacing w:beforeLines="0" w:afterLines="0" w:line="760" w:lineRule="exact"/>
        <w:jc w:val="center"/>
        <w:rPr>
          <w:rFonts w:hint="default" w:ascii="Times New Roman" w:hAnsi="Times New Roman" w:eastAsia="方正小标宋简体" w:cs="Times New Roman"/>
          <w:bCs/>
          <w:sz w:val="44"/>
          <w:szCs w:val="44"/>
        </w:rPr>
      </w:pPr>
      <w:bookmarkStart w:id="0" w:name="_GoBack"/>
      <w:r>
        <w:rPr>
          <w:rFonts w:hint="default" w:ascii="Times New Roman" w:eastAsia="方正小标宋简体"/>
          <w:bCs/>
          <w:sz w:val="44"/>
          <w:szCs w:val="44"/>
        </w:rPr>
        <w:t>从化区工程建设项目审批制度改革试点工作任务分解表</w:t>
      </w:r>
    </w:p>
    <w:bookmarkEnd w:id="0"/>
    <w:p>
      <w:pPr>
        <w:snapToGrid w:val="0"/>
        <w:spacing w:beforeLines="0" w:afterLines="0" w:line="240" w:lineRule="exact"/>
        <w:jc w:val="center"/>
        <w:rPr>
          <w:rFonts w:hint="default" w:ascii="Times New Roman" w:eastAsia="方正小标宋简体"/>
          <w:bCs/>
          <w:sz w:val="44"/>
          <w:szCs w:val="44"/>
        </w:rPr>
      </w:pPr>
    </w:p>
    <w:tbl>
      <w:tblPr>
        <w:tblStyle w:val="5"/>
        <w:tblW w:w="21572" w:type="dxa"/>
        <w:jc w:val="center"/>
        <w:tblInd w:w="-537" w:type="dxa"/>
        <w:tblLayout w:type="fixed"/>
        <w:tblCellMar>
          <w:top w:w="0" w:type="dxa"/>
          <w:left w:w="108" w:type="dxa"/>
          <w:bottom w:w="0" w:type="dxa"/>
          <w:right w:w="108" w:type="dxa"/>
        </w:tblCellMar>
      </w:tblPr>
      <w:tblGrid>
        <w:gridCol w:w="921"/>
        <w:gridCol w:w="2151"/>
        <w:gridCol w:w="11936"/>
        <w:gridCol w:w="1605"/>
        <w:gridCol w:w="2571"/>
        <w:gridCol w:w="1441"/>
        <w:gridCol w:w="947"/>
      </w:tblGrid>
      <w:tr>
        <w:tblPrEx>
          <w:tblLayout w:type="fixed"/>
          <w:tblCellMar>
            <w:top w:w="0" w:type="dxa"/>
            <w:left w:w="108" w:type="dxa"/>
            <w:bottom w:w="0" w:type="dxa"/>
            <w:right w:w="108" w:type="dxa"/>
          </w:tblCellMar>
        </w:tblPrEx>
        <w:trPr>
          <w:cantSplit/>
          <w:trHeight w:val="23" w:hRule="atLeast"/>
          <w:tblHeader/>
          <w:jc w:val="center"/>
        </w:trPr>
        <w:tc>
          <w:tcPr>
            <w:tcW w:w="921" w:type="dxa"/>
            <w:tcBorders>
              <w:top w:val="single" w:color="auto" w:sz="4" w:space="0"/>
              <w:left w:val="single" w:color="auto" w:sz="4" w:space="0"/>
              <w:bottom w:val="single" w:color="auto" w:sz="4" w:space="0"/>
              <w:right w:val="single" w:color="auto" w:sz="4" w:space="0"/>
            </w:tcBorders>
            <w:vAlign w:val="center"/>
          </w:tcPr>
          <w:p>
            <w:pPr>
              <w:spacing w:beforeLines="0" w:afterLines="0" w:line="300" w:lineRule="exact"/>
              <w:jc w:val="center"/>
              <w:rPr>
                <w:rFonts w:ascii="Times New Roman" w:hAnsi="Times New Roman" w:eastAsia="黑体" w:cs="Times New Roman"/>
                <w:b w:val="0"/>
                <w:color w:val="auto"/>
                <w:sz w:val="24"/>
                <w:szCs w:val="24"/>
              </w:rPr>
            </w:pPr>
            <w:r>
              <w:rPr>
                <w:rFonts w:hint="default" w:ascii="Times New Roman" w:hAnsi="Times New Roman" w:eastAsia="黑体"/>
                <w:b w:val="0"/>
                <w:color w:val="auto"/>
                <w:sz w:val="24"/>
                <w:szCs w:val="24"/>
              </w:rPr>
              <w:t>序号</w:t>
            </w:r>
          </w:p>
        </w:tc>
        <w:tc>
          <w:tcPr>
            <w:tcW w:w="2151" w:type="dxa"/>
            <w:tcBorders>
              <w:top w:val="single" w:color="auto" w:sz="4" w:space="0"/>
              <w:left w:val="nil"/>
              <w:bottom w:val="single" w:color="auto" w:sz="4" w:space="0"/>
              <w:right w:val="single" w:color="auto" w:sz="4" w:space="0"/>
            </w:tcBorders>
            <w:vAlign w:val="center"/>
          </w:tcPr>
          <w:p>
            <w:pPr>
              <w:spacing w:beforeLines="0" w:afterLines="0" w:line="300" w:lineRule="exact"/>
              <w:jc w:val="center"/>
              <w:rPr>
                <w:rFonts w:ascii="Times New Roman" w:hAnsi="Times New Roman" w:eastAsia="黑体" w:cs="Times New Roman"/>
                <w:b w:val="0"/>
                <w:color w:val="auto"/>
                <w:sz w:val="24"/>
                <w:szCs w:val="24"/>
              </w:rPr>
            </w:pPr>
            <w:r>
              <w:rPr>
                <w:rFonts w:hint="default" w:ascii="Times New Roman" w:hAnsi="Times New Roman" w:eastAsia="黑体"/>
                <w:b w:val="0"/>
                <w:color w:val="auto"/>
                <w:sz w:val="24"/>
                <w:szCs w:val="24"/>
              </w:rPr>
              <w:t>工作任务</w:t>
            </w:r>
          </w:p>
        </w:tc>
        <w:tc>
          <w:tcPr>
            <w:tcW w:w="11936" w:type="dxa"/>
            <w:tcBorders>
              <w:top w:val="single" w:color="auto" w:sz="4" w:space="0"/>
              <w:left w:val="nil"/>
              <w:bottom w:val="single" w:color="auto" w:sz="4" w:space="0"/>
              <w:right w:val="single" w:color="auto" w:sz="4" w:space="0"/>
            </w:tcBorders>
            <w:vAlign w:val="center"/>
          </w:tcPr>
          <w:p>
            <w:pPr>
              <w:spacing w:beforeLines="0" w:afterLines="0" w:line="300" w:lineRule="exact"/>
              <w:jc w:val="center"/>
              <w:rPr>
                <w:rFonts w:ascii="Times New Roman" w:hAnsi="Times New Roman" w:eastAsia="黑体" w:cs="Times New Roman"/>
                <w:b w:val="0"/>
                <w:color w:val="auto"/>
                <w:sz w:val="24"/>
                <w:szCs w:val="24"/>
              </w:rPr>
            </w:pPr>
            <w:r>
              <w:rPr>
                <w:rFonts w:hint="default" w:ascii="Times New Roman" w:hAnsi="Times New Roman" w:eastAsia="黑体"/>
                <w:b w:val="0"/>
                <w:color w:val="auto"/>
                <w:sz w:val="24"/>
                <w:szCs w:val="24"/>
              </w:rPr>
              <w:t>具体内容</w:t>
            </w:r>
          </w:p>
        </w:tc>
        <w:tc>
          <w:tcPr>
            <w:tcW w:w="1605" w:type="dxa"/>
            <w:tcBorders>
              <w:top w:val="single" w:color="auto" w:sz="4" w:space="0"/>
              <w:left w:val="nil"/>
              <w:bottom w:val="single" w:color="auto" w:sz="4" w:space="0"/>
              <w:right w:val="single" w:color="auto" w:sz="4" w:space="0"/>
            </w:tcBorders>
            <w:vAlign w:val="center"/>
          </w:tcPr>
          <w:p>
            <w:pPr>
              <w:spacing w:beforeLines="0" w:afterLines="0" w:line="300" w:lineRule="exact"/>
              <w:jc w:val="center"/>
              <w:rPr>
                <w:rFonts w:ascii="Times New Roman" w:hAnsi="Times New Roman" w:eastAsia="黑体" w:cs="Times New Roman"/>
                <w:b w:val="0"/>
                <w:color w:val="auto"/>
                <w:sz w:val="24"/>
                <w:szCs w:val="24"/>
              </w:rPr>
            </w:pPr>
            <w:r>
              <w:rPr>
                <w:rFonts w:hint="default" w:ascii="Times New Roman" w:hAnsi="Times New Roman" w:eastAsia="黑体"/>
                <w:b w:val="0"/>
                <w:color w:val="auto"/>
                <w:sz w:val="24"/>
                <w:szCs w:val="24"/>
              </w:rPr>
              <w:t>牵头部门</w:t>
            </w:r>
          </w:p>
        </w:tc>
        <w:tc>
          <w:tcPr>
            <w:tcW w:w="2571" w:type="dxa"/>
            <w:tcBorders>
              <w:top w:val="single" w:color="auto" w:sz="4" w:space="0"/>
              <w:left w:val="nil"/>
              <w:bottom w:val="single" w:color="auto" w:sz="4" w:space="0"/>
              <w:right w:val="single" w:color="auto" w:sz="4" w:space="0"/>
            </w:tcBorders>
            <w:vAlign w:val="center"/>
          </w:tcPr>
          <w:p>
            <w:pPr>
              <w:spacing w:beforeLines="0" w:afterLines="0" w:line="300" w:lineRule="exact"/>
              <w:jc w:val="center"/>
              <w:rPr>
                <w:rFonts w:ascii="Times New Roman" w:hAnsi="Times New Roman" w:eastAsia="黑体" w:cs="Times New Roman"/>
                <w:b w:val="0"/>
                <w:color w:val="auto"/>
                <w:sz w:val="24"/>
                <w:szCs w:val="24"/>
              </w:rPr>
            </w:pPr>
            <w:r>
              <w:rPr>
                <w:rFonts w:hint="default" w:ascii="Times New Roman" w:hAnsi="Times New Roman" w:eastAsia="黑体"/>
                <w:b w:val="0"/>
                <w:color w:val="auto"/>
                <w:sz w:val="24"/>
                <w:szCs w:val="24"/>
              </w:rPr>
              <w:t>配合部门</w:t>
            </w:r>
          </w:p>
        </w:tc>
        <w:tc>
          <w:tcPr>
            <w:tcW w:w="1441" w:type="dxa"/>
            <w:tcBorders>
              <w:top w:val="single" w:color="auto" w:sz="4" w:space="0"/>
              <w:left w:val="nil"/>
              <w:bottom w:val="single" w:color="auto" w:sz="4" w:space="0"/>
              <w:right w:val="single" w:color="auto" w:sz="4" w:space="0"/>
            </w:tcBorders>
            <w:vAlign w:val="center"/>
          </w:tcPr>
          <w:p>
            <w:pPr>
              <w:spacing w:beforeLines="0" w:afterLines="0" w:line="300" w:lineRule="exact"/>
              <w:jc w:val="center"/>
              <w:rPr>
                <w:rFonts w:ascii="Times New Roman" w:hAnsi="Times New Roman" w:eastAsia="黑体" w:cs="Times New Roman"/>
                <w:b w:val="0"/>
                <w:color w:val="auto"/>
                <w:sz w:val="24"/>
                <w:szCs w:val="24"/>
              </w:rPr>
            </w:pPr>
            <w:r>
              <w:rPr>
                <w:rFonts w:hint="default" w:ascii="Times New Roman" w:hAnsi="Times New Roman" w:eastAsia="黑体"/>
                <w:b w:val="0"/>
                <w:color w:val="auto"/>
                <w:sz w:val="24"/>
                <w:szCs w:val="24"/>
              </w:rPr>
              <w:t>完成时限</w:t>
            </w:r>
          </w:p>
        </w:tc>
        <w:tc>
          <w:tcPr>
            <w:tcW w:w="947" w:type="dxa"/>
            <w:tcBorders>
              <w:top w:val="single" w:color="auto" w:sz="4" w:space="0"/>
              <w:left w:val="nil"/>
              <w:bottom w:val="single" w:color="auto" w:sz="4" w:space="0"/>
              <w:right w:val="single" w:color="auto" w:sz="4" w:space="0"/>
            </w:tcBorders>
            <w:vAlign w:val="center"/>
          </w:tcPr>
          <w:p>
            <w:pPr>
              <w:spacing w:beforeLines="0" w:afterLines="0" w:line="300" w:lineRule="exact"/>
              <w:jc w:val="center"/>
              <w:rPr>
                <w:rFonts w:ascii="Times New Roman" w:hAnsi="Times New Roman" w:eastAsia="黑体" w:cs="Times New Roman"/>
                <w:b w:val="0"/>
                <w:color w:val="auto"/>
                <w:sz w:val="24"/>
                <w:szCs w:val="24"/>
              </w:rPr>
            </w:pPr>
            <w:r>
              <w:rPr>
                <w:rFonts w:hint="default" w:ascii="Times New Roman" w:hAnsi="Times New Roman" w:eastAsia="黑体"/>
                <w:b w:val="0"/>
                <w:color w:val="auto"/>
                <w:sz w:val="24"/>
                <w:szCs w:val="24"/>
              </w:rPr>
              <w:t>备注</w:t>
            </w:r>
          </w:p>
        </w:tc>
      </w:tr>
      <w:tr>
        <w:tblPrEx>
          <w:tblLayout w:type="fixed"/>
          <w:tblCellMar>
            <w:top w:w="0" w:type="dxa"/>
            <w:left w:w="108" w:type="dxa"/>
            <w:bottom w:w="0" w:type="dxa"/>
            <w:right w:w="108" w:type="dxa"/>
          </w:tblCellMar>
        </w:tblPrEx>
        <w:trPr>
          <w:trHeight w:val="23" w:hRule="atLeast"/>
          <w:jc w:val="center"/>
        </w:trPr>
        <w:tc>
          <w:tcPr>
            <w:tcW w:w="21572" w:type="dxa"/>
            <w:gridSpan w:val="7"/>
            <w:tcBorders>
              <w:top w:val="single" w:color="auto" w:sz="4" w:space="0"/>
              <w:left w:val="single" w:color="auto" w:sz="4" w:space="0"/>
              <w:bottom w:val="single" w:color="auto" w:sz="4" w:space="0"/>
              <w:right w:val="single" w:color="000000" w:sz="4" w:space="0"/>
            </w:tcBorders>
            <w:vAlign w:val="center"/>
          </w:tcPr>
          <w:p>
            <w:pPr>
              <w:spacing w:beforeLines="0" w:afterLines="0" w:line="300" w:lineRule="exact"/>
              <w:rPr>
                <w:rFonts w:hint="default" w:ascii="Times New Roman" w:hAnsi="Times New Roman" w:eastAsia="黑体" w:cs="Times New Roman"/>
                <w:bCs/>
                <w:color w:val="auto"/>
                <w:sz w:val="24"/>
                <w:szCs w:val="24"/>
              </w:rPr>
            </w:pPr>
            <w:r>
              <w:rPr>
                <w:rFonts w:hint="default" w:ascii="Times New Roman" w:hAnsi="Times New Roman" w:eastAsia="黑体"/>
                <w:bCs/>
                <w:color w:val="auto"/>
                <w:sz w:val="24"/>
                <w:szCs w:val="24"/>
              </w:rPr>
              <w:t>所有建设项目</w:t>
            </w:r>
          </w:p>
        </w:tc>
      </w:tr>
      <w:tr>
        <w:tblPrEx>
          <w:tblLayout w:type="fixed"/>
          <w:tblCellMar>
            <w:top w:w="0" w:type="dxa"/>
            <w:left w:w="108" w:type="dxa"/>
            <w:bottom w:w="0" w:type="dxa"/>
            <w:right w:w="108" w:type="dxa"/>
          </w:tblCellMar>
        </w:tblPrEx>
        <w:trPr>
          <w:trHeight w:val="23" w:hRule="atLeast"/>
          <w:jc w:val="center"/>
        </w:trPr>
        <w:tc>
          <w:tcPr>
            <w:tcW w:w="921" w:type="dxa"/>
            <w:tcBorders>
              <w:top w:val="nil"/>
              <w:left w:val="single" w:color="auto" w:sz="4" w:space="0"/>
              <w:bottom w:val="single" w:color="auto" w:sz="4" w:space="0"/>
              <w:right w:val="single" w:color="auto" w:sz="4" w:space="0"/>
            </w:tcBorders>
            <w:vAlign w:val="center"/>
          </w:tcPr>
          <w:p>
            <w:pPr>
              <w:spacing w:beforeLines="0" w:afterLines="0" w:line="310" w:lineRule="exact"/>
              <w:jc w:val="center"/>
              <w:rPr>
                <w:rFonts w:hint="default" w:ascii="Times New Roman" w:hAnsi="Times New Roman" w:eastAsia="仿宋_GB2312" w:cs="Times New Roman"/>
                <w:bCs/>
                <w:color w:val="auto"/>
                <w:sz w:val="24"/>
                <w:szCs w:val="24"/>
              </w:rPr>
            </w:pPr>
            <w:r>
              <w:rPr>
                <w:rFonts w:hint="default" w:ascii="Times New Roman" w:hAnsi="Times New Roman" w:eastAsia="仿宋_GB2312" w:cs="Times New Roman"/>
                <w:bCs/>
                <w:color w:val="auto"/>
                <w:sz w:val="24"/>
                <w:szCs w:val="24"/>
              </w:rPr>
              <w:t>1</w:t>
            </w:r>
          </w:p>
        </w:tc>
        <w:tc>
          <w:tcPr>
            <w:tcW w:w="2151" w:type="dxa"/>
            <w:tcBorders>
              <w:top w:val="nil"/>
              <w:left w:val="nil"/>
              <w:bottom w:val="single" w:color="auto" w:sz="4" w:space="0"/>
              <w:right w:val="single" w:color="auto" w:sz="4" w:space="0"/>
            </w:tcBorders>
            <w:vAlign w:val="center"/>
          </w:tcPr>
          <w:p>
            <w:pPr>
              <w:spacing w:beforeLines="0" w:afterLines="0" w:line="310" w:lineRule="exact"/>
              <w:jc w:val="left"/>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制定并实施区域评估实施细则</w:t>
            </w:r>
          </w:p>
        </w:tc>
        <w:tc>
          <w:tcPr>
            <w:tcW w:w="11936" w:type="dxa"/>
            <w:tcBorders>
              <w:top w:val="nil"/>
              <w:left w:val="nil"/>
              <w:bottom w:val="single" w:color="auto" w:sz="4" w:space="0"/>
              <w:right w:val="single" w:color="auto" w:sz="4" w:space="0"/>
            </w:tcBorders>
            <w:vAlign w:val="center"/>
          </w:tcPr>
          <w:p>
            <w:pPr>
              <w:spacing w:beforeLines="0" w:afterLines="0" w:line="310" w:lineRule="exact"/>
              <w:jc w:val="left"/>
              <w:rPr>
                <w:rFonts w:hint="default" w:ascii="Times New Roman" w:hAnsi="Times New Roman" w:eastAsia="仿宋_GB2312" w:cs="Times New Roman"/>
                <w:color w:val="auto"/>
                <w:sz w:val="24"/>
                <w:szCs w:val="24"/>
              </w:rPr>
            </w:pPr>
            <w:r>
              <w:rPr>
                <w:rFonts w:hint="default" w:ascii="Times New Roman" w:eastAsia="仿宋_GB2312" w:cs="Times New Roman"/>
                <w:bCs/>
                <w:color w:val="auto"/>
                <w:sz w:val="24"/>
                <w:szCs w:val="24"/>
                <w:lang w:bidi="ar"/>
              </w:rPr>
              <w:t>制定并实施区域评估实施细则。</w:t>
            </w:r>
            <w:r>
              <w:rPr>
                <w:rFonts w:hint="default" w:ascii="Times New Roman" w:eastAsia="仿宋_GB2312" w:cs="Times New Roman"/>
                <w:color w:val="auto"/>
                <w:sz w:val="24"/>
                <w:szCs w:val="24"/>
                <w:lang w:bidi="ar"/>
              </w:rPr>
              <w:t>制定并实施区域评估实施细则，明确实施区域评估的主体、内容、方式、加强事中事后监管的具体措施等。在特定区域（开发区、功能园区等）实行区域评估制度，由园区管委会或各行业主管部门在控制性详细规划的指引下，在规划区域内开展区域环境影响、水土保持、地质灾害、文物考古调查、地震安全性等评价评估工作，评估评价的结论由园区管委会或各行业主管部门向特定区域内的建设主体通告，对已实施区域评估的工程建设项目，相应的审批事项实行告知承诺制。</w:t>
            </w:r>
          </w:p>
        </w:tc>
        <w:tc>
          <w:tcPr>
            <w:tcW w:w="1605" w:type="dxa"/>
            <w:tcBorders>
              <w:top w:val="nil"/>
              <w:left w:val="nil"/>
              <w:bottom w:val="single" w:color="auto" w:sz="4" w:space="0"/>
              <w:right w:val="single" w:color="auto" w:sz="4" w:space="0"/>
            </w:tcBorders>
            <w:vAlign w:val="center"/>
          </w:tcPr>
          <w:p>
            <w:pPr>
              <w:spacing w:beforeLines="0" w:afterLines="0" w:line="30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区国规局、</w:t>
            </w:r>
            <w:r>
              <w:rPr>
                <w:rFonts w:hint="default" w:ascii="Times New Roman" w:hAnsi="Times New Roman" w:eastAsia="仿宋_GB2312" w:cs="Times New Roman"/>
                <w:color w:val="auto"/>
                <w:sz w:val="24"/>
                <w:szCs w:val="24"/>
                <w:lang w:val="zh-CN" w:bidi="ar"/>
              </w:rPr>
              <w:t>园区管委会</w:t>
            </w:r>
          </w:p>
        </w:tc>
        <w:tc>
          <w:tcPr>
            <w:tcW w:w="2571" w:type="dxa"/>
            <w:tcBorders>
              <w:top w:val="nil"/>
              <w:left w:val="nil"/>
              <w:bottom w:val="single" w:color="auto" w:sz="4" w:space="0"/>
              <w:right w:val="single" w:color="auto" w:sz="4" w:space="0"/>
            </w:tcBorders>
            <w:vAlign w:val="center"/>
          </w:tcPr>
          <w:p>
            <w:pPr>
              <w:spacing w:beforeLines="0" w:afterLines="0" w:line="300" w:lineRule="exact"/>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pacing w:val="-20"/>
                <w:sz w:val="24"/>
                <w:szCs w:val="24"/>
              </w:rPr>
              <w:t>区环保局、区水务局、</w:t>
            </w:r>
            <w:r>
              <w:rPr>
                <w:rFonts w:hint="default" w:ascii="Times New Roman" w:hAnsi="Times New Roman" w:eastAsia="仿宋_GB2312" w:cs="Times New Roman"/>
                <w:color w:val="auto"/>
                <w:sz w:val="24"/>
                <w:szCs w:val="24"/>
              </w:rPr>
              <w:t>区文广新局</w:t>
            </w:r>
          </w:p>
        </w:tc>
        <w:tc>
          <w:tcPr>
            <w:tcW w:w="1441" w:type="dxa"/>
            <w:tcBorders>
              <w:top w:val="nil"/>
              <w:left w:val="nil"/>
              <w:bottom w:val="single" w:color="auto" w:sz="4" w:space="0"/>
              <w:right w:val="single" w:color="auto" w:sz="4" w:space="0"/>
            </w:tcBorders>
            <w:vAlign w:val="center"/>
          </w:tcPr>
          <w:p>
            <w:pPr>
              <w:spacing w:beforeLines="0" w:afterLines="0" w:line="300" w:lineRule="exact"/>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2018-10-15</w:t>
            </w:r>
          </w:p>
        </w:tc>
        <w:tc>
          <w:tcPr>
            <w:tcW w:w="947" w:type="dxa"/>
            <w:tcBorders>
              <w:top w:val="nil"/>
              <w:left w:val="nil"/>
              <w:bottom w:val="single" w:color="auto" w:sz="4" w:space="0"/>
              <w:right w:val="single" w:color="auto" w:sz="4" w:space="0"/>
            </w:tcBorders>
            <w:vAlign w:val="center"/>
          </w:tcPr>
          <w:p>
            <w:pPr>
              <w:spacing w:beforeLines="0" w:afterLines="0" w:line="300" w:lineRule="exact"/>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　</w:t>
            </w:r>
          </w:p>
        </w:tc>
      </w:tr>
      <w:tr>
        <w:tblPrEx>
          <w:tblLayout w:type="fixed"/>
          <w:tblCellMar>
            <w:top w:w="0" w:type="dxa"/>
            <w:left w:w="108" w:type="dxa"/>
            <w:bottom w:w="0" w:type="dxa"/>
            <w:right w:w="108" w:type="dxa"/>
          </w:tblCellMar>
        </w:tblPrEx>
        <w:trPr>
          <w:trHeight w:val="23" w:hRule="atLeast"/>
          <w:jc w:val="center"/>
        </w:trPr>
        <w:tc>
          <w:tcPr>
            <w:tcW w:w="921" w:type="dxa"/>
            <w:tcBorders>
              <w:top w:val="nil"/>
              <w:left w:val="single" w:color="auto" w:sz="4" w:space="0"/>
              <w:bottom w:val="single" w:color="auto" w:sz="4" w:space="0"/>
              <w:right w:val="single" w:color="auto" w:sz="4" w:space="0"/>
            </w:tcBorders>
            <w:vAlign w:val="center"/>
          </w:tcPr>
          <w:p>
            <w:pPr>
              <w:spacing w:beforeLines="0" w:afterLines="0" w:line="310" w:lineRule="exact"/>
              <w:jc w:val="center"/>
              <w:rPr>
                <w:rFonts w:hint="default" w:ascii="Times New Roman" w:hAnsi="Times New Roman" w:eastAsia="仿宋_GB2312" w:cs="Times New Roman"/>
                <w:bCs/>
                <w:color w:val="auto"/>
                <w:sz w:val="24"/>
                <w:szCs w:val="24"/>
              </w:rPr>
            </w:pPr>
            <w:r>
              <w:rPr>
                <w:rFonts w:hint="default" w:ascii="Times New Roman" w:hAnsi="Times New Roman" w:eastAsia="仿宋_GB2312" w:cs="Times New Roman"/>
                <w:bCs/>
                <w:color w:val="auto"/>
                <w:sz w:val="24"/>
                <w:szCs w:val="24"/>
              </w:rPr>
              <w:t>2</w:t>
            </w:r>
          </w:p>
        </w:tc>
        <w:tc>
          <w:tcPr>
            <w:tcW w:w="2151" w:type="dxa"/>
            <w:tcBorders>
              <w:top w:val="nil"/>
              <w:left w:val="nil"/>
              <w:bottom w:val="single" w:color="auto" w:sz="4" w:space="0"/>
              <w:right w:val="single" w:color="auto" w:sz="4" w:space="0"/>
            </w:tcBorders>
            <w:vAlign w:val="center"/>
          </w:tcPr>
          <w:p>
            <w:pPr>
              <w:spacing w:beforeLines="0" w:afterLines="0" w:line="310" w:lineRule="exact"/>
              <w:jc w:val="left"/>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制定并实施施工图设计文件联合审查的工作指引</w:t>
            </w:r>
          </w:p>
        </w:tc>
        <w:tc>
          <w:tcPr>
            <w:tcW w:w="11936" w:type="dxa"/>
            <w:tcBorders>
              <w:top w:val="nil"/>
              <w:left w:val="nil"/>
              <w:bottom w:val="single" w:color="auto" w:sz="4" w:space="0"/>
              <w:right w:val="single" w:color="auto" w:sz="4" w:space="0"/>
            </w:tcBorders>
            <w:vAlign w:val="center"/>
          </w:tcPr>
          <w:p>
            <w:pPr>
              <w:spacing w:beforeLines="0" w:afterLines="0" w:line="310" w:lineRule="exact"/>
              <w:jc w:val="left"/>
              <w:rPr>
                <w:rFonts w:hint="default" w:ascii="Times New Roman" w:hAnsi="Times New Roman" w:eastAsia="仿宋_GB2312" w:cs="Times New Roman"/>
                <w:color w:val="auto"/>
                <w:spacing w:val="-10"/>
                <w:sz w:val="24"/>
                <w:szCs w:val="24"/>
              </w:rPr>
            </w:pPr>
            <w:r>
              <w:rPr>
                <w:rFonts w:hint="default" w:ascii="Times New Roman" w:hAnsi="Times New Roman" w:eastAsia="仿宋_GB2312" w:cs="Times New Roman"/>
                <w:color w:val="auto"/>
                <w:sz w:val="24"/>
                <w:szCs w:val="24"/>
                <w:lang w:bidi="ar"/>
              </w:rPr>
              <w:t>建立联合审图机制。将消防、人防等技术审查并入施工图设计文件审查，条件成熟时推行以政府购买服务方式开展施工图设计文件审查。相关行政监管部门按照其法定职责，制定施工图技术审查专业管理标准，并对施工图审查机构进行监督指导。</w:t>
            </w:r>
          </w:p>
        </w:tc>
        <w:tc>
          <w:tcPr>
            <w:tcW w:w="1605" w:type="dxa"/>
            <w:tcBorders>
              <w:top w:val="nil"/>
              <w:left w:val="nil"/>
              <w:bottom w:val="single" w:color="auto" w:sz="4" w:space="0"/>
              <w:right w:val="single" w:color="auto" w:sz="4" w:space="0"/>
            </w:tcBorders>
            <w:vAlign w:val="center"/>
          </w:tcPr>
          <w:p>
            <w:pPr>
              <w:spacing w:beforeLines="0" w:afterLines="0" w:line="30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区住建局</w:t>
            </w:r>
          </w:p>
        </w:tc>
        <w:tc>
          <w:tcPr>
            <w:tcW w:w="2571" w:type="dxa"/>
            <w:tcBorders>
              <w:top w:val="nil"/>
              <w:left w:val="nil"/>
              <w:bottom w:val="single" w:color="auto" w:sz="4" w:space="0"/>
              <w:right w:val="single" w:color="auto" w:sz="4" w:space="0"/>
            </w:tcBorders>
            <w:vAlign w:val="center"/>
          </w:tcPr>
          <w:p>
            <w:pPr>
              <w:spacing w:beforeLines="0" w:afterLines="0" w:line="300" w:lineRule="exact"/>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pacing w:val="-20"/>
                <w:sz w:val="24"/>
                <w:szCs w:val="24"/>
              </w:rPr>
              <w:t>区发改局、区财政局、</w:t>
            </w:r>
            <w:r>
              <w:rPr>
                <w:rFonts w:hint="default" w:ascii="Times New Roman" w:hAnsi="Times New Roman" w:eastAsia="仿宋_GB2312" w:cs="Times New Roman"/>
                <w:color w:val="auto"/>
                <w:sz w:val="24"/>
                <w:szCs w:val="24"/>
              </w:rPr>
              <w:t>区公安局消防大队、区民防办、区国规局</w:t>
            </w:r>
          </w:p>
        </w:tc>
        <w:tc>
          <w:tcPr>
            <w:tcW w:w="1441" w:type="dxa"/>
            <w:tcBorders>
              <w:top w:val="nil"/>
              <w:left w:val="nil"/>
              <w:bottom w:val="single" w:color="auto" w:sz="4" w:space="0"/>
              <w:right w:val="single" w:color="auto" w:sz="4" w:space="0"/>
            </w:tcBorders>
            <w:vAlign w:val="center"/>
          </w:tcPr>
          <w:p>
            <w:pPr>
              <w:spacing w:beforeLines="0" w:afterLines="0" w:line="300" w:lineRule="exact"/>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2018-10-15</w:t>
            </w:r>
          </w:p>
        </w:tc>
        <w:tc>
          <w:tcPr>
            <w:tcW w:w="947" w:type="dxa"/>
            <w:tcBorders>
              <w:top w:val="nil"/>
              <w:left w:val="nil"/>
              <w:bottom w:val="single" w:color="auto" w:sz="4" w:space="0"/>
              <w:right w:val="single" w:color="auto" w:sz="4" w:space="0"/>
            </w:tcBorders>
            <w:vAlign w:val="center"/>
          </w:tcPr>
          <w:p>
            <w:pPr>
              <w:spacing w:beforeLines="0" w:afterLines="0" w:line="300" w:lineRule="exact"/>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　</w:t>
            </w:r>
          </w:p>
        </w:tc>
      </w:tr>
      <w:tr>
        <w:tblPrEx>
          <w:tblLayout w:type="fixed"/>
          <w:tblCellMar>
            <w:top w:w="0" w:type="dxa"/>
            <w:left w:w="108" w:type="dxa"/>
            <w:bottom w:w="0" w:type="dxa"/>
            <w:right w:w="108" w:type="dxa"/>
          </w:tblCellMar>
        </w:tblPrEx>
        <w:trPr>
          <w:trHeight w:val="23" w:hRule="atLeast"/>
          <w:jc w:val="center"/>
        </w:trPr>
        <w:tc>
          <w:tcPr>
            <w:tcW w:w="921" w:type="dxa"/>
            <w:tcBorders>
              <w:top w:val="single" w:color="auto" w:sz="4" w:space="0"/>
              <w:left w:val="single" w:color="auto" w:sz="4" w:space="0"/>
              <w:bottom w:val="single" w:color="auto" w:sz="4" w:space="0"/>
              <w:right w:val="single" w:color="auto" w:sz="4" w:space="0"/>
            </w:tcBorders>
            <w:vAlign w:val="center"/>
          </w:tcPr>
          <w:p>
            <w:pPr>
              <w:spacing w:beforeLines="0" w:afterLines="0" w:line="310" w:lineRule="exact"/>
              <w:jc w:val="center"/>
              <w:rPr>
                <w:rFonts w:hint="default" w:ascii="Times New Roman" w:hAnsi="Times New Roman" w:eastAsia="仿宋_GB2312" w:cs="Times New Roman"/>
                <w:bCs/>
                <w:color w:val="auto"/>
                <w:sz w:val="24"/>
                <w:szCs w:val="24"/>
              </w:rPr>
            </w:pPr>
            <w:r>
              <w:rPr>
                <w:rFonts w:hint="default" w:ascii="Times New Roman" w:hAnsi="Times New Roman" w:eastAsia="仿宋_GB2312" w:cs="Times New Roman"/>
                <w:bCs/>
                <w:color w:val="auto"/>
                <w:sz w:val="24"/>
                <w:szCs w:val="24"/>
              </w:rPr>
              <w:t>3</w:t>
            </w:r>
          </w:p>
        </w:tc>
        <w:tc>
          <w:tcPr>
            <w:tcW w:w="2151" w:type="dxa"/>
            <w:tcBorders>
              <w:top w:val="single" w:color="auto" w:sz="4" w:space="0"/>
              <w:left w:val="nil"/>
              <w:bottom w:val="single" w:color="auto" w:sz="4" w:space="0"/>
              <w:right w:val="single" w:color="auto" w:sz="4" w:space="0"/>
            </w:tcBorders>
            <w:vAlign w:val="center"/>
          </w:tcPr>
          <w:p>
            <w:pPr>
              <w:spacing w:beforeLines="0" w:afterLines="0" w:line="310" w:lineRule="exact"/>
              <w:jc w:val="center"/>
              <w:rPr>
                <w:rFonts w:hint="default" w:ascii="Times New Roman" w:hAnsi="Times New Roman" w:eastAsia="仿宋_GB2312" w:cs="Times New Roman"/>
                <w:bCs/>
                <w:color w:val="auto"/>
                <w:sz w:val="24"/>
                <w:szCs w:val="24"/>
              </w:rPr>
            </w:pPr>
            <w:r>
              <w:rPr>
                <w:rFonts w:hint="default" w:ascii="Times New Roman" w:hAnsi="Times New Roman" w:eastAsia="仿宋_GB2312" w:cs="Times New Roman"/>
                <w:bCs/>
                <w:color w:val="auto"/>
                <w:sz w:val="24"/>
                <w:szCs w:val="24"/>
              </w:rPr>
              <w:t>制定简化施工许可指引</w:t>
            </w:r>
          </w:p>
        </w:tc>
        <w:tc>
          <w:tcPr>
            <w:tcW w:w="11936" w:type="dxa"/>
            <w:tcBorders>
              <w:top w:val="single" w:color="auto" w:sz="4" w:space="0"/>
              <w:left w:val="nil"/>
              <w:bottom w:val="single" w:color="auto" w:sz="4" w:space="0"/>
              <w:right w:val="single" w:color="auto" w:sz="4" w:space="0"/>
            </w:tcBorders>
            <w:vAlign w:val="center"/>
          </w:tcPr>
          <w:p>
            <w:pPr>
              <w:spacing w:beforeLines="0" w:afterLines="0" w:line="310" w:lineRule="exact"/>
              <w:jc w:val="left"/>
              <w:rPr>
                <w:rFonts w:hint="default" w:ascii="Times New Roman" w:hAnsi="Times New Roman" w:eastAsia="仿宋_GB2312" w:cs="Times New Roman"/>
                <w:bCs/>
                <w:color w:val="auto"/>
                <w:sz w:val="24"/>
                <w:szCs w:val="24"/>
              </w:rPr>
            </w:pPr>
            <w:r>
              <w:rPr>
                <w:rFonts w:hint="default" w:ascii="Times New Roman" w:hAnsi="Times New Roman" w:eastAsia="仿宋_GB2312" w:cs="Times New Roman"/>
                <w:bCs/>
                <w:color w:val="auto"/>
                <w:sz w:val="24"/>
                <w:szCs w:val="24"/>
              </w:rPr>
              <w:t>1.施工许可手续按建设项目类型分类办理，其中维修加固、修缮、道路改造等没有新增用地的改建项目，办理施工许可证,无需提供用地手续，对不增加建筑面积、建筑总高度、建筑层数，不涉及修改外立面、不降低建筑结构安全等级和不变更使用性质的改建项目，同时无需提供规划手续。</w:t>
            </w:r>
            <w:r>
              <w:rPr>
                <w:rFonts w:hint="default" w:ascii="Times New Roman" w:hAnsi="Times New Roman" w:eastAsia="仿宋_GB2312" w:cs="Times New Roman"/>
                <w:bCs/>
                <w:color w:val="auto"/>
                <w:sz w:val="24"/>
                <w:szCs w:val="24"/>
              </w:rPr>
              <w:br w:type="textWrapping"/>
            </w:r>
            <w:r>
              <w:rPr>
                <w:rFonts w:hint="default" w:ascii="Times New Roman" w:hAnsi="Times New Roman" w:eastAsia="仿宋_GB2312" w:cs="Times New Roman"/>
                <w:bCs/>
                <w:color w:val="auto"/>
                <w:sz w:val="24"/>
                <w:szCs w:val="24"/>
              </w:rPr>
              <w:t>2.对政府投资的地下管廊工程，参照铁路、水务工程的建设模式，采用开工报告的模式取代施工许可；</w:t>
            </w:r>
            <w:r>
              <w:rPr>
                <w:rFonts w:hint="default" w:ascii="Times New Roman" w:eastAsia="仿宋_GB2312" w:cs="Times New Roman"/>
                <w:color w:val="auto"/>
                <w:sz w:val="24"/>
                <w:szCs w:val="24"/>
                <w:lang w:bidi="ar"/>
              </w:rPr>
              <w:t>对政府投资的维修加固、修缮等项目，可用房屋产权证明文件和房屋结构安全鉴定报告代替房产证或不动产权证办理施工许可证；</w:t>
            </w:r>
            <w:r>
              <w:rPr>
                <w:rFonts w:hint="default" w:ascii="Times New Roman" w:hAnsi="Times New Roman" w:eastAsia="仿宋_GB2312" w:cs="Times New Roman"/>
                <w:bCs/>
                <w:color w:val="auto"/>
                <w:sz w:val="24"/>
                <w:szCs w:val="24"/>
              </w:rPr>
              <w:t>对涉及新增用地的政府投资类建设项目，在技术方案稳定、符合规划且建设资金落实后，可将用地预审意见作为使用土地证明文件申请办理建设工程规划许可证，可将农转用手续作为用地批准手续办理施工许可证，视具体情况允许分段办理农转用手续，用地批准手续在竣工验收前完成即可。</w:t>
            </w:r>
            <w:r>
              <w:rPr>
                <w:rFonts w:hint="default" w:ascii="Times New Roman" w:hAnsi="Times New Roman" w:eastAsia="仿宋_GB2312" w:cs="Times New Roman"/>
                <w:bCs/>
                <w:color w:val="auto"/>
                <w:sz w:val="24"/>
                <w:szCs w:val="24"/>
              </w:rPr>
              <w:br w:type="textWrapping"/>
            </w:r>
            <w:r>
              <w:rPr>
                <w:rFonts w:hint="default" w:ascii="Times New Roman" w:hAnsi="Times New Roman" w:eastAsia="仿宋_GB2312" w:cs="Times New Roman"/>
                <w:bCs/>
                <w:color w:val="auto"/>
                <w:sz w:val="24"/>
                <w:szCs w:val="24"/>
              </w:rPr>
              <w:t>3.精简前置条件、实施告知承诺。尽量压减不涉及国家安全、社会稳定、工程质量安全的审批申报材料。取消施工合同备案、施工图审查备案、建筑节能设计审查备案、无拖欠工程款情形的承诺书等，用设计单位出具的施工图设计文件稳定承诺说明（须加盖注册建筑师专用章）或施工图技术审查意见先行办理施工许可手续，各项税费、保险、工资账户等资料以建设单位承诺函形式先行办理，加强事中事后监管。</w:t>
            </w:r>
            <w:r>
              <w:rPr>
                <w:rFonts w:hint="default" w:ascii="Times New Roman" w:hAnsi="Times New Roman" w:eastAsia="仿宋_GB2312" w:cs="Times New Roman"/>
                <w:bCs/>
                <w:color w:val="auto"/>
                <w:sz w:val="24"/>
                <w:szCs w:val="24"/>
              </w:rPr>
              <w:br w:type="textWrapping"/>
            </w:r>
            <w:r>
              <w:rPr>
                <w:rFonts w:hint="default" w:ascii="Times New Roman" w:hAnsi="Times New Roman" w:eastAsia="仿宋_GB2312" w:cs="Times New Roman"/>
                <w:bCs/>
                <w:color w:val="auto"/>
                <w:sz w:val="24"/>
                <w:szCs w:val="24"/>
              </w:rPr>
              <w:t>4.合并办理质量安全监督登记与施工许可。为进一步简化审批手续，全面推进信息化管理，将质量安全监督登记手续整合纳入施工许可办理事项中，一次申报，同步审核。</w:t>
            </w:r>
          </w:p>
        </w:tc>
        <w:tc>
          <w:tcPr>
            <w:tcW w:w="1605" w:type="dxa"/>
            <w:tcBorders>
              <w:top w:val="single" w:color="auto" w:sz="4" w:space="0"/>
              <w:left w:val="nil"/>
              <w:bottom w:val="single" w:color="auto" w:sz="4" w:space="0"/>
              <w:right w:val="single" w:color="auto" w:sz="4" w:space="0"/>
            </w:tcBorders>
            <w:vAlign w:val="center"/>
          </w:tcPr>
          <w:p>
            <w:pPr>
              <w:spacing w:beforeLines="0" w:afterLines="0" w:line="300" w:lineRule="exact"/>
              <w:jc w:val="center"/>
              <w:rPr>
                <w:rFonts w:hint="default" w:ascii="Times New Roman" w:hAnsi="Times New Roman" w:eastAsia="仿宋_GB2312" w:cs="Times New Roman"/>
                <w:bCs/>
                <w:color w:val="auto"/>
                <w:sz w:val="24"/>
                <w:szCs w:val="24"/>
              </w:rPr>
            </w:pPr>
            <w:r>
              <w:rPr>
                <w:rFonts w:hint="default" w:ascii="Times New Roman" w:hAnsi="Times New Roman" w:eastAsia="仿宋_GB2312" w:cs="Times New Roman"/>
                <w:bCs/>
                <w:color w:val="auto"/>
                <w:sz w:val="24"/>
                <w:szCs w:val="24"/>
              </w:rPr>
              <w:t>区住建局</w:t>
            </w:r>
          </w:p>
        </w:tc>
        <w:tc>
          <w:tcPr>
            <w:tcW w:w="2571" w:type="dxa"/>
            <w:tcBorders>
              <w:top w:val="single" w:color="auto" w:sz="4" w:space="0"/>
              <w:left w:val="nil"/>
              <w:bottom w:val="single" w:color="auto" w:sz="4" w:space="0"/>
              <w:right w:val="single" w:color="auto" w:sz="4" w:space="0"/>
            </w:tcBorders>
            <w:vAlign w:val="center"/>
          </w:tcPr>
          <w:p>
            <w:pPr>
              <w:spacing w:beforeLines="0" w:afterLines="0" w:line="300" w:lineRule="exact"/>
              <w:rPr>
                <w:rFonts w:hint="default" w:ascii="Times New Roman" w:hAnsi="Times New Roman" w:eastAsia="仿宋_GB2312" w:cs="Times New Roman"/>
                <w:bCs/>
                <w:color w:val="auto"/>
                <w:sz w:val="24"/>
                <w:szCs w:val="24"/>
              </w:rPr>
            </w:pPr>
            <w:r>
              <w:rPr>
                <w:rFonts w:hint="default" w:ascii="Times New Roman" w:hAnsi="Times New Roman" w:eastAsia="仿宋_GB2312" w:cs="Times New Roman"/>
                <w:bCs/>
                <w:color w:val="auto"/>
                <w:sz w:val="24"/>
                <w:szCs w:val="24"/>
              </w:rPr>
              <w:t>区水务局、区交通局、区林业和园林局、区国规局</w:t>
            </w:r>
          </w:p>
        </w:tc>
        <w:tc>
          <w:tcPr>
            <w:tcW w:w="1441" w:type="dxa"/>
            <w:tcBorders>
              <w:top w:val="single" w:color="auto" w:sz="4" w:space="0"/>
              <w:left w:val="nil"/>
              <w:bottom w:val="single" w:color="auto" w:sz="4" w:space="0"/>
              <w:right w:val="single" w:color="auto" w:sz="4" w:space="0"/>
            </w:tcBorders>
            <w:vAlign w:val="center"/>
          </w:tcPr>
          <w:p>
            <w:pPr>
              <w:spacing w:beforeLines="0" w:afterLines="0" w:line="300" w:lineRule="exact"/>
              <w:rPr>
                <w:rFonts w:hint="default" w:ascii="Times New Roman" w:hAnsi="Times New Roman" w:eastAsia="仿宋_GB2312" w:cs="Times New Roman"/>
                <w:bCs/>
                <w:color w:val="auto"/>
                <w:sz w:val="24"/>
                <w:szCs w:val="24"/>
              </w:rPr>
            </w:pPr>
            <w:r>
              <w:rPr>
                <w:rFonts w:hint="default" w:ascii="Times New Roman" w:hAnsi="Times New Roman" w:eastAsia="仿宋_GB2312" w:cs="Times New Roman"/>
                <w:bCs/>
                <w:color w:val="auto"/>
                <w:sz w:val="24"/>
                <w:szCs w:val="24"/>
              </w:rPr>
              <w:t>2018-10-15</w:t>
            </w:r>
          </w:p>
        </w:tc>
        <w:tc>
          <w:tcPr>
            <w:tcW w:w="947" w:type="dxa"/>
            <w:tcBorders>
              <w:top w:val="single" w:color="auto" w:sz="4" w:space="0"/>
              <w:left w:val="nil"/>
              <w:bottom w:val="single" w:color="auto" w:sz="4" w:space="0"/>
              <w:right w:val="single" w:color="auto" w:sz="4" w:space="0"/>
            </w:tcBorders>
            <w:vAlign w:val="center"/>
          </w:tcPr>
          <w:p>
            <w:pPr>
              <w:spacing w:beforeLines="0" w:afterLines="0" w:line="300" w:lineRule="exact"/>
              <w:jc w:val="center"/>
              <w:rPr>
                <w:rFonts w:hint="default" w:ascii="Times New Roman" w:hAnsi="Times New Roman" w:eastAsia="仿宋_GB2312" w:cs="Times New Roman"/>
                <w:bCs/>
                <w:color w:val="auto"/>
                <w:sz w:val="24"/>
                <w:szCs w:val="24"/>
              </w:rPr>
            </w:pPr>
            <w:r>
              <w:rPr>
                <w:rFonts w:hint="default" w:ascii="Times New Roman" w:hAnsi="Times New Roman" w:eastAsia="仿宋_GB2312" w:cs="Times New Roman"/>
                <w:bCs/>
                <w:color w:val="auto"/>
                <w:sz w:val="24"/>
                <w:szCs w:val="24"/>
              </w:rPr>
              <w:t>　</w:t>
            </w:r>
          </w:p>
        </w:tc>
      </w:tr>
      <w:tr>
        <w:tblPrEx>
          <w:tblLayout w:type="fixed"/>
          <w:tblCellMar>
            <w:top w:w="0" w:type="dxa"/>
            <w:left w:w="108" w:type="dxa"/>
            <w:bottom w:w="0" w:type="dxa"/>
            <w:right w:w="108" w:type="dxa"/>
          </w:tblCellMar>
        </w:tblPrEx>
        <w:trPr>
          <w:trHeight w:val="23" w:hRule="atLeast"/>
          <w:jc w:val="center"/>
        </w:trPr>
        <w:tc>
          <w:tcPr>
            <w:tcW w:w="921" w:type="dxa"/>
            <w:vMerge w:val="restart"/>
            <w:tcBorders>
              <w:top w:val="single" w:color="auto" w:sz="4" w:space="0"/>
              <w:left w:val="single" w:color="auto" w:sz="4" w:space="0"/>
              <w:bottom w:val="single" w:color="000000" w:sz="4" w:space="0"/>
              <w:right w:val="single" w:color="auto" w:sz="4" w:space="0"/>
            </w:tcBorders>
            <w:vAlign w:val="center"/>
          </w:tcPr>
          <w:p>
            <w:pPr>
              <w:spacing w:beforeLines="0" w:afterLines="0" w:line="310" w:lineRule="exact"/>
              <w:jc w:val="center"/>
              <w:rPr>
                <w:rFonts w:hint="default" w:ascii="Times New Roman" w:hAnsi="Times New Roman" w:eastAsia="仿宋_GB2312" w:cs="Times New Roman"/>
                <w:bCs/>
                <w:color w:val="auto"/>
                <w:sz w:val="24"/>
                <w:szCs w:val="24"/>
              </w:rPr>
            </w:pPr>
            <w:r>
              <w:rPr>
                <w:rFonts w:hint="default" w:ascii="Times New Roman" w:hAnsi="Times New Roman" w:eastAsia="仿宋_GB2312" w:cs="Times New Roman"/>
                <w:bCs/>
                <w:color w:val="auto"/>
                <w:sz w:val="24"/>
                <w:szCs w:val="24"/>
              </w:rPr>
              <w:t>4</w:t>
            </w:r>
          </w:p>
        </w:tc>
        <w:tc>
          <w:tcPr>
            <w:tcW w:w="2151" w:type="dxa"/>
            <w:vMerge w:val="restart"/>
            <w:tcBorders>
              <w:top w:val="single" w:color="auto" w:sz="4" w:space="0"/>
              <w:left w:val="single" w:color="auto" w:sz="4" w:space="0"/>
              <w:bottom w:val="single" w:color="000000" w:sz="4" w:space="0"/>
              <w:right w:val="single" w:color="auto" w:sz="4" w:space="0"/>
            </w:tcBorders>
            <w:vAlign w:val="center"/>
          </w:tcPr>
          <w:p>
            <w:pPr>
              <w:spacing w:beforeLines="0" w:afterLines="0" w:line="310" w:lineRule="exact"/>
              <w:jc w:val="left"/>
              <w:rPr>
                <w:rFonts w:hint="default" w:ascii="Times New Roman" w:hAnsi="Times New Roman" w:eastAsia="仿宋_GB2312" w:cs="Times New Roman"/>
                <w:bCs/>
                <w:color w:val="auto"/>
                <w:sz w:val="24"/>
                <w:szCs w:val="24"/>
              </w:rPr>
            </w:pPr>
            <w:r>
              <w:rPr>
                <w:rFonts w:hint="default" w:ascii="Times New Roman" w:hAnsi="Times New Roman" w:eastAsia="仿宋_GB2312" w:cs="Times New Roman"/>
                <w:bCs/>
                <w:color w:val="auto"/>
                <w:sz w:val="24"/>
                <w:szCs w:val="24"/>
              </w:rPr>
              <w:t>建立审批管理体系</w:t>
            </w:r>
          </w:p>
        </w:tc>
        <w:tc>
          <w:tcPr>
            <w:tcW w:w="11936" w:type="dxa"/>
            <w:tcBorders>
              <w:top w:val="single" w:color="auto" w:sz="4" w:space="0"/>
              <w:left w:val="nil"/>
              <w:bottom w:val="single" w:color="auto" w:sz="4" w:space="0"/>
              <w:right w:val="single" w:color="auto" w:sz="4" w:space="0"/>
            </w:tcBorders>
            <w:vAlign w:val="center"/>
          </w:tcPr>
          <w:p>
            <w:pPr>
              <w:spacing w:beforeLines="0" w:afterLines="0" w:line="310" w:lineRule="exact"/>
              <w:jc w:val="left"/>
              <w:rPr>
                <w:rFonts w:hint="default" w:ascii="Times New Roman" w:hAnsi="Times New Roman" w:eastAsia="仿宋_GB2312" w:cs="Times New Roman"/>
                <w:bCs/>
                <w:color w:val="auto"/>
                <w:sz w:val="24"/>
                <w:szCs w:val="24"/>
              </w:rPr>
            </w:pPr>
            <w:r>
              <w:rPr>
                <w:rFonts w:hint="default" w:ascii="Times New Roman" w:hAnsi="Times New Roman" w:eastAsia="仿宋_GB2312" w:cs="Times New Roman"/>
                <w:bCs/>
                <w:color w:val="auto"/>
                <w:sz w:val="24"/>
                <w:szCs w:val="24"/>
              </w:rPr>
              <w:t>1.在国家和地方现有信息平台基础上，提升市（区）工程建设项目联合审批系统功能和应用，大力推进网上并联申报及审批，实现统一受理、并联审批、实时流转、跟踪督办、信息共享。将审批流程各阶段涉及的审批事项全部纳入审批管理系统，通过审批管理系统在线监控审批部门的审批行为，对审批环节进行全过程跟踪督办及审批节点控制。强化市、区工程建设项目联合审批系统与</w:t>
            </w:r>
            <w:r>
              <w:rPr>
                <w:rFonts w:hint="eastAsia" w:ascii="Times New Roman" w:hAnsi="Times New Roman" w:cs="Times New Roman"/>
                <w:bCs/>
                <w:color w:val="auto"/>
                <w:sz w:val="24"/>
                <w:szCs w:val="24"/>
                <w:lang w:eastAsia="zh-CN"/>
              </w:rPr>
              <w:t>“</w:t>
            </w:r>
            <w:r>
              <w:rPr>
                <w:rFonts w:hint="default" w:ascii="Times New Roman" w:hAnsi="Times New Roman" w:eastAsia="仿宋_GB2312" w:cs="Times New Roman"/>
                <w:bCs/>
                <w:color w:val="auto"/>
                <w:sz w:val="24"/>
                <w:szCs w:val="24"/>
              </w:rPr>
              <w:t>多规合一</w:t>
            </w:r>
            <w:r>
              <w:rPr>
                <w:rFonts w:hint="eastAsia" w:ascii="Times New Roman" w:hAnsi="Times New Roman" w:cs="Times New Roman"/>
                <w:bCs/>
                <w:color w:val="auto"/>
                <w:sz w:val="24"/>
                <w:szCs w:val="24"/>
                <w:lang w:eastAsia="zh-CN"/>
              </w:rPr>
              <w:t>”</w:t>
            </w:r>
            <w:r>
              <w:rPr>
                <w:rFonts w:hint="default" w:ascii="Times New Roman" w:hAnsi="Times New Roman" w:eastAsia="仿宋_GB2312" w:cs="Times New Roman"/>
                <w:bCs/>
                <w:color w:val="auto"/>
                <w:sz w:val="24"/>
                <w:szCs w:val="24"/>
              </w:rPr>
              <w:t>管理平台、各部门审批业务系统之间的互联互通，做到审批过程、审批结果实时传送。扩大市工程建设项目联合审批系统覆盖面，落实经费保障，基本建成覆盖各部门和市、区各层级的工程建设项目审批管理系统，逐步向</w:t>
            </w:r>
            <w:r>
              <w:rPr>
                <w:rFonts w:hint="eastAsia" w:ascii="Times New Roman" w:hAnsi="Times New Roman" w:cs="Times New Roman"/>
                <w:bCs/>
                <w:color w:val="auto"/>
                <w:sz w:val="24"/>
                <w:szCs w:val="24"/>
                <w:lang w:eastAsia="zh-CN"/>
              </w:rPr>
              <w:t>“</w:t>
            </w:r>
            <w:r>
              <w:rPr>
                <w:rFonts w:hint="default" w:ascii="Times New Roman" w:hAnsi="Times New Roman" w:eastAsia="仿宋_GB2312" w:cs="Times New Roman"/>
                <w:bCs/>
                <w:color w:val="auto"/>
                <w:sz w:val="24"/>
                <w:szCs w:val="24"/>
              </w:rPr>
              <w:t>横向到边、纵向到底</w:t>
            </w:r>
            <w:r>
              <w:rPr>
                <w:rFonts w:hint="eastAsia" w:ascii="Times New Roman" w:hAnsi="Times New Roman" w:cs="Times New Roman"/>
                <w:bCs/>
                <w:color w:val="auto"/>
                <w:sz w:val="24"/>
                <w:szCs w:val="24"/>
                <w:lang w:eastAsia="zh-CN"/>
              </w:rPr>
              <w:t>”</w:t>
            </w:r>
            <w:r>
              <w:rPr>
                <w:rFonts w:hint="default" w:ascii="Times New Roman" w:hAnsi="Times New Roman" w:eastAsia="仿宋_GB2312" w:cs="Times New Roman"/>
                <w:bCs/>
                <w:color w:val="auto"/>
                <w:sz w:val="24"/>
                <w:szCs w:val="24"/>
              </w:rPr>
              <w:t>目标迈进。</w:t>
            </w:r>
          </w:p>
          <w:p>
            <w:pPr>
              <w:spacing w:beforeLines="0" w:afterLines="0" w:line="310" w:lineRule="exact"/>
              <w:jc w:val="left"/>
              <w:rPr>
                <w:rFonts w:hint="default" w:ascii="Times New Roman" w:hAnsi="Times New Roman" w:eastAsia="仿宋_GB2312" w:cs="Times New Roman"/>
                <w:bCs/>
                <w:color w:val="auto"/>
                <w:sz w:val="24"/>
                <w:szCs w:val="24"/>
              </w:rPr>
            </w:pPr>
            <w:r>
              <w:rPr>
                <w:rFonts w:hint="default" w:ascii="Times New Roman" w:hAnsi="Times New Roman" w:eastAsia="仿宋_GB2312" w:cs="Times New Roman"/>
                <w:bCs/>
                <w:color w:val="auto"/>
                <w:sz w:val="24"/>
                <w:szCs w:val="24"/>
              </w:rPr>
              <w:t>2.借鉴先进地区工程建设项目审批管理系统建设的成熟技术和管理经验，明确落实建设资金、系统开发的工作目标、时间节点和工作要求。</w:t>
            </w:r>
          </w:p>
          <w:p>
            <w:pPr>
              <w:spacing w:beforeLines="0" w:afterLines="0" w:line="310" w:lineRule="exact"/>
              <w:jc w:val="left"/>
              <w:rPr>
                <w:rFonts w:hint="default" w:ascii="Times New Roman" w:hAnsi="Times New Roman" w:eastAsia="仿宋_GB2312" w:cs="Times New Roman"/>
                <w:bCs/>
                <w:color w:val="auto"/>
                <w:sz w:val="24"/>
                <w:szCs w:val="24"/>
              </w:rPr>
            </w:pPr>
            <w:r>
              <w:rPr>
                <w:rFonts w:hint="default" w:ascii="Times New Roman" w:hAnsi="Times New Roman" w:eastAsia="仿宋_GB2312" w:cs="Times New Roman"/>
                <w:bCs/>
                <w:color w:val="auto"/>
                <w:sz w:val="24"/>
                <w:szCs w:val="24"/>
              </w:rPr>
              <w:t>3.完善</w:t>
            </w:r>
            <w:r>
              <w:rPr>
                <w:rFonts w:hint="eastAsia" w:ascii="Times New Roman" w:hAnsi="Times New Roman" w:cs="Times New Roman"/>
                <w:bCs/>
                <w:color w:val="auto"/>
                <w:sz w:val="24"/>
                <w:szCs w:val="24"/>
                <w:lang w:eastAsia="zh-CN"/>
              </w:rPr>
              <w:t>“</w:t>
            </w:r>
            <w:r>
              <w:rPr>
                <w:rFonts w:hint="default" w:ascii="Times New Roman" w:hAnsi="Times New Roman" w:eastAsia="仿宋_GB2312" w:cs="Times New Roman"/>
                <w:bCs/>
                <w:color w:val="auto"/>
                <w:sz w:val="24"/>
                <w:szCs w:val="24"/>
              </w:rPr>
              <w:t>一套机制</w:t>
            </w:r>
            <w:r>
              <w:rPr>
                <w:rFonts w:hint="eastAsia" w:ascii="Times New Roman" w:hAnsi="Times New Roman" w:cs="Times New Roman"/>
                <w:bCs/>
                <w:color w:val="auto"/>
                <w:sz w:val="24"/>
                <w:szCs w:val="24"/>
                <w:lang w:eastAsia="zh-CN"/>
              </w:rPr>
              <w:t>”</w:t>
            </w:r>
            <w:r>
              <w:rPr>
                <w:rFonts w:hint="default" w:ascii="Times New Roman" w:hAnsi="Times New Roman" w:eastAsia="仿宋_GB2312" w:cs="Times New Roman"/>
                <w:bCs/>
                <w:color w:val="auto"/>
                <w:sz w:val="24"/>
                <w:szCs w:val="24"/>
              </w:rPr>
              <w:t>，规范审批运行。进一步建立健全工程建设项目审批配套制度，明确部门职责，明晰工作规程，规范审批行为，确保审批各阶段、各环节无缝衔接。建立审批协调机制，协调解决部门意见分歧。建立情况通报制度，定期通报各部门审批办理情况，对全过程进行跟踪记录。</w:t>
            </w:r>
          </w:p>
        </w:tc>
        <w:tc>
          <w:tcPr>
            <w:tcW w:w="1605" w:type="dxa"/>
            <w:tcBorders>
              <w:top w:val="single" w:color="auto" w:sz="4" w:space="0"/>
              <w:left w:val="nil"/>
              <w:bottom w:val="single" w:color="auto" w:sz="4" w:space="0"/>
              <w:right w:val="single" w:color="auto" w:sz="4" w:space="0"/>
            </w:tcBorders>
            <w:vAlign w:val="center"/>
          </w:tcPr>
          <w:p>
            <w:pPr>
              <w:spacing w:beforeLines="0" w:afterLines="0" w:line="300" w:lineRule="exact"/>
              <w:jc w:val="center"/>
              <w:rPr>
                <w:rFonts w:hint="default" w:ascii="Times New Roman" w:hAnsi="Times New Roman" w:eastAsia="仿宋_GB2312" w:cs="Times New Roman"/>
                <w:bCs/>
                <w:color w:val="auto"/>
                <w:sz w:val="24"/>
                <w:szCs w:val="24"/>
              </w:rPr>
            </w:pPr>
            <w:r>
              <w:rPr>
                <w:rFonts w:hint="default" w:ascii="Times New Roman" w:hAnsi="Times New Roman" w:eastAsia="仿宋_GB2312" w:cs="Times New Roman"/>
                <w:bCs/>
                <w:color w:val="auto"/>
                <w:sz w:val="24"/>
                <w:szCs w:val="24"/>
              </w:rPr>
              <w:t>区政务办</w:t>
            </w:r>
          </w:p>
        </w:tc>
        <w:tc>
          <w:tcPr>
            <w:tcW w:w="2571" w:type="dxa"/>
            <w:tcBorders>
              <w:top w:val="single" w:color="auto" w:sz="4" w:space="0"/>
              <w:left w:val="nil"/>
              <w:bottom w:val="single" w:color="auto" w:sz="4" w:space="0"/>
              <w:right w:val="single" w:color="auto" w:sz="4" w:space="0"/>
            </w:tcBorders>
            <w:vAlign w:val="center"/>
          </w:tcPr>
          <w:p>
            <w:pPr>
              <w:spacing w:beforeLines="0" w:afterLines="0" w:line="300" w:lineRule="exact"/>
              <w:rPr>
                <w:rFonts w:hint="default" w:ascii="Times New Roman" w:hAnsi="Times New Roman" w:eastAsia="仿宋_GB2312" w:cs="Times New Roman"/>
                <w:bCs/>
                <w:color w:val="auto"/>
                <w:sz w:val="24"/>
                <w:szCs w:val="24"/>
              </w:rPr>
            </w:pPr>
            <w:r>
              <w:rPr>
                <w:rFonts w:hint="default" w:ascii="Times New Roman" w:hAnsi="Times New Roman" w:eastAsia="仿宋_GB2312" w:cs="Times New Roman"/>
                <w:bCs/>
                <w:color w:val="auto"/>
                <w:sz w:val="24"/>
                <w:szCs w:val="24"/>
              </w:rPr>
              <w:t>区发改局、区财政局、区住建局、区国规局、区科工商信局</w:t>
            </w:r>
          </w:p>
        </w:tc>
        <w:tc>
          <w:tcPr>
            <w:tcW w:w="1441" w:type="dxa"/>
            <w:tcBorders>
              <w:top w:val="single" w:color="auto" w:sz="4" w:space="0"/>
              <w:left w:val="nil"/>
              <w:bottom w:val="single" w:color="auto" w:sz="4" w:space="0"/>
              <w:right w:val="single" w:color="auto" w:sz="4" w:space="0"/>
            </w:tcBorders>
            <w:vAlign w:val="center"/>
          </w:tcPr>
          <w:p>
            <w:pPr>
              <w:spacing w:beforeLines="0" w:afterLines="0" w:line="300" w:lineRule="exact"/>
              <w:rPr>
                <w:rFonts w:hint="default" w:ascii="Times New Roman" w:hAnsi="Times New Roman" w:eastAsia="仿宋_GB2312" w:cs="Times New Roman"/>
                <w:bCs/>
                <w:color w:val="auto"/>
                <w:sz w:val="24"/>
                <w:szCs w:val="24"/>
              </w:rPr>
            </w:pPr>
            <w:r>
              <w:rPr>
                <w:rFonts w:hint="default" w:ascii="Times New Roman" w:hAnsi="Times New Roman" w:eastAsia="仿宋_GB2312" w:cs="Times New Roman"/>
                <w:bCs/>
                <w:color w:val="auto"/>
                <w:sz w:val="24"/>
                <w:szCs w:val="24"/>
              </w:rPr>
              <w:t>2018-11-15</w:t>
            </w:r>
          </w:p>
        </w:tc>
        <w:tc>
          <w:tcPr>
            <w:tcW w:w="947" w:type="dxa"/>
            <w:tcBorders>
              <w:top w:val="single" w:color="auto" w:sz="4" w:space="0"/>
              <w:left w:val="nil"/>
              <w:bottom w:val="single" w:color="auto" w:sz="4" w:space="0"/>
              <w:right w:val="single" w:color="auto" w:sz="4" w:space="0"/>
            </w:tcBorders>
            <w:vAlign w:val="center"/>
          </w:tcPr>
          <w:p>
            <w:pPr>
              <w:spacing w:beforeLines="0" w:afterLines="0" w:line="300" w:lineRule="exact"/>
              <w:jc w:val="center"/>
              <w:rPr>
                <w:rFonts w:hint="default" w:ascii="Times New Roman" w:hAnsi="Times New Roman" w:eastAsia="仿宋_GB2312" w:cs="Times New Roman"/>
                <w:bCs/>
                <w:color w:val="auto"/>
                <w:sz w:val="24"/>
                <w:szCs w:val="24"/>
              </w:rPr>
            </w:pPr>
            <w:r>
              <w:rPr>
                <w:rFonts w:hint="default" w:ascii="Times New Roman" w:hAnsi="Times New Roman" w:eastAsia="仿宋_GB2312" w:cs="Times New Roman"/>
                <w:bCs/>
                <w:color w:val="auto"/>
                <w:sz w:val="24"/>
                <w:szCs w:val="24"/>
              </w:rPr>
              <w:t>　</w:t>
            </w:r>
          </w:p>
        </w:tc>
      </w:tr>
      <w:tr>
        <w:tblPrEx>
          <w:tblLayout w:type="fixed"/>
          <w:tblCellMar>
            <w:top w:w="0" w:type="dxa"/>
            <w:left w:w="108" w:type="dxa"/>
            <w:bottom w:w="0" w:type="dxa"/>
            <w:right w:w="108" w:type="dxa"/>
          </w:tblCellMar>
        </w:tblPrEx>
        <w:trPr>
          <w:trHeight w:val="23" w:hRule="atLeast"/>
          <w:jc w:val="center"/>
        </w:trPr>
        <w:tc>
          <w:tcPr>
            <w:tcW w:w="921" w:type="dxa"/>
            <w:vMerge w:val="continue"/>
            <w:tcBorders>
              <w:top w:val="nil"/>
              <w:left w:val="single" w:color="auto" w:sz="4" w:space="0"/>
              <w:bottom w:val="single" w:color="auto" w:sz="4" w:space="0"/>
              <w:right w:val="single" w:color="auto" w:sz="4" w:space="0"/>
            </w:tcBorders>
            <w:vAlign w:val="center"/>
          </w:tcPr>
          <w:p>
            <w:pPr>
              <w:spacing w:beforeLines="0" w:afterLines="0" w:line="300" w:lineRule="exact"/>
              <w:jc w:val="center"/>
              <w:rPr>
                <w:rFonts w:hint="default" w:ascii="Times New Roman" w:hAnsi="Times New Roman" w:eastAsia="仿宋_GB2312" w:cs="Times New Roman"/>
                <w:bCs/>
                <w:color w:val="auto"/>
                <w:sz w:val="24"/>
                <w:szCs w:val="24"/>
              </w:rPr>
            </w:pPr>
          </w:p>
        </w:tc>
        <w:tc>
          <w:tcPr>
            <w:tcW w:w="2151" w:type="dxa"/>
            <w:vMerge w:val="continue"/>
            <w:tcBorders>
              <w:top w:val="nil"/>
              <w:left w:val="single" w:color="auto" w:sz="4" w:space="0"/>
              <w:bottom w:val="single" w:color="auto" w:sz="4" w:space="0"/>
              <w:right w:val="single" w:color="auto" w:sz="4" w:space="0"/>
            </w:tcBorders>
            <w:vAlign w:val="center"/>
          </w:tcPr>
          <w:p>
            <w:pPr>
              <w:spacing w:beforeLines="0" w:afterLines="0" w:line="300" w:lineRule="exact"/>
              <w:jc w:val="left"/>
              <w:rPr>
                <w:rFonts w:hint="default" w:ascii="Times New Roman" w:hAnsi="Times New Roman" w:eastAsia="仿宋_GB2312" w:cs="Times New Roman"/>
                <w:bCs/>
                <w:color w:val="auto"/>
                <w:sz w:val="24"/>
                <w:szCs w:val="24"/>
              </w:rPr>
            </w:pPr>
          </w:p>
        </w:tc>
        <w:tc>
          <w:tcPr>
            <w:tcW w:w="11936" w:type="dxa"/>
            <w:tcBorders>
              <w:top w:val="nil"/>
              <w:left w:val="nil"/>
              <w:bottom w:val="single" w:color="auto" w:sz="4" w:space="0"/>
              <w:right w:val="single" w:color="auto" w:sz="4" w:space="0"/>
            </w:tcBorders>
            <w:vAlign w:val="center"/>
          </w:tcPr>
          <w:p>
            <w:pPr>
              <w:spacing w:beforeLines="0" w:afterLines="0" w:line="300" w:lineRule="exact"/>
              <w:jc w:val="left"/>
              <w:rPr>
                <w:rFonts w:hint="default" w:ascii="Times New Roman" w:hAnsi="Times New Roman" w:eastAsia="仿宋_GB2312" w:cs="Times New Roman"/>
                <w:bCs/>
                <w:color w:val="auto"/>
                <w:sz w:val="24"/>
                <w:szCs w:val="24"/>
              </w:rPr>
            </w:pPr>
            <w:r>
              <w:rPr>
                <w:rFonts w:hint="default" w:ascii="Times New Roman" w:hAnsi="Times New Roman" w:eastAsia="仿宋_GB2312" w:cs="Times New Roman"/>
                <w:bCs/>
                <w:color w:val="auto"/>
                <w:sz w:val="24"/>
                <w:szCs w:val="24"/>
              </w:rPr>
              <w:t>整合各部门和各市政公用单位分散设立的服务窗口，通过同一窗口</w:t>
            </w:r>
            <w:r>
              <w:rPr>
                <w:rFonts w:hint="eastAsia" w:ascii="Times New Roman" w:hAnsi="Times New Roman" w:cs="Times New Roman"/>
                <w:bCs/>
                <w:color w:val="auto"/>
                <w:sz w:val="24"/>
                <w:szCs w:val="24"/>
                <w:lang w:eastAsia="zh-CN"/>
              </w:rPr>
              <w:t>“</w:t>
            </w:r>
            <w:r>
              <w:rPr>
                <w:rFonts w:hint="default" w:ascii="Times New Roman" w:hAnsi="Times New Roman" w:eastAsia="仿宋_GB2312" w:cs="Times New Roman"/>
                <w:bCs/>
                <w:color w:val="auto"/>
                <w:sz w:val="24"/>
                <w:szCs w:val="24"/>
              </w:rPr>
              <w:t>统一收件、出件</w:t>
            </w:r>
            <w:r>
              <w:rPr>
                <w:rFonts w:hint="eastAsia" w:ascii="Times New Roman" w:hAnsi="Times New Roman" w:cs="Times New Roman"/>
                <w:bCs/>
                <w:color w:val="auto"/>
                <w:sz w:val="24"/>
                <w:szCs w:val="24"/>
                <w:lang w:eastAsia="zh-CN"/>
              </w:rPr>
              <w:t>”</w:t>
            </w:r>
            <w:r>
              <w:rPr>
                <w:rFonts w:hint="default" w:ascii="Times New Roman" w:hAnsi="Times New Roman" w:eastAsia="仿宋_GB2312" w:cs="Times New Roman"/>
                <w:bCs/>
                <w:color w:val="auto"/>
                <w:sz w:val="24"/>
                <w:szCs w:val="24"/>
              </w:rPr>
              <w:t>，实现</w:t>
            </w:r>
            <w:r>
              <w:rPr>
                <w:rFonts w:hint="eastAsia" w:ascii="Times New Roman" w:hAnsi="Times New Roman" w:cs="Times New Roman"/>
                <w:bCs/>
                <w:color w:val="auto"/>
                <w:sz w:val="24"/>
                <w:szCs w:val="24"/>
                <w:lang w:eastAsia="zh-CN"/>
              </w:rPr>
              <w:t>“</w:t>
            </w:r>
            <w:r>
              <w:rPr>
                <w:rFonts w:hint="default" w:ascii="Times New Roman" w:hAnsi="Times New Roman" w:eastAsia="仿宋_GB2312" w:cs="Times New Roman"/>
                <w:bCs/>
                <w:color w:val="auto"/>
                <w:sz w:val="24"/>
                <w:szCs w:val="24"/>
              </w:rPr>
              <w:t>一个窗口</w:t>
            </w:r>
            <w:r>
              <w:rPr>
                <w:rFonts w:hint="eastAsia" w:ascii="Times New Roman" w:hAnsi="Times New Roman" w:cs="Times New Roman"/>
                <w:bCs/>
                <w:color w:val="auto"/>
                <w:sz w:val="24"/>
                <w:szCs w:val="24"/>
                <w:lang w:eastAsia="zh-CN"/>
              </w:rPr>
              <w:t>”</w:t>
            </w:r>
            <w:r>
              <w:rPr>
                <w:rFonts w:hint="default" w:ascii="Times New Roman" w:hAnsi="Times New Roman" w:eastAsia="仿宋_GB2312" w:cs="Times New Roman"/>
                <w:bCs/>
                <w:color w:val="auto"/>
                <w:sz w:val="24"/>
                <w:szCs w:val="24"/>
              </w:rPr>
              <w:t>服务和管理。</w:t>
            </w:r>
          </w:p>
        </w:tc>
        <w:tc>
          <w:tcPr>
            <w:tcW w:w="1605" w:type="dxa"/>
            <w:tcBorders>
              <w:top w:val="nil"/>
              <w:left w:val="nil"/>
              <w:bottom w:val="single" w:color="auto" w:sz="4" w:space="0"/>
              <w:right w:val="single" w:color="auto" w:sz="4" w:space="0"/>
            </w:tcBorders>
            <w:vAlign w:val="center"/>
          </w:tcPr>
          <w:p>
            <w:pPr>
              <w:spacing w:beforeLines="0" w:afterLines="0" w:line="300" w:lineRule="exact"/>
              <w:jc w:val="center"/>
              <w:rPr>
                <w:rFonts w:hint="default" w:ascii="Times New Roman" w:hAnsi="Times New Roman" w:eastAsia="仿宋_GB2312" w:cs="Times New Roman"/>
                <w:bCs/>
                <w:color w:val="auto"/>
                <w:sz w:val="24"/>
                <w:szCs w:val="24"/>
              </w:rPr>
            </w:pPr>
            <w:r>
              <w:rPr>
                <w:rFonts w:hint="default" w:ascii="Times New Roman" w:hAnsi="Times New Roman" w:eastAsia="仿宋_GB2312" w:cs="Times New Roman"/>
                <w:bCs/>
                <w:color w:val="auto"/>
                <w:sz w:val="24"/>
                <w:szCs w:val="24"/>
              </w:rPr>
              <w:t>区政务办</w:t>
            </w:r>
          </w:p>
        </w:tc>
        <w:tc>
          <w:tcPr>
            <w:tcW w:w="2571" w:type="dxa"/>
            <w:tcBorders>
              <w:top w:val="nil"/>
              <w:left w:val="nil"/>
              <w:bottom w:val="single" w:color="auto" w:sz="4" w:space="0"/>
              <w:right w:val="single" w:color="auto" w:sz="4" w:space="0"/>
            </w:tcBorders>
            <w:vAlign w:val="center"/>
          </w:tcPr>
          <w:p>
            <w:pPr>
              <w:spacing w:beforeLines="0" w:afterLines="0" w:line="300" w:lineRule="exact"/>
              <w:rPr>
                <w:rFonts w:hint="default" w:ascii="Times New Roman" w:hAnsi="Times New Roman" w:eastAsia="仿宋_GB2312" w:cs="Times New Roman"/>
                <w:bCs/>
                <w:color w:val="auto"/>
                <w:sz w:val="24"/>
                <w:szCs w:val="24"/>
              </w:rPr>
            </w:pPr>
            <w:r>
              <w:rPr>
                <w:rFonts w:hint="default" w:ascii="Times New Roman" w:hAnsi="Times New Roman" w:eastAsia="仿宋_GB2312" w:cs="Times New Roman"/>
                <w:bCs/>
                <w:color w:val="auto"/>
                <w:sz w:val="24"/>
                <w:szCs w:val="24"/>
              </w:rPr>
              <w:t>区发改局、区财政局、区住建局、区国规局、区科工商信局</w:t>
            </w:r>
          </w:p>
        </w:tc>
        <w:tc>
          <w:tcPr>
            <w:tcW w:w="1441" w:type="dxa"/>
            <w:tcBorders>
              <w:top w:val="nil"/>
              <w:left w:val="nil"/>
              <w:bottom w:val="single" w:color="auto" w:sz="4" w:space="0"/>
              <w:right w:val="single" w:color="auto" w:sz="4" w:space="0"/>
            </w:tcBorders>
            <w:vAlign w:val="center"/>
          </w:tcPr>
          <w:p>
            <w:pPr>
              <w:spacing w:beforeLines="0" w:afterLines="0" w:line="300" w:lineRule="exact"/>
              <w:rPr>
                <w:rFonts w:hint="default" w:ascii="Times New Roman" w:hAnsi="Times New Roman" w:eastAsia="仿宋_GB2312" w:cs="Times New Roman"/>
                <w:bCs/>
                <w:color w:val="auto"/>
                <w:sz w:val="24"/>
                <w:szCs w:val="24"/>
              </w:rPr>
            </w:pPr>
            <w:r>
              <w:rPr>
                <w:rFonts w:hint="default" w:ascii="Times New Roman" w:hAnsi="Times New Roman" w:eastAsia="仿宋_GB2312" w:cs="Times New Roman"/>
                <w:bCs/>
                <w:color w:val="auto"/>
                <w:sz w:val="24"/>
                <w:szCs w:val="24"/>
              </w:rPr>
              <w:t>2018-10-15</w:t>
            </w:r>
          </w:p>
        </w:tc>
        <w:tc>
          <w:tcPr>
            <w:tcW w:w="947" w:type="dxa"/>
            <w:tcBorders>
              <w:top w:val="nil"/>
              <w:left w:val="nil"/>
              <w:bottom w:val="single" w:color="auto" w:sz="4" w:space="0"/>
              <w:right w:val="single" w:color="auto" w:sz="4" w:space="0"/>
            </w:tcBorders>
            <w:vAlign w:val="center"/>
          </w:tcPr>
          <w:p>
            <w:pPr>
              <w:spacing w:beforeLines="0" w:afterLines="0" w:line="300" w:lineRule="exact"/>
              <w:jc w:val="center"/>
              <w:rPr>
                <w:rFonts w:hint="default" w:ascii="Times New Roman" w:hAnsi="Times New Roman" w:eastAsia="仿宋_GB2312" w:cs="Times New Roman"/>
                <w:bCs/>
                <w:color w:val="auto"/>
                <w:sz w:val="24"/>
                <w:szCs w:val="24"/>
              </w:rPr>
            </w:pPr>
          </w:p>
        </w:tc>
      </w:tr>
      <w:tr>
        <w:tblPrEx>
          <w:tblLayout w:type="fixed"/>
          <w:tblCellMar>
            <w:top w:w="0" w:type="dxa"/>
            <w:left w:w="108" w:type="dxa"/>
            <w:bottom w:w="0" w:type="dxa"/>
            <w:right w:w="108" w:type="dxa"/>
          </w:tblCellMar>
        </w:tblPrEx>
        <w:trPr>
          <w:trHeight w:val="23" w:hRule="atLeast"/>
          <w:jc w:val="center"/>
        </w:trPr>
        <w:tc>
          <w:tcPr>
            <w:tcW w:w="921" w:type="dxa"/>
            <w:tcBorders>
              <w:top w:val="single" w:color="auto" w:sz="4" w:space="0"/>
              <w:left w:val="single" w:color="auto" w:sz="4" w:space="0"/>
              <w:bottom w:val="single" w:color="auto" w:sz="4" w:space="0"/>
              <w:right w:val="single" w:color="auto" w:sz="4" w:space="0"/>
            </w:tcBorders>
            <w:vAlign w:val="center"/>
          </w:tcPr>
          <w:p>
            <w:pPr>
              <w:spacing w:beforeLines="0" w:afterLines="0" w:line="340" w:lineRule="exact"/>
              <w:jc w:val="center"/>
              <w:rPr>
                <w:rFonts w:hint="default" w:ascii="Times New Roman" w:hAnsi="Times New Roman" w:eastAsia="仿宋_GB2312" w:cs="Times New Roman"/>
                <w:bCs/>
                <w:color w:val="auto"/>
                <w:sz w:val="24"/>
                <w:szCs w:val="24"/>
              </w:rPr>
            </w:pPr>
            <w:r>
              <w:rPr>
                <w:rFonts w:hint="default" w:ascii="Times New Roman" w:hAnsi="Times New Roman" w:eastAsia="仿宋_GB2312" w:cs="Times New Roman"/>
                <w:bCs/>
                <w:color w:val="auto"/>
                <w:sz w:val="24"/>
                <w:szCs w:val="24"/>
              </w:rPr>
              <w:t>5</w:t>
            </w:r>
          </w:p>
        </w:tc>
        <w:tc>
          <w:tcPr>
            <w:tcW w:w="2151" w:type="dxa"/>
            <w:tcBorders>
              <w:top w:val="single" w:color="auto" w:sz="4" w:space="0"/>
              <w:left w:val="nil"/>
              <w:bottom w:val="single" w:color="auto" w:sz="4" w:space="0"/>
              <w:right w:val="single" w:color="auto" w:sz="4" w:space="0"/>
            </w:tcBorders>
            <w:vAlign w:val="center"/>
          </w:tcPr>
          <w:p>
            <w:pPr>
              <w:spacing w:beforeLines="0" w:afterLines="0" w:line="336" w:lineRule="exact"/>
              <w:jc w:val="left"/>
              <w:rPr>
                <w:rFonts w:hint="default" w:ascii="Times New Roman" w:hAnsi="Times New Roman" w:eastAsia="仿宋_GB2312" w:cs="Times New Roman"/>
                <w:bCs/>
                <w:color w:val="auto"/>
                <w:sz w:val="24"/>
                <w:szCs w:val="24"/>
              </w:rPr>
            </w:pPr>
            <w:r>
              <w:rPr>
                <w:rFonts w:hint="default" w:ascii="Times New Roman" w:hAnsi="Times New Roman" w:eastAsia="仿宋_GB2312" w:cs="Times New Roman"/>
                <w:bCs/>
                <w:color w:val="auto"/>
                <w:sz w:val="24"/>
                <w:szCs w:val="24"/>
              </w:rPr>
              <w:t>出台工程建设项目告知承诺制管理办法</w:t>
            </w:r>
          </w:p>
        </w:tc>
        <w:tc>
          <w:tcPr>
            <w:tcW w:w="11936" w:type="dxa"/>
            <w:tcBorders>
              <w:top w:val="single" w:color="auto" w:sz="4" w:space="0"/>
              <w:left w:val="nil"/>
              <w:bottom w:val="single" w:color="auto" w:sz="4" w:space="0"/>
              <w:right w:val="single" w:color="auto" w:sz="4" w:space="0"/>
            </w:tcBorders>
            <w:vAlign w:val="center"/>
          </w:tcPr>
          <w:p>
            <w:pPr>
              <w:spacing w:beforeLines="0" w:afterLines="0" w:line="336" w:lineRule="exact"/>
              <w:jc w:val="left"/>
              <w:rPr>
                <w:rFonts w:hint="default" w:ascii="Times New Roman" w:hAnsi="Times New Roman" w:eastAsia="仿宋_GB2312" w:cs="Times New Roman"/>
                <w:bCs/>
                <w:color w:val="auto"/>
                <w:sz w:val="24"/>
                <w:szCs w:val="24"/>
              </w:rPr>
            </w:pPr>
            <w:r>
              <w:rPr>
                <w:rFonts w:hint="default" w:ascii="Times New Roman" w:hAnsi="Times New Roman" w:eastAsia="仿宋_GB2312" w:cs="Times New Roman"/>
                <w:bCs/>
                <w:color w:val="auto"/>
                <w:sz w:val="24"/>
                <w:szCs w:val="24"/>
              </w:rPr>
              <w:t>1.制定我区工程建设项目审批告知承诺制管理办法，明确告知承诺制的具体定义、实施范围、工作方式及各方职责、实行告知承诺制的事项等。</w:t>
            </w:r>
          </w:p>
          <w:p>
            <w:pPr>
              <w:spacing w:beforeLines="0" w:afterLines="0" w:line="336" w:lineRule="exact"/>
              <w:jc w:val="left"/>
              <w:rPr>
                <w:rFonts w:hint="default" w:ascii="Times New Roman" w:hAnsi="Times New Roman" w:eastAsia="仿宋_GB2312" w:cs="Times New Roman"/>
                <w:bCs/>
                <w:color w:val="auto"/>
                <w:sz w:val="24"/>
                <w:szCs w:val="24"/>
              </w:rPr>
            </w:pPr>
            <w:r>
              <w:rPr>
                <w:rFonts w:hint="default" w:ascii="Times New Roman" w:hAnsi="Times New Roman" w:eastAsia="仿宋_GB2312" w:cs="Times New Roman"/>
                <w:bCs/>
                <w:color w:val="auto"/>
                <w:sz w:val="24"/>
                <w:szCs w:val="24"/>
              </w:rPr>
              <w:t>2.对通过事中事后监管能够纠正不符合审批条件的行为且不会产生严重后果的审批事项，实行告知承诺制。公布实行告知承诺制的审批事项清单及具体要求，申请人按照要求作出书面承诺的，审批部门可以直接作出审批决定。对已经实施区域评估的工程建设项目，相应的审批事项实行告知承诺制。</w:t>
            </w:r>
          </w:p>
        </w:tc>
        <w:tc>
          <w:tcPr>
            <w:tcW w:w="1605" w:type="dxa"/>
            <w:tcBorders>
              <w:top w:val="single" w:color="auto" w:sz="4" w:space="0"/>
              <w:left w:val="nil"/>
              <w:bottom w:val="single" w:color="auto" w:sz="4" w:space="0"/>
              <w:right w:val="single" w:color="auto" w:sz="4" w:space="0"/>
            </w:tcBorders>
            <w:vAlign w:val="center"/>
          </w:tcPr>
          <w:p>
            <w:pPr>
              <w:spacing w:beforeLines="0" w:afterLines="0" w:line="336" w:lineRule="exact"/>
              <w:jc w:val="center"/>
              <w:rPr>
                <w:rFonts w:hint="default" w:ascii="Times New Roman" w:hAnsi="Times New Roman" w:eastAsia="仿宋_GB2312" w:cs="Times New Roman"/>
                <w:bCs/>
                <w:color w:val="auto"/>
                <w:sz w:val="24"/>
                <w:szCs w:val="24"/>
              </w:rPr>
            </w:pPr>
            <w:r>
              <w:rPr>
                <w:rFonts w:hint="default" w:ascii="Times New Roman" w:hAnsi="Times New Roman" w:eastAsia="仿宋_GB2312" w:cs="Times New Roman"/>
                <w:bCs/>
                <w:color w:val="auto"/>
                <w:sz w:val="24"/>
                <w:szCs w:val="24"/>
              </w:rPr>
              <w:t>区住建局</w:t>
            </w:r>
          </w:p>
        </w:tc>
        <w:tc>
          <w:tcPr>
            <w:tcW w:w="2571" w:type="dxa"/>
            <w:tcBorders>
              <w:top w:val="single" w:color="auto" w:sz="4" w:space="0"/>
              <w:left w:val="nil"/>
              <w:bottom w:val="single" w:color="auto" w:sz="4" w:space="0"/>
              <w:right w:val="single" w:color="auto" w:sz="4" w:space="0"/>
            </w:tcBorders>
            <w:vAlign w:val="center"/>
          </w:tcPr>
          <w:p>
            <w:pPr>
              <w:spacing w:beforeLines="0" w:afterLines="0" w:line="336" w:lineRule="exact"/>
              <w:rPr>
                <w:rFonts w:hint="default" w:ascii="Times New Roman" w:hAnsi="Times New Roman" w:eastAsia="仿宋_GB2312" w:cs="Times New Roman"/>
                <w:bCs/>
                <w:color w:val="auto"/>
                <w:sz w:val="24"/>
                <w:szCs w:val="24"/>
              </w:rPr>
            </w:pPr>
            <w:r>
              <w:rPr>
                <w:rFonts w:hint="default" w:ascii="Times New Roman" w:hAnsi="Times New Roman" w:eastAsia="仿宋_GB2312" w:cs="Times New Roman"/>
                <w:bCs/>
                <w:color w:val="auto"/>
                <w:sz w:val="24"/>
                <w:szCs w:val="24"/>
              </w:rPr>
              <w:t>区发改局、区财政局、区国规局、区环保局、区公安局消防大队、区民防办</w:t>
            </w:r>
          </w:p>
        </w:tc>
        <w:tc>
          <w:tcPr>
            <w:tcW w:w="1441" w:type="dxa"/>
            <w:tcBorders>
              <w:top w:val="single" w:color="auto" w:sz="4" w:space="0"/>
              <w:left w:val="nil"/>
              <w:bottom w:val="single" w:color="auto" w:sz="4" w:space="0"/>
              <w:right w:val="single" w:color="auto" w:sz="4" w:space="0"/>
            </w:tcBorders>
            <w:vAlign w:val="center"/>
          </w:tcPr>
          <w:p>
            <w:pPr>
              <w:spacing w:beforeLines="0" w:afterLines="0" w:line="300" w:lineRule="exact"/>
              <w:rPr>
                <w:rFonts w:hint="default" w:ascii="Times New Roman" w:hAnsi="Times New Roman" w:eastAsia="仿宋_GB2312" w:cs="Times New Roman"/>
                <w:bCs/>
                <w:color w:val="auto"/>
                <w:sz w:val="24"/>
                <w:szCs w:val="24"/>
              </w:rPr>
            </w:pPr>
            <w:r>
              <w:rPr>
                <w:rFonts w:hint="default" w:ascii="Times New Roman" w:hAnsi="Times New Roman" w:eastAsia="仿宋_GB2312" w:cs="Times New Roman"/>
                <w:bCs/>
                <w:color w:val="auto"/>
                <w:sz w:val="24"/>
                <w:szCs w:val="24"/>
              </w:rPr>
              <w:t>2018-10-15</w:t>
            </w:r>
          </w:p>
        </w:tc>
        <w:tc>
          <w:tcPr>
            <w:tcW w:w="947" w:type="dxa"/>
            <w:tcBorders>
              <w:top w:val="single" w:color="auto" w:sz="4" w:space="0"/>
              <w:left w:val="nil"/>
              <w:bottom w:val="single" w:color="auto" w:sz="4" w:space="0"/>
              <w:right w:val="single" w:color="auto" w:sz="4" w:space="0"/>
            </w:tcBorders>
            <w:vAlign w:val="center"/>
          </w:tcPr>
          <w:p>
            <w:pPr>
              <w:spacing w:beforeLines="0" w:afterLines="0" w:line="300" w:lineRule="exact"/>
              <w:jc w:val="center"/>
              <w:rPr>
                <w:rFonts w:hint="default" w:ascii="Times New Roman" w:hAnsi="Times New Roman" w:eastAsia="仿宋_GB2312" w:cs="Times New Roman"/>
                <w:bCs/>
                <w:color w:val="auto"/>
                <w:sz w:val="24"/>
                <w:szCs w:val="24"/>
              </w:rPr>
            </w:pPr>
          </w:p>
        </w:tc>
      </w:tr>
      <w:tr>
        <w:tblPrEx>
          <w:tblLayout w:type="fixed"/>
          <w:tblCellMar>
            <w:top w:w="0" w:type="dxa"/>
            <w:left w:w="108" w:type="dxa"/>
            <w:bottom w:w="0" w:type="dxa"/>
            <w:right w:w="108" w:type="dxa"/>
          </w:tblCellMar>
        </w:tblPrEx>
        <w:trPr>
          <w:trHeight w:val="23" w:hRule="atLeast"/>
          <w:jc w:val="center"/>
        </w:trPr>
        <w:tc>
          <w:tcPr>
            <w:tcW w:w="921" w:type="dxa"/>
            <w:tcBorders>
              <w:top w:val="single" w:color="auto" w:sz="4" w:space="0"/>
              <w:left w:val="single" w:color="auto" w:sz="4" w:space="0"/>
              <w:bottom w:val="single" w:color="auto" w:sz="4" w:space="0"/>
              <w:right w:val="single" w:color="auto" w:sz="4" w:space="0"/>
            </w:tcBorders>
            <w:vAlign w:val="center"/>
          </w:tcPr>
          <w:p>
            <w:pPr>
              <w:spacing w:beforeLines="0" w:afterLines="0" w:line="340" w:lineRule="exact"/>
              <w:jc w:val="center"/>
              <w:rPr>
                <w:rFonts w:hint="default" w:ascii="Times New Roman" w:hAnsi="Times New Roman" w:eastAsia="仿宋_GB2312" w:cs="Times New Roman"/>
                <w:bCs/>
                <w:color w:val="auto"/>
                <w:sz w:val="24"/>
                <w:szCs w:val="24"/>
              </w:rPr>
            </w:pPr>
            <w:r>
              <w:rPr>
                <w:rFonts w:hint="default" w:ascii="Times New Roman" w:hAnsi="Times New Roman" w:eastAsia="仿宋_GB2312" w:cs="Times New Roman"/>
                <w:bCs/>
                <w:color w:val="auto"/>
                <w:sz w:val="24"/>
                <w:szCs w:val="24"/>
              </w:rPr>
              <w:t>6</w:t>
            </w:r>
          </w:p>
        </w:tc>
        <w:tc>
          <w:tcPr>
            <w:tcW w:w="2151" w:type="dxa"/>
            <w:tcBorders>
              <w:top w:val="single" w:color="auto" w:sz="4" w:space="0"/>
              <w:left w:val="nil"/>
              <w:bottom w:val="single" w:color="auto" w:sz="4" w:space="0"/>
              <w:right w:val="single" w:color="auto" w:sz="4" w:space="0"/>
            </w:tcBorders>
            <w:vAlign w:val="center"/>
          </w:tcPr>
          <w:p>
            <w:pPr>
              <w:spacing w:beforeLines="0" w:afterLines="0" w:line="336" w:lineRule="exact"/>
              <w:jc w:val="left"/>
              <w:rPr>
                <w:rFonts w:hint="default" w:ascii="Times New Roman" w:hAnsi="Times New Roman" w:eastAsia="仿宋_GB2312" w:cs="Times New Roman"/>
                <w:bCs/>
                <w:color w:val="auto"/>
                <w:sz w:val="24"/>
                <w:szCs w:val="24"/>
              </w:rPr>
            </w:pPr>
            <w:r>
              <w:rPr>
                <w:rFonts w:hint="default" w:ascii="Times New Roman" w:hAnsi="Times New Roman" w:eastAsia="仿宋_GB2312" w:cs="Times New Roman"/>
                <w:bCs/>
                <w:color w:val="auto"/>
                <w:sz w:val="24"/>
                <w:szCs w:val="24"/>
              </w:rPr>
              <w:t>完善相关法规制度文件</w:t>
            </w:r>
          </w:p>
        </w:tc>
        <w:tc>
          <w:tcPr>
            <w:tcW w:w="11936" w:type="dxa"/>
            <w:tcBorders>
              <w:top w:val="single" w:color="auto" w:sz="4" w:space="0"/>
              <w:left w:val="nil"/>
              <w:bottom w:val="single" w:color="auto" w:sz="4" w:space="0"/>
              <w:right w:val="single" w:color="auto" w:sz="4" w:space="0"/>
            </w:tcBorders>
            <w:vAlign w:val="center"/>
          </w:tcPr>
          <w:p>
            <w:pPr>
              <w:spacing w:beforeLines="0" w:afterLines="0" w:line="336" w:lineRule="exact"/>
              <w:jc w:val="left"/>
              <w:rPr>
                <w:rFonts w:hint="default" w:ascii="Times New Roman" w:hAnsi="Times New Roman" w:eastAsia="仿宋_GB2312" w:cs="Times New Roman"/>
                <w:bCs/>
                <w:color w:val="auto"/>
                <w:sz w:val="24"/>
                <w:szCs w:val="24"/>
              </w:rPr>
            </w:pPr>
            <w:r>
              <w:rPr>
                <w:rFonts w:hint="default" w:ascii="Times New Roman" w:hAnsi="Times New Roman" w:eastAsia="仿宋_GB2312" w:cs="Times New Roman"/>
                <w:bCs/>
                <w:color w:val="auto"/>
                <w:sz w:val="24"/>
                <w:szCs w:val="24"/>
                <w:lang w:bidi="ar"/>
              </w:rPr>
              <w:t>制定、完善配套文件。结合从化实际，大胆创新，</w:t>
            </w:r>
            <w:r>
              <w:rPr>
                <w:rFonts w:hint="default" w:ascii="Times New Roman" w:hAnsi="Times New Roman" w:eastAsia="仿宋_GB2312" w:cs="Times New Roman"/>
                <w:color w:val="auto"/>
                <w:sz w:val="24"/>
                <w:szCs w:val="24"/>
                <w:lang w:bidi="ar"/>
              </w:rPr>
              <w:t>制定、完善与改革相关的配套政策文件，全面贯彻落实各项改革措施。</w:t>
            </w:r>
          </w:p>
        </w:tc>
        <w:tc>
          <w:tcPr>
            <w:tcW w:w="1605" w:type="dxa"/>
            <w:tcBorders>
              <w:top w:val="single" w:color="auto" w:sz="4" w:space="0"/>
              <w:left w:val="nil"/>
              <w:bottom w:val="single" w:color="auto" w:sz="4" w:space="0"/>
              <w:right w:val="single" w:color="auto" w:sz="4" w:space="0"/>
            </w:tcBorders>
            <w:vAlign w:val="center"/>
          </w:tcPr>
          <w:p>
            <w:pPr>
              <w:spacing w:beforeLines="0" w:afterLines="0" w:line="336" w:lineRule="exact"/>
              <w:jc w:val="center"/>
              <w:rPr>
                <w:rFonts w:hint="default" w:ascii="Times New Roman" w:hAnsi="Times New Roman" w:eastAsia="仿宋_GB2312" w:cs="Times New Roman"/>
                <w:bCs/>
                <w:color w:val="auto"/>
                <w:sz w:val="24"/>
                <w:szCs w:val="24"/>
              </w:rPr>
            </w:pPr>
            <w:r>
              <w:rPr>
                <w:rFonts w:hint="default" w:ascii="Times New Roman" w:hAnsi="Times New Roman" w:eastAsia="仿宋_GB2312" w:cs="Times New Roman"/>
                <w:bCs/>
                <w:color w:val="auto"/>
                <w:sz w:val="24"/>
                <w:szCs w:val="24"/>
              </w:rPr>
              <w:t>区发改局、区住建局、区国规局</w:t>
            </w:r>
          </w:p>
        </w:tc>
        <w:tc>
          <w:tcPr>
            <w:tcW w:w="2571" w:type="dxa"/>
            <w:tcBorders>
              <w:top w:val="single" w:color="auto" w:sz="4" w:space="0"/>
              <w:left w:val="nil"/>
              <w:bottom w:val="single" w:color="auto" w:sz="4" w:space="0"/>
              <w:right w:val="single" w:color="auto" w:sz="4" w:space="0"/>
            </w:tcBorders>
            <w:vAlign w:val="center"/>
          </w:tcPr>
          <w:p>
            <w:pPr>
              <w:spacing w:beforeLines="0" w:afterLines="0" w:line="336" w:lineRule="exact"/>
              <w:rPr>
                <w:rFonts w:hint="default" w:ascii="Times New Roman" w:hAnsi="Times New Roman" w:eastAsia="仿宋_GB2312" w:cs="Times New Roman"/>
                <w:bCs/>
                <w:color w:val="auto"/>
                <w:sz w:val="24"/>
                <w:szCs w:val="24"/>
              </w:rPr>
            </w:pPr>
            <w:r>
              <w:rPr>
                <w:rFonts w:hint="default" w:ascii="Times New Roman" w:hAnsi="Times New Roman" w:eastAsia="仿宋_GB2312" w:cs="Times New Roman"/>
                <w:bCs/>
                <w:color w:val="auto"/>
                <w:sz w:val="24"/>
                <w:szCs w:val="24"/>
              </w:rPr>
              <w:t>区法制办</w:t>
            </w:r>
          </w:p>
        </w:tc>
        <w:tc>
          <w:tcPr>
            <w:tcW w:w="1441" w:type="dxa"/>
            <w:tcBorders>
              <w:top w:val="single" w:color="auto" w:sz="4" w:space="0"/>
              <w:left w:val="nil"/>
              <w:bottom w:val="single" w:color="auto" w:sz="4" w:space="0"/>
              <w:right w:val="single" w:color="auto" w:sz="4" w:space="0"/>
            </w:tcBorders>
            <w:vAlign w:val="center"/>
          </w:tcPr>
          <w:p>
            <w:pPr>
              <w:spacing w:beforeLines="0" w:afterLines="0" w:line="300" w:lineRule="exact"/>
              <w:rPr>
                <w:rFonts w:hint="default" w:ascii="Times New Roman" w:hAnsi="Times New Roman" w:eastAsia="仿宋_GB2312" w:cs="Times New Roman"/>
                <w:bCs/>
                <w:color w:val="auto"/>
                <w:sz w:val="24"/>
                <w:szCs w:val="24"/>
              </w:rPr>
            </w:pPr>
            <w:r>
              <w:rPr>
                <w:rFonts w:hint="default" w:ascii="Times New Roman" w:hAnsi="Times New Roman" w:eastAsia="仿宋_GB2312" w:cs="Times New Roman"/>
                <w:bCs/>
                <w:color w:val="auto"/>
                <w:sz w:val="24"/>
                <w:szCs w:val="24"/>
              </w:rPr>
              <w:t>2018-11-15</w:t>
            </w:r>
          </w:p>
        </w:tc>
        <w:tc>
          <w:tcPr>
            <w:tcW w:w="947" w:type="dxa"/>
            <w:tcBorders>
              <w:top w:val="single" w:color="auto" w:sz="4" w:space="0"/>
              <w:left w:val="nil"/>
              <w:bottom w:val="single" w:color="auto" w:sz="4" w:space="0"/>
              <w:right w:val="single" w:color="auto" w:sz="4" w:space="0"/>
            </w:tcBorders>
            <w:vAlign w:val="center"/>
          </w:tcPr>
          <w:p>
            <w:pPr>
              <w:spacing w:beforeLines="0" w:afterLines="0" w:line="300" w:lineRule="exact"/>
              <w:jc w:val="center"/>
              <w:rPr>
                <w:rFonts w:hint="default" w:ascii="Times New Roman" w:hAnsi="Times New Roman" w:eastAsia="仿宋_GB2312" w:cs="Times New Roman"/>
                <w:bCs/>
                <w:color w:val="auto"/>
                <w:sz w:val="24"/>
                <w:szCs w:val="24"/>
              </w:rPr>
            </w:pPr>
          </w:p>
        </w:tc>
      </w:tr>
      <w:tr>
        <w:tblPrEx>
          <w:tblLayout w:type="fixed"/>
          <w:tblCellMar>
            <w:top w:w="0" w:type="dxa"/>
            <w:left w:w="108" w:type="dxa"/>
            <w:bottom w:w="0" w:type="dxa"/>
            <w:right w:w="108" w:type="dxa"/>
          </w:tblCellMar>
        </w:tblPrEx>
        <w:trPr>
          <w:trHeight w:val="23" w:hRule="atLeast"/>
          <w:jc w:val="center"/>
        </w:trPr>
        <w:tc>
          <w:tcPr>
            <w:tcW w:w="921" w:type="dxa"/>
            <w:tcBorders>
              <w:top w:val="single" w:color="auto" w:sz="4" w:space="0"/>
              <w:left w:val="single" w:color="auto" w:sz="4" w:space="0"/>
              <w:bottom w:val="single" w:color="auto" w:sz="4" w:space="0"/>
              <w:right w:val="single" w:color="auto" w:sz="4" w:space="0"/>
            </w:tcBorders>
            <w:vAlign w:val="center"/>
          </w:tcPr>
          <w:p>
            <w:pPr>
              <w:spacing w:beforeLines="0" w:afterLines="0" w:line="340" w:lineRule="exact"/>
              <w:jc w:val="center"/>
              <w:rPr>
                <w:rFonts w:hint="default" w:ascii="Times New Roman" w:hAnsi="Times New Roman" w:eastAsia="仿宋_GB2312" w:cs="Times New Roman"/>
                <w:bCs/>
                <w:color w:val="auto"/>
                <w:sz w:val="24"/>
                <w:szCs w:val="24"/>
              </w:rPr>
            </w:pPr>
            <w:r>
              <w:rPr>
                <w:rFonts w:hint="default" w:ascii="Times New Roman" w:hAnsi="Times New Roman" w:eastAsia="仿宋_GB2312" w:cs="Times New Roman"/>
                <w:bCs/>
                <w:color w:val="auto"/>
                <w:sz w:val="24"/>
                <w:szCs w:val="24"/>
              </w:rPr>
              <w:t>7</w:t>
            </w:r>
          </w:p>
        </w:tc>
        <w:tc>
          <w:tcPr>
            <w:tcW w:w="2151" w:type="dxa"/>
            <w:tcBorders>
              <w:top w:val="single" w:color="auto" w:sz="4" w:space="0"/>
              <w:left w:val="nil"/>
              <w:bottom w:val="single" w:color="auto" w:sz="4" w:space="0"/>
              <w:right w:val="single" w:color="auto" w:sz="4" w:space="0"/>
            </w:tcBorders>
            <w:vAlign w:val="center"/>
          </w:tcPr>
          <w:p>
            <w:pPr>
              <w:spacing w:beforeLines="0" w:afterLines="0" w:line="336" w:lineRule="exact"/>
              <w:jc w:val="left"/>
              <w:rPr>
                <w:rFonts w:hint="default" w:ascii="Times New Roman" w:hAnsi="Times New Roman" w:eastAsia="仿宋_GB2312" w:cs="Times New Roman"/>
                <w:bCs/>
                <w:color w:val="auto"/>
                <w:sz w:val="24"/>
                <w:szCs w:val="24"/>
              </w:rPr>
            </w:pPr>
            <w:r>
              <w:rPr>
                <w:rFonts w:hint="default" w:ascii="Times New Roman" w:hAnsi="Times New Roman" w:eastAsia="仿宋_GB2312" w:cs="Times New Roman"/>
                <w:bCs/>
                <w:color w:val="auto"/>
                <w:sz w:val="24"/>
                <w:szCs w:val="24"/>
              </w:rPr>
              <w:t>建立</w:t>
            </w:r>
            <w:r>
              <w:rPr>
                <w:rFonts w:hint="eastAsia" w:ascii="Times New Roman" w:hAnsi="Times New Roman" w:cs="Times New Roman"/>
                <w:bCs/>
                <w:color w:val="auto"/>
                <w:sz w:val="24"/>
                <w:szCs w:val="24"/>
                <w:lang w:eastAsia="zh-CN"/>
              </w:rPr>
              <w:t>“</w:t>
            </w:r>
            <w:r>
              <w:rPr>
                <w:rFonts w:hint="default" w:ascii="Times New Roman" w:hAnsi="Times New Roman" w:eastAsia="仿宋_GB2312" w:cs="Times New Roman"/>
                <w:bCs/>
                <w:color w:val="auto"/>
                <w:sz w:val="24"/>
                <w:szCs w:val="24"/>
              </w:rPr>
              <w:t>容错</w:t>
            </w:r>
            <w:r>
              <w:rPr>
                <w:rFonts w:hint="eastAsia" w:ascii="Times New Roman" w:hAnsi="Times New Roman" w:cs="Times New Roman"/>
                <w:bCs/>
                <w:color w:val="auto"/>
                <w:sz w:val="24"/>
                <w:szCs w:val="24"/>
                <w:lang w:eastAsia="zh-CN"/>
              </w:rPr>
              <w:t>”</w:t>
            </w:r>
            <w:r>
              <w:rPr>
                <w:rFonts w:hint="default" w:ascii="Times New Roman" w:hAnsi="Times New Roman" w:eastAsia="仿宋_GB2312" w:cs="Times New Roman"/>
                <w:bCs/>
                <w:color w:val="auto"/>
                <w:sz w:val="24"/>
                <w:szCs w:val="24"/>
              </w:rPr>
              <w:t>工作机制</w:t>
            </w:r>
          </w:p>
        </w:tc>
        <w:tc>
          <w:tcPr>
            <w:tcW w:w="11936" w:type="dxa"/>
            <w:tcBorders>
              <w:top w:val="single" w:color="auto" w:sz="4" w:space="0"/>
              <w:left w:val="nil"/>
              <w:bottom w:val="single" w:color="auto" w:sz="4" w:space="0"/>
              <w:right w:val="single" w:color="auto" w:sz="4" w:space="0"/>
            </w:tcBorders>
            <w:vAlign w:val="center"/>
          </w:tcPr>
          <w:p>
            <w:pPr>
              <w:spacing w:beforeLines="0" w:afterLines="0" w:line="336" w:lineRule="exact"/>
              <w:jc w:val="left"/>
              <w:rPr>
                <w:rFonts w:hint="default" w:ascii="Times New Roman" w:hAnsi="Times New Roman" w:eastAsia="仿宋_GB2312" w:cs="Times New Roman"/>
                <w:bCs/>
                <w:color w:val="auto"/>
                <w:sz w:val="24"/>
                <w:szCs w:val="24"/>
              </w:rPr>
            </w:pPr>
            <w:r>
              <w:rPr>
                <w:rFonts w:hint="default" w:ascii="Times New Roman" w:hAnsi="Times New Roman" w:eastAsia="仿宋_GB2312" w:cs="Times New Roman"/>
                <w:bCs/>
                <w:color w:val="auto"/>
                <w:sz w:val="24"/>
                <w:szCs w:val="24"/>
              </w:rPr>
              <w:t>对采取改革措施审批，推进前期工作和进入开工建设的项目，相关行业监管部门除对工程的质量、安全、文明施工等进行监管外，对于经过技术复函、告知承诺函办理的审批事项，不对审批要件不完整的情形进行处罚问责；除相关单位、个人以容缺受理名义谋求私利情况外，纪检监察机关根据</w:t>
            </w:r>
            <w:r>
              <w:rPr>
                <w:rFonts w:hint="eastAsia" w:ascii="Times New Roman" w:hAnsi="Times New Roman" w:cs="Times New Roman"/>
                <w:bCs/>
                <w:color w:val="auto"/>
                <w:sz w:val="24"/>
                <w:szCs w:val="24"/>
                <w:lang w:eastAsia="zh-CN"/>
              </w:rPr>
              <w:t>“</w:t>
            </w:r>
            <w:r>
              <w:rPr>
                <w:rFonts w:hint="default" w:ascii="Times New Roman" w:hAnsi="Times New Roman" w:eastAsia="仿宋_GB2312" w:cs="Times New Roman"/>
                <w:bCs/>
                <w:color w:val="auto"/>
                <w:sz w:val="24"/>
                <w:szCs w:val="24"/>
              </w:rPr>
              <w:t>三个区分开来</w:t>
            </w:r>
            <w:r>
              <w:rPr>
                <w:rFonts w:hint="eastAsia" w:ascii="Times New Roman" w:hAnsi="Times New Roman" w:cs="Times New Roman"/>
                <w:bCs/>
                <w:color w:val="auto"/>
                <w:sz w:val="24"/>
                <w:szCs w:val="24"/>
                <w:lang w:eastAsia="zh-CN"/>
              </w:rPr>
              <w:t>”</w:t>
            </w:r>
            <w:r>
              <w:rPr>
                <w:rFonts w:hint="default" w:ascii="Times New Roman" w:hAnsi="Times New Roman" w:eastAsia="仿宋_GB2312" w:cs="Times New Roman"/>
                <w:bCs/>
                <w:color w:val="auto"/>
                <w:sz w:val="24"/>
                <w:szCs w:val="24"/>
              </w:rPr>
              <w:t>的原则和容错机制相关规定处理。</w:t>
            </w:r>
          </w:p>
        </w:tc>
        <w:tc>
          <w:tcPr>
            <w:tcW w:w="1605" w:type="dxa"/>
            <w:tcBorders>
              <w:top w:val="single" w:color="auto" w:sz="4" w:space="0"/>
              <w:left w:val="nil"/>
              <w:bottom w:val="single" w:color="auto" w:sz="4" w:space="0"/>
              <w:right w:val="single" w:color="auto" w:sz="4" w:space="0"/>
            </w:tcBorders>
            <w:vAlign w:val="center"/>
          </w:tcPr>
          <w:p>
            <w:pPr>
              <w:spacing w:beforeLines="0" w:afterLines="0" w:line="336" w:lineRule="exact"/>
              <w:jc w:val="center"/>
              <w:rPr>
                <w:rFonts w:hint="default" w:ascii="Times New Roman" w:hAnsi="Times New Roman" w:eastAsia="仿宋_GB2312" w:cs="Times New Roman"/>
                <w:bCs/>
                <w:color w:val="auto"/>
                <w:sz w:val="24"/>
                <w:szCs w:val="24"/>
              </w:rPr>
            </w:pPr>
            <w:r>
              <w:rPr>
                <w:rFonts w:hint="default" w:ascii="Times New Roman" w:hAnsi="Times New Roman" w:eastAsia="仿宋_GB2312" w:cs="Times New Roman"/>
                <w:bCs/>
                <w:color w:val="auto"/>
                <w:sz w:val="24"/>
                <w:szCs w:val="24"/>
              </w:rPr>
              <w:t>区纪委监委、区委组织部、区审计局</w:t>
            </w:r>
          </w:p>
        </w:tc>
        <w:tc>
          <w:tcPr>
            <w:tcW w:w="2571" w:type="dxa"/>
            <w:tcBorders>
              <w:top w:val="single" w:color="auto" w:sz="4" w:space="0"/>
              <w:left w:val="nil"/>
              <w:bottom w:val="single" w:color="auto" w:sz="4" w:space="0"/>
              <w:right w:val="single" w:color="auto" w:sz="4" w:space="0"/>
            </w:tcBorders>
            <w:vAlign w:val="center"/>
          </w:tcPr>
          <w:p>
            <w:pPr>
              <w:spacing w:beforeLines="0" w:afterLines="0" w:line="336" w:lineRule="exact"/>
              <w:rPr>
                <w:rFonts w:hint="default" w:ascii="Times New Roman" w:hAnsi="Times New Roman" w:eastAsia="仿宋_GB2312" w:cs="Times New Roman"/>
                <w:bCs/>
                <w:color w:val="auto"/>
                <w:sz w:val="24"/>
                <w:szCs w:val="24"/>
              </w:rPr>
            </w:pPr>
            <w:r>
              <w:rPr>
                <w:rFonts w:hint="default" w:ascii="Times New Roman" w:hAnsi="Times New Roman" w:eastAsia="仿宋_GB2312" w:cs="Times New Roman"/>
                <w:bCs/>
                <w:color w:val="auto"/>
                <w:sz w:val="24"/>
                <w:szCs w:val="24"/>
              </w:rPr>
              <w:t>　</w:t>
            </w:r>
          </w:p>
        </w:tc>
        <w:tc>
          <w:tcPr>
            <w:tcW w:w="1441" w:type="dxa"/>
            <w:tcBorders>
              <w:top w:val="single" w:color="auto" w:sz="4" w:space="0"/>
              <w:left w:val="nil"/>
              <w:bottom w:val="single" w:color="auto" w:sz="4" w:space="0"/>
              <w:right w:val="single" w:color="auto" w:sz="4" w:space="0"/>
            </w:tcBorders>
            <w:vAlign w:val="center"/>
          </w:tcPr>
          <w:p>
            <w:pPr>
              <w:spacing w:beforeLines="0" w:afterLines="0" w:line="300" w:lineRule="exact"/>
              <w:rPr>
                <w:rFonts w:hint="default" w:ascii="Times New Roman" w:hAnsi="Times New Roman" w:eastAsia="仿宋_GB2312" w:cs="Times New Roman"/>
                <w:bCs/>
                <w:color w:val="auto"/>
                <w:sz w:val="24"/>
                <w:szCs w:val="24"/>
              </w:rPr>
            </w:pPr>
            <w:r>
              <w:rPr>
                <w:rFonts w:hint="default" w:ascii="Times New Roman" w:hAnsi="Times New Roman" w:eastAsia="仿宋_GB2312" w:cs="Times New Roman"/>
                <w:bCs/>
                <w:color w:val="auto"/>
                <w:sz w:val="24"/>
                <w:szCs w:val="24"/>
              </w:rPr>
              <w:t>2018-11-15</w:t>
            </w:r>
          </w:p>
        </w:tc>
        <w:tc>
          <w:tcPr>
            <w:tcW w:w="947" w:type="dxa"/>
            <w:tcBorders>
              <w:top w:val="single" w:color="auto" w:sz="4" w:space="0"/>
              <w:left w:val="nil"/>
              <w:bottom w:val="single" w:color="auto" w:sz="4" w:space="0"/>
              <w:right w:val="single" w:color="auto" w:sz="4" w:space="0"/>
            </w:tcBorders>
            <w:vAlign w:val="center"/>
          </w:tcPr>
          <w:p>
            <w:pPr>
              <w:spacing w:beforeLines="0" w:afterLines="0" w:line="300" w:lineRule="exact"/>
              <w:jc w:val="center"/>
              <w:rPr>
                <w:rFonts w:hint="default" w:ascii="Times New Roman" w:hAnsi="Times New Roman" w:eastAsia="仿宋_GB2312" w:cs="Times New Roman"/>
                <w:bCs/>
                <w:color w:val="auto"/>
                <w:sz w:val="24"/>
                <w:szCs w:val="24"/>
              </w:rPr>
            </w:pPr>
          </w:p>
        </w:tc>
      </w:tr>
      <w:tr>
        <w:tblPrEx>
          <w:tblLayout w:type="fixed"/>
          <w:tblCellMar>
            <w:top w:w="0" w:type="dxa"/>
            <w:left w:w="108" w:type="dxa"/>
            <w:bottom w:w="0" w:type="dxa"/>
            <w:right w:w="108" w:type="dxa"/>
          </w:tblCellMar>
        </w:tblPrEx>
        <w:trPr>
          <w:trHeight w:val="23" w:hRule="atLeast"/>
          <w:jc w:val="center"/>
        </w:trPr>
        <w:tc>
          <w:tcPr>
            <w:tcW w:w="921" w:type="dxa"/>
            <w:tcBorders>
              <w:top w:val="single" w:color="auto" w:sz="4" w:space="0"/>
              <w:left w:val="single" w:color="auto" w:sz="4" w:space="0"/>
              <w:bottom w:val="single" w:color="auto" w:sz="4" w:space="0"/>
              <w:right w:val="single" w:color="auto" w:sz="4" w:space="0"/>
            </w:tcBorders>
            <w:vAlign w:val="center"/>
          </w:tcPr>
          <w:p>
            <w:pPr>
              <w:spacing w:beforeLines="0" w:afterLines="0" w:line="340" w:lineRule="exact"/>
              <w:jc w:val="center"/>
              <w:rPr>
                <w:rFonts w:hint="default" w:ascii="Times New Roman" w:hAnsi="Times New Roman" w:eastAsia="仿宋_GB2312" w:cs="Times New Roman"/>
                <w:bCs/>
                <w:color w:val="auto"/>
                <w:sz w:val="24"/>
                <w:szCs w:val="24"/>
              </w:rPr>
            </w:pPr>
            <w:r>
              <w:rPr>
                <w:rFonts w:hint="default" w:ascii="Times New Roman" w:hAnsi="Times New Roman" w:eastAsia="仿宋_GB2312" w:cs="Times New Roman"/>
                <w:bCs/>
                <w:color w:val="auto"/>
                <w:sz w:val="24"/>
                <w:szCs w:val="24"/>
              </w:rPr>
              <w:t>8</w:t>
            </w:r>
          </w:p>
        </w:tc>
        <w:tc>
          <w:tcPr>
            <w:tcW w:w="2151" w:type="dxa"/>
            <w:tcBorders>
              <w:top w:val="single" w:color="auto" w:sz="4" w:space="0"/>
              <w:left w:val="nil"/>
              <w:bottom w:val="single" w:color="auto" w:sz="4" w:space="0"/>
              <w:right w:val="single" w:color="auto" w:sz="4" w:space="0"/>
            </w:tcBorders>
            <w:vAlign w:val="center"/>
          </w:tcPr>
          <w:p>
            <w:pPr>
              <w:spacing w:beforeLines="0" w:afterLines="0" w:line="336" w:lineRule="exact"/>
              <w:jc w:val="left"/>
              <w:rPr>
                <w:rFonts w:hint="default" w:ascii="Times New Roman" w:hAnsi="Times New Roman" w:eastAsia="仿宋_GB2312" w:cs="Times New Roman"/>
                <w:bCs/>
                <w:color w:val="auto"/>
                <w:sz w:val="24"/>
                <w:szCs w:val="24"/>
              </w:rPr>
            </w:pPr>
            <w:r>
              <w:rPr>
                <w:rFonts w:hint="default" w:ascii="Times New Roman" w:hAnsi="Times New Roman" w:eastAsia="仿宋_GB2312" w:cs="Times New Roman"/>
                <w:bCs/>
                <w:color w:val="auto"/>
                <w:sz w:val="24"/>
                <w:szCs w:val="24"/>
              </w:rPr>
              <w:t>制定并实施配套制度和培训方案</w:t>
            </w:r>
          </w:p>
        </w:tc>
        <w:tc>
          <w:tcPr>
            <w:tcW w:w="11936" w:type="dxa"/>
            <w:tcBorders>
              <w:top w:val="single" w:color="auto" w:sz="4" w:space="0"/>
              <w:left w:val="nil"/>
              <w:bottom w:val="single" w:color="auto" w:sz="4" w:space="0"/>
              <w:right w:val="single" w:color="auto" w:sz="4" w:space="0"/>
            </w:tcBorders>
            <w:vAlign w:val="center"/>
          </w:tcPr>
          <w:p>
            <w:pPr>
              <w:spacing w:beforeLines="0" w:afterLines="0" w:line="336" w:lineRule="exact"/>
              <w:jc w:val="left"/>
              <w:rPr>
                <w:rFonts w:hint="default" w:ascii="Times New Roman" w:hAnsi="Times New Roman" w:eastAsia="仿宋_GB2312" w:cs="Times New Roman"/>
                <w:bCs/>
                <w:color w:val="auto"/>
                <w:sz w:val="24"/>
                <w:szCs w:val="24"/>
              </w:rPr>
            </w:pPr>
            <w:r>
              <w:rPr>
                <w:rFonts w:hint="default" w:ascii="Times New Roman" w:hAnsi="Times New Roman" w:eastAsia="仿宋_GB2312" w:cs="Times New Roman"/>
                <w:bCs/>
                <w:color w:val="auto"/>
                <w:sz w:val="24"/>
                <w:szCs w:val="24"/>
              </w:rPr>
              <w:t>制定并实施配套制度和培训方案，明确对审批部门的工作要求以及培训对象、培训方式等。</w:t>
            </w:r>
          </w:p>
        </w:tc>
        <w:tc>
          <w:tcPr>
            <w:tcW w:w="1605" w:type="dxa"/>
            <w:tcBorders>
              <w:top w:val="single" w:color="auto" w:sz="4" w:space="0"/>
              <w:left w:val="nil"/>
              <w:bottom w:val="single" w:color="auto" w:sz="4" w:space="0"/>
              <w:right w:val="single" w:color="auto" w:sz="4" w:space="0"/>
            </w:tcBorders>
            <w:vAlign w:val="center"/>
          </w:tcPr>
          <w:p>
            <w:pPr>
              <w:spacing w:beforeLines="0" w:afterLines="0" w:line="336" w:lineRule="exact"/>
              <w:jc w:val="center"/>
              <w:rPr>
                <w:rFonts w:hint="default" w:ascii="Times New Roman" w:hAnsi="Times New Roman" w:eastAsia="仿宋_GB2312" w:cs="Times New Roman"/>
                <w:bCs/>
                <w:color w:val="auto"/>
                <w:sz w:val="24"/>
                <w:szCs w:val="24"/>
              </w:rPr>
            </w:pPr>
            <w:r>
              <w:rPr>
                <w:rFonts w:hint="default" w:ascii="Times New Roman" w:hAnsi="Times New Roman" w:eastAsia="仿宋_GB2312" w:cs="Times New Roman"/>
                <w:bCs/>
                <w:color w:val="auto"/>
                <w:sz w:val="24"/>
                <w:szCs w:val="24"/>
              </w:rPr>
              <w:t>区住建局</w:t>
            </w:r>
          </w:p>
        </w:tc>
        <w:tc>
          <w:tcPr>
            <w:tcW w:w="2571" w:type="dxa"/>
            <w:tcBorders>
              <w:top w:val="single" w:color="auto" w:sz="4" w:space="0"/>
              <w:left w:val="nil"/>
              <w:bottom w:val="single" w:color="auto" w:sz="4" w:space="0"/>
              <w:right w:val="single" w:color="auto" w:sz="4" w:space="0"/>
            </w:tcBorders>
            <w:vAlign w:val="center"/>
          </w:tcPr>
          <w:p>
            <w:pPr>
              <w:spacing w:beforeLines="0" w:afterLines="0" w:line="336" w:lineRule="exact"/>
              <w:rPr>
                <w:rFonts w:hint="default" w:ascii="Times New Roman" w:hAnsi="Times New Roman" w:eastAsia="仿宋_GB2312" w:cs="Times New Roman"/>
                <w:bCs/>
                <w:color w:val="auto"/>
                <w:sz w:val="24"/>
                <w:szCs w:val="24"/>
              </w:rPr>
            </w:pPr>
            <w:r>
              <w:rPr>
                <w:rFonts w:hint="default" w:ascii="Times New Roman" w:hAnsi="Times New Roman" w:eastAsia="仿宋_GB2312" w:cs="Times New Roman"/>
                <w:bCs/>
                <w:color w:val="auto"/>
                <w:sz w:val="24"/>
                <w:szCs w:val="24"/>
              </w:rPr>
              <w:t>其他行业主管部门</w:t>
            </w:r>
          </w:p>
        </w:tc>
        <w:tc>
          <w:tcPr>
            <w:tcW w:w="1441" w:type="dxa"/>
            <w:tcBorders>
              <w:top w:val="single" w:color="auto" w:sz="4" w:space="0"/>
              <w:left w:val="nil"/>
              <w:bottom w:val="single" w:color="auto" w:sz="4" w:space="0"/>
              <w:right w:val="single" w:color="auto" w:sz="4" w:space="0"/>
            </w:tcBorders>
            <w:vAlign w:val="center"/>
          </w:tcPr>
          <w:p>
            <w:pPr>
              <w:spacing w:beforeLines="0" w:afterLines="0" w:line="300" w:lineRule="exact"/>
              <w:rPr>
                <w:rFonts w:hint="default" w:ascii="Times New Roman" w:hAnsi="Times New Roman" w:eastAsia="仿宋_GB2312" w:cs="Times New Roman"/>
                <w:bCs/>
                <w:color w:val="auto"/>
                <w:sz w:val="24"/>
                <w:szCs w:val="24"/>
              </w:rPr>
            </w:pPr>
            <w:r>
              <w:rPr>
                <w:rFonts w:hint="default" w:ascii="Times New Roman" w:hAnsi="Times New Roman" w:eastAsia="仿宋_GB2312" w:cs="Times New Roman"/>
                <w:bCs/>
                <w:color w:val="auto"/>
                <w:sz w:val="24"/>
                <w:szCs w:val="24"/>
              </w:rPr>
              <w:t>2018-10-15</w:t>
            </w:r>
          </w:p>
        </w:tc>
        <w:tc>
          <w:tcPr>
            <w:tcW w:w="947" w:type="dxa"/>
            <w:tcBorders>
              <w:top w:val="single" w:color="auto" w:sz="4" w:space="0"/>
              <w:left w:val="nil"/>
              <w:bottom w:val="single" w:color="auto" w:sz="4" w:space="0"/>
              <w:right w:val="single" w:color="auto" w:sz="4" w:space="0"/>
            </w:tcBorders>
            <w:vAlign w:val="center"/>
          </w:tcPr>
          <w:p>
            <w:pPr>
              <w:spacing w:beforeLines="0" w:afterLines="0" w:line="300" w:lineRule="exact"/>
              <w:jc w:val="center"/>
              <w:rPr>
                <w:rFonts w:hint="default" w:ascii="Times New Roman" w:hAnsi="Times New Roman" w:eastAsia="仿宋_GB2312" w:cs="Times New Roman"/>
                <w:bCs/>
                <w:color w:val="auto"/>
                <w:sz w:val="24"/>
                <w:szCs w:val="24"/>
              </w:rPr>
            </w:pPr>
          </w:p>
        </w:tc>
      </w:tr>
      <w:tr>
        <w:tblPrEx>
          <w:tblLayout w:type="fixed"/>
          <w:tblCellMar>
            <w:top w:w="0" w:type="dxa"/>
            <w:left w:w="108" w:type="dxa"/>
            <w:bottom w:w="0" w:type="dxa"/>
            <w:right w:w="108" w:type="dxa"/>
          </w:tblCellMar>
        </w:tblPrEx>
        <w:trPr>
          <w:trHeight w:val="23" w:hRule="atLeast"/>
          <w:jc w:val="center"/>
        </w:trPr>
        <w:tc>
          <w:tcPr>
            <w:tcW w:w="921" w:type="dxa"/>
            <w:tcBorders>
              <w:top w:val="single" w:color="auto" w:sz="4" w:space="0"/>
              <w:left w:val="single" w:color="auto" w:sz="4" w:space="0"/>
              <w:bottom w:val="single" w:color="auto" w:sz="4" w:space="0"/>
              <w:right w:val="single" w:color="auto" w:sz="4" w:space="0"/>
            </w:tcBorders>
            <w:vAlign w:val="center"/>
          </w:tcPr>
          <w:p>
            <w:pPr>
              <w:spacing w:beforeLines="0" w:afterLines="0" w:line="340" w:lineRule="exact"/>
              <w:jc w:val="center"/>
              <w:rPr>
                <w:rFonts w:hint="default" w:ascii="Times New Roman" w:hAnsi="Times New Roman" w:eastAsia="仿宋_GB2312" w:cs="Times New Roman"/>
                <w:bCs/>
                <w:color w:val="auto"/>
                <w:sz w:val="24"/>
                <w:szCs w:val="24"/>
              </w:rPr>
            </w:pPr>
            <w:r>
              <w:rPr>
                <w:rFonts w:hint="default" w:ascii="Times New Roman" w:hAnsi="Times New Roman" w:eastAsia="仿宋_GB2312" w:cs="Times New Roman"/>
                <w:bCs/>
                <w:color w:val="auto"/>
                <w:sz w:val="24"/>
                <w:szCs w:val="24"/>
              </w:rPr>
              <w:t>9</w:t>
            </w:r>
          </w:p>
        </w:tc>
        <w:tc>
          <w:tcPr>
            <w:tcW w:w="2151" w:type="dxa"/>
            <w:tcBorders>
              <w:top w:val="single" w:color="auto" w:sz="4" w:space="0"/>
              <w:left w:val="nil"/>
              <w:bottom w:val="single" w:color="auto" w:sz="4" w:space="0"/>
              <w:right w:val="single" w:color="auto" w:sz="4" w:space="0"/>
            </w:tcBorders>
            <w:vAlign w:val="center"/>
          </w:tcPr>
          <w:p>
            <w:pPr>
              <w:spacing w:beforeLines="0" w:afterLines="0" w:line="336" w:lineRule="exact"/>
              <w:jc w:val="left"/>
              <w:rPr>
                <w:rFonts w:hint="default" w:ascii="Times New Roman" w:hAnsi="Times New Roman" w:eastAsia="仿宋_GB2312" w:cs="Times New Roman"/>
                <w:bCs/>
                <w:color w:val="auto"/>
                <w:sz w:val="24"/>
                <w:szCs w:val="24"/>
              </w:rPr>
            </w:pPr>
            <w:r>
              <w:rPr>
                <w:rFonts w:hint="default" w:ascii="Times New Roman" w:hAnsi="Times New Roman" w:eastAsia="仿宋_GB2312" w:cs="Times New Roman"/>
                <w:bCs/>
                <w:color w:val="auto"/>
                <w:sz w:val="24"/>
                <w:szCs w:val="24"/>
              </w:rPr>
              <w:t>建立工程建设项目审批信用信息平台</w:t>
            </w:r>
          </w:p>
        </w:tc>
        <w:tc>
          <w:tcPr>
            <w:tcW w:w="11936" w:type="dxa"/>
            <w:tcBorders>
              <w:top w:val="single" w:color="auto" w:sz="4" w:space="0"/>
              <w:left w:val="nil"/>
              <w:bottom w:val="single" w:color="auto" w:sz="4" w:space="0"/>
              <w:right w:val="single" w:color="auto" w:sz="4" w:space="0"/>
            </w:tcBorders>
            <w:vAlign w:val="center"/>
          </w:tcPr>
          <w:p>
            <w:pPr>
              <w:spacing w:beforeLines="0" w:afterLines="0" w:line="336" w:lineRule="exact"/>
              <w:jc w:val="left"/>
              <w:rPr>
                <w:rFonts w:hint="default" w:ascii="Times New Roman" w:hAnsi="Times New Roman" w:eastAsia="仿宋_GB2312" w:cs="Times New Roman"/>
                <w:bCs/>
                <w:color w:val="auto"/>
                <w:sz w:val="24"/>
                <w:szCs w:val="24"/>
              </w:rPr>
            </w:pPr>
            <w:r>
              <w:rPr>
                <w:rFonts w:hint="default" w:ascii="Times New Roman" w:hAnsi="Times New Roman" w:eastAsia="仿宋_GB2312" w:cs="Times New Roman"/>
                <w:bCs/>
                <w:color w:val="auto"/>
                <w:sz w:val="24"/>
                <w:szCs w:val="24"/>
              </w:rPr>
              <w:t>从重审批向重事中事后监管转变，以告知承诺事项为重点，建立完善记录、抽查和惩戒的事中事后监管制度和平台，建立健全覆盖建设管理单位、工程勘测、设计、施工、监理等各类企业和注册执业人员的诚信体系，进一步落实各单位的主体责任，经发现存在承诺不兑现或弄虚作假等行为并经查实的，计入企业和个人诚信档案，按规定实施联合惩戒。明确依托工程建设项目审批管理系统，建立工程建设项目审批信用信息平台，全面公开企业和从业人员违法违规、不履行承诺的不良行为。明确建立</w:t>
            </w:r>
            <w:r>
              <w:rPr>
                <w:rFonts w:hint="eastAsia" w:ascii="Times New Roman" w:hAnsi="Times New Roman" w:cs="Times New Roman"/>
                <w:color w:val="auto"/>
                <w:kern w:val="0"/>
                <w:sz w:val="24"/>
                <w:szCs w:val="24"/>
                <w:lang w:eastAsia="zh-CN"/>
              </w:rPr>
              <w:t>“</w:t>
            </w:r>
            <w:r>
              <w:rPr>
                <w:rFonts w:hint="default" w:ascii="Times New Roman" w:hAnsi="Times New Roman" w:eastAsia="仿宋_GB2312" w:cs="Times New Roman"/>
                <w:color w:val="auto"/>
                <w:kern w:val="0"/>
                <w:sz w:val="24"/>
                <w:szCs w:val="24"/>
              </w:rPr>
              <w:t>黑名单</w:t>
            </w:r>
            <w:r>
              <w:rPr>
                <w:rFonts w:hint="eastAsia" w:ascii="Times New Roman" w:hAnsi="Times New Roman" w:cs="Times New Roman"/>
                <w:color w:val="auto"/>
                <w:kern w:val="0"/>
                <w:sz w:val="24"/>
                <w:szCs w:val="24"/>
                <w:lang w:eastAsia="zh-CN"/>
              </w:rPr>
              <w:t>”</w:t>
            </w:r>
            <w:r>
              <w:rPr>
                <w:rFonts w:hint="default" w:ascii="Times New Roman" w:hAnsi="Times New Roman" w:eastAsia="仿宋_GB2312" w:cs="Times New Roman"/>
                <w:bCs/>
                <w:color w:val="auto"/>
                <w:sz w:val="24"/>
                <w:szCs w:val="24"/>
              </w:rPr>
              <w:t>制度，制定具体规定，明确哪些违法行为应当列入</w:t>
            </w:r>
            <w:r>
              <w:rPr>
                <w:rFonts w:hint="eastAsia" w:ascii="Times New Roman" w:hAnsi="Times New Roman" w:cs="Times New Roman"/>
                <w:color w:val="auto"/>
                <w:kern w:val="0"/>
                <w:sz w:val="24"/>
                <w:szCs w:val="24"/>
                <w:lang w:eastAsia="zh-CN"/>
              </w:rPr>
              <w:t>“</w:t>
            </w:r>
            <w:r>
              <w:rPr>
                <w:rFonts w:hint="default" w:ascii="Times New Roman" w:hAnsi="Times New Roman" w:eastAsia="仿宋_GB2312" w:cs="Times New Roman"/>
                <w:color w:val="auto"/>
                <w:kern w:val="0"/>
                <w:sz w:val="24"/>
                <w:szCs w:val="24"/>
              </w:rPr>
              <w:t>黑名单</w:t>
            </w:r>
            <w:r>
              <w:rPr>
                <w:rFonts w:hint="eastAsia" w:ascii="Times New Roman" w:hAnsi="Times New Roman" w:cs="Times New Roman"/>
                <w:color w:val="auto"/>
                <w:kern w:val="0"/>
                <w:sz w:val="24"/>
                <w:szCs w:val="24"/>
                <w:lang w:eastAsia="zh-CN"/>
              </w:rPr>
              <w:t>”</w:t>
            </w:r>
            <w:r>
              <w:rPr>
                <w:rFonts w:hint="default" w:ascii="Times New Roman" w:hAnsi="Times New Roman" w:eastAsia="仿宋_GB2312" w:cs="Times New Roman"/>
                <w:bCs/>
                <w:color w:val="auto"/>
                <w:sz w:val="24"/>
                <w:szCs w:val="24"/>
              </w:rPr>
              <w:t>，对失信行为如何实施联合惩戒等。</w:t>
            </w:r>
          </w:p>
        </w:tc>
        <w:tc>
          <w:tcPr>
            <w:tcW w:w="1605" w:type="dxa"/>
            <w:tcBorders>
              <w:top w:val="single" w:color="auto" w:sz="4" w:space="0"/>
              <w:left w:val="nil"/>
              <w:bottom w:val="single" w:color="auto" w:sz="4" w:space="0"/>
              <w:right w:val="single" w:color="auto" w:sz="4" w:space="0"/>
            </w:tcBorders>
            <w:vAlign w:val="center"/>
          </w:tcPr>
          <w:p>
            <w:pPr>
              <w:spacing w:beforeLines="0" w:afterLines="0" w:line="336" w:lineRule="exact"/>
              <w:jc w:val="center"/>
              <w:rPr>
                <w:rFonts w:hint="default" w:ascii="Times New Roman" w:hAnsi="Times New Roman" w:eastAsia="仿宋_GB2312" w:cs="Times New Roman"/>
                <w:bCs/>
                <w:color w:val="auto"/>
                <w:sz w:val="24"/>
                <w:szCs w:val="24"/>
              </w:rPr>
            </w:pPr>
            <w:r>
              <w:rPr>
                <w:rFonts w:hint="default" w:ascii="Times New Roman" w:hAnsi="Times New Roman" w:eastAsia="仿宋_GB2312" w:cs="Times New Roman"/>
                <w:bCs/>
                <w:color w:val="auto"/>
                <w:sz w:val="24"/>
                <w:szCs w:val="24"/>
              </w:rPr>
              <w:t>区发改局</w:t>
            </w:r>
          </w:p>
        </w:tc>
        <w:tc>
          <w:tcPr>
            <w:tcW w:w="2571" w:type="dxa"/>
            <w:tcBorders>
              <w:top w:val="single" w:color="auto" w:sz="4" w:space="0"/>
              <w:left w:val="nil"/>
              <w:bottom w:val="single" w:color="auto" w:sz="4" w:space="0"/>
              <w:right w:val="single" w:color="auto" w:sz="4" w:space="0"/>
            </w:tcBorders>
            <w:vAlign w:val="center"/>
          </w:tcPr>
          <w:p>
            <w:pPr>
              <w:spacing w:beforeLines="0" w:afterLines="0" w:line="336" w:lineRule="exact"/>
              <w:rPr>
                <w:rFonts w:hint="default" w:ascii="Times New Roman" w:hAnsi="Times New Roman" w:eastAsia="仿宋_GB2312" w:cs="Times New Roman"/>
                <w:bCs/>
                <w:color w:val="auto"/>
                <w:sz w:val="24"/>
                <w:szCs w:val="24"/>
              </w:rPr>
            </w:pPr>
            <w:r>
              <w:rPr>
                <w:rFonts w:hint="default" w:ascii="Times New Roman" w:hAnsi="Times New Roman" w:eastAsia="仿宋_GB2312" w:cs="Times New Roman"/>
                <w:bCs/>
                <w:color w:val="auto"/>
                <w:sz w:val="24"/>
                <w:szCs w:val="24"/>
              </w:rPr>
              <w:t>区政务办、区国规局、区住建局</w:t>
            </w:r>
          </w:p>
        </w:tc>
        <w:tc>
          <w:tcPr>
            <w:tcW w:w="1441" w:type="dxa"/>
            <w:tcBorders>
              <w:top w:val="single" w:color="auto" w:sz="4" w:space="0"/>
              <w:left w:val="nil"/>
              <w:bottom w:val="single" w:color="auto" w:sz="4" w:space="0"/>
              <w:right w:val="single" w:color="auto" w:sz="4" w:space="0"/>
            </w:tcBorders>
            <w:vAlign w:val="center"/>
          </w:tcPr>
          <w:p>
            <w:pPr>
              <w:spacing w:beforeLines="0" w:afterLines="0" w:line="300" w:lineRule="exact"/>
              <w:rPr>
                <w:rFonts w:hint="default" w:ascii="Times New Roman" w:hAnsi="Times New Roman" w:eastAsia="仿宋_GB2312" w:cs="Times New Roman"/>
                <w:bCs/>
                <w:color w:val="auto"/>
                <w:sz w:val="24"/>
                <w:szCs w:val="24"/>
              </w:rPr>
            </w:pPr>
            <w:r>
              <w:rPr>
                <w:rFonts w:hint="default" w:ascii="Times New Roman" w:hAnsi="Times New Roman" w:eastAsia="仿宋_GB2312" w:cs="Times New Roman"/>
                <w:bCs/>
                <w:color w:val="auto"/>
                <w:sz w:val="24"/>
                <w:szCs w:val="24"/>
              </w:rPr>
              <w:t>2018-11-15</w:t>
            </w:r>
          </w:p>
        </w:tc>
        <w:tc>
          <w:tcPr>
            <w:tcW w:w="947" w:type="dxa"/>
            <w:tcBorders>
              <w:top w:val="single" w:color="auto" w:sz="4" w:space="0"/>
              <w:left w:val="nil"/>
              <w:bottom w:val="single" w:color="auto" w:sz="4" w:space="0"/>
              <w:right w:val="single" w:color="auto" w:sz="4" w:space="0"/>
            </w:tcBorders>
            <w:vAlign w:val="center"/>
          </w:tcPr>
          <w:p>
            <w:pPr>
              <w:spacing w:beforeLines="0" w:afterLines="0" w:line="300" w:lineRule="exact"/>
              <w:jc w:val="center"/>
              <w:rPr>
                <w:rFonts w:hint="default" w:ascii="Times New Roman" w:hAnsi="Times New Roman" w:eastAsia="仿宋_GB2312" w:cs="Times New Roman"/>
                <w:bCs/>
                <w:color w:val="auto"/>
                <w:sz w:val="24"/>
                <w:szCs w:val="24"/>
              </w:rPr>
            </w:pPr>
          </w:p>
        </w:tc>
      </w:tr>
      <w:tr>
        <w:tblPrEx>
          <w:tblLayout w:type="fixed"/>
          <w:tblCellMar>
            <w:top w:w="0" w:type="dxa"/>
            <w:left w:w="108" w:type="dxa"/>
            <w:bottom w:w="0" w:type="dxa"/>
            <w:right w:w="108" w:type="dxa"/>
          </w:tblCellMar>
        </w:tblPrEx>
        <w:trPr>
          <w:trHeight w:val="23" w:hRule="atLeast"/>
          <w:jc w:val="center"/>
        </w:trPr>
        <w:tc>
          <w:tcPr>
            <w:tcW w:w="921" w:type="dxa"/>
            <w:tcBorders>
              <w:top w:val="single" w:color="auto" w:sz="4" w:space="0"/>
              <w:left w:val="single" w:color="auto" w:sz="4" w:space="0"/>
              <w:bottom w:val="single" w:color="auto" w:sz="4" w:space="0"/>
              <w:right w:val="single" w:color="auto" w:sz="4" w:space="0"/>
            </w:tcBorders>
            <w:vAlign w:val="center"/>
          </w:tcPr>
          <w:p>
            <w:pPr>
              <w:spacing w:beforeLines="0" w:afterLines="0" w:line="340" w:lineRule="exact"/>
              <w:jc w:val="center"/>
              <w:rPr>
                <w:rFonts w:hint="default" w:ascii="Times New Roman" w:hAnsi="Times New Roman" w:eastAsia="仿宋_GB2312" w:cs="Times New Roman"/>
                <w:bCs/>
                <w:color w:val="auto"/>
                <w:sz w:val="24"/>
                <w:szCs w:val="24"/>
              </w:rPr>
            </w:pPr>
            <w:r>
              <w:rPr>
                <w:rFonts w:hint="default" w:ascii="Times New Roman" w:hAnsi="Times New Roman" w:eastAsia="仿宋_GB2312" w:cs="Times New Roman"/>
                <w:bCs/>
                <w:color w:val="auto"/>
                <w:sz w:val="24"/>
                <w:szCs w:val="24"/>
              </w:rPr>
              <w:t>10</w:t>
            </w:r>
          </w:p>
        </w:tc>
        <w:tc>
          <w:tcPr>
            <w:tcW w:w="2151" w:type="dxa"/>
            <w:tcBorders>
              <w:top w:val="single" w:color="auto" w:sz="4" w:space="0"/>
              <w:left w:val="nil"/>
              <w:bottom w:val="single" w:color="auto" w:sz="4" w:space="0"/>
              <w:right w:val="single" w:color="auto" w:sz="4" w:space="0"/>
            </w:tcBorders>
            <w:vAlign w:val="center"/>
          </w:tcPr>
          <w:p>
            <w:pPr>
              <w:spacing w:beforeLines="0" w:afterLines="0" w:line="336" w:lineRule="exact"/>
              <w:jc w:val="left"/>
              <w:rPr>
                <w:rFonts w:hint="default" w:ascii="Times New Roman" w:hAnsi="Times New Roman" w:eastAsia="仿宋_GB2312" w:cs="Times New Roman"/>
                <w:bCs/>
                <w:color w:val="auto"/>
                <w:sz w:val="24"/>
                <w:szCs w:val="24"/>
              </w:rPr>
            </w:pPr>
            <w:r>
              <w:rPr>
                <w:rFonts w:hint="default" w:ascii="Times New Roman" w:hAnsi="Times New Roman" w:eastAsia="仿宋_GB2312" w:cs="Times New Roman"/>
                <w:bCs/>
                <w:color w:val="auto"/>
                <w:sz w:val="24"/>
                <w:szCs w:val="24"/>
              </w:rPr>
              <w:t>制定统一的并联审批阶段办事指南及申报表单</w:t>
            </w:r>
          </w:p>
        </w:tc>
        <w:tc>
          <w:tcPr>
            <w:tcW w:w="11936" w:type="dxa"/>
            <w:tcBorders>
              <w:top w:val="single" w:color="auto" w:sz="4" w:space="0"/>
              <w:left w:val="nil"/>
              <w:bottom w:val="single" w:color="auto" w:sz="4" w:space="0"/>
              <w:right w:val="single" w:color="auto" w:sz="4" w:space="0"/>
            </w:tcBorders>
            <w:vAlign w:val="center"/>
          </w:tcPr>
          <w:p>
            <w:pPr>
              <w:spacing w:beforeLines="0" w:afterLines="0" w:line="336" w:lineRule="exact"/>
              <w:jc w:val="left"/>
              <w:rPr>
                <w:rFonts w:hint="default" w:ascii="Times New Roman" w:hAnsi="Times New Roman" w:eastAsia="仿宋_GB2312" w:cs="Times New Roman"/>
                <w:bCs/>
                <w:color w:val="auto"/>
                <w:sz w:val="24"/>
                <w:szCs w:val="24"/>
              </w:rPr>
            </w:pPr>
            <w:r>
              <w:rPr>
                <w:rFonts w:hint="default" w:ascii="Times New Roman" w:hAnsi="Times New Roman" w:eastAsia="仿宋_GB2312" w:cs="Times New Roman"/>
                <w:bCs/>
                <w:color w:val="auto"/>
                <w:sz w:val="24"/>
                <w:szCs w:val="24"/>
              </w:rPr>
              <w:t>每个并联审批阶段均实施</w:t>
            </w:r>
            <w:r>
              <w:rPr>
                <w:rFonts w:hint="eastAsia" w:ascii="Times New Roman" w:hAnsi="Times New Roman" w:cs="Times New Roman"/>
                <w:bCs/>
                <w:color w:val="auto"/>
                <w:sz w:val="24"/>
                <w:szCs w:val="24"/>
                <w:lang w:eastAsia="zh-CN"/>
              </w:rPr>
              <w:t>“</w:t>
            </w:r>
            <w:r>
              <w:rPr>
                <w:rFonts w:hint="default" w:ascii="Times New Roman" w:hAnsi="Times New Roman" w:eastAsia="仿宋_GB2312" w:cs="Times New Roman"/>
                <w:bCs/>
                <w:color w:val="auto"/>
                <w:sz w:val="24"/>
                <w:szCs w:val="24"/>
              </w:rPr>
              <w:t>一家牵头、一口受理、并联审批、限时办结</w:t>
            </w:r>
            <w:r>
              <w:rPr>
                <w:rFonts w:hint="eastAsia" w:ascii="Times New Roman" w:hAnsi="Times New Roman" w:cs="Times New Roman"/>
                <w:bCs/>
                <w:color w:val="auto"/>
                <w:sz w:val="24"/>
                <w:szCs w:val="24"/>
                <w:lang w:eastAsia="zh-CN"/>
              </w:rPr>
              <w:t>”</w:t>
            </w:r>
            <w:r>
              <w:rPr>
                <w:rFonts w:hint="default" w:ascii="Times New Roman" w:hAnsi="Times New Roman" w:eastAsia="仿宋_GB2312" w:cs="Times New Roman"/>
                <w:bCs/>
                <w:color w:val="auto"/>
                <w:sz w:val="24"/>
                <w:szCs w:val="24"/>
              </w:rPr>
              <w:t>的工作机制，牵头部门制定统一的并联审批阶段办事指南及申报表单，并组织协调相关部门按并联审批要求完成审批。立项用地规划许可阶段的牵头部门为区国规局，施工许可阶段及竣工验收阶段实行行业主管部门负责制，按行业分类，分别由建设、水务、交通、林业园林等行政主管部门负责。</w:t>
            </w:r>
          </w:p>
        </w:tc>
        <w:tc>
          <w:tcPr>
            <w:tcW w:w="1605" w:type="dxa"/>
            <w:tcBorders>
              <w:top w:val="single" w:color="auto" w:sz="4" w:space="0"/>
              <w:left w:val="nil"/>
              <w:bottom w:val="single" w:color="auto" w:sz="4" w:space="0"/>
              <w:right w:val="single" w:color="auto" w:sz="4" w:space="0"/>
            </w:tcBorders>
            <w:vAlign w:val="center"/>
          </w:tcPr>
          <w:p>
            <w:pPr>
              <w:spacing w:beforeLines="0" w:afterLines="0" w:line="336" w:lineRule="exact"/>
              <w:jc w:val="center"/>
              <w:rPr>
                <w:rFonts w:hint="default" w:ascii="Times New Roman" w:hAnsi="Times New Roman" w:eastAsia="仿宋_GB2312" w:cs="Times New Roman"/>
                <w:bCs/>
                <w:color w:val="auto"/>
                <w:sz w:val="24"/>
                <w:szCs w:val="24"/>
              </w:rPr>
            </w:pPr>
            <w:r>
              <w:rPr>
                <w:rFonts w:hint="default" w:ascii="Times New Roman" w:hAnsi="Times New Roman" w:eastAsia="仿宋_GB2312" w:cs="Times New Roman"/>
                <w:bCs/>
                <w:color w:val="auto"/>
                <w:sz w:val="24"/>
                <w:szCs w:val="24"/>
              </w:rPr>
              <w:t>区国规局、区住建局、区水务局、区交通局、区林业和园林局</w:t>
            </w:r>
          </w:p>
        </w:tc>
        <w:tc>
          <w:tcPr>
            <w:tcW w:w="2571" w:type="dxa"/>
            <w:tcBorders>
              <w:top w:val="single" w:color="auto" w:sz="4" w:space="0"/>
              <w:left w:val="nil"/>
              <w:bottom w:val="single" w:color="auto" w:sz="4" w:space="0"/>
              <w:right w:val="single" w:color="auto" w:sz="4" w:space="0"/>
            </w:tcBorders>
            <w:vAlign w:val="center"/>
          </w:tcPr>
          <w:p>
            <w:pPr>
              <w:spacing w:beforeLines="0" w:afterLines="0" w:line="336" w:lineRule="exact"/>
              <w:rPr>
                <w:rFonts w:hint="default" w:ascii="Times New Roman" w:hAnsi="Times New Roman" w:eastAsia="仿宋_GB2312" w:cs="Times New Roman"/>
                <w:bCs/>
                <w:color w:val="auto"/>
                <w:sz w:val="24"/>
                <w:szCs w:val="24"/>
              </w:rPr>
            </w:pPr>
            <w:r>
              <w:rPr>
                <w:rFonts w:hint="default" w:ascii="Times New Roman" w:hAnsi="Times New Roman" w:eastAsia="仿宋_GB2312" w:cs="Times New Roman"/>
                <w:bCs/>
                <w:color w:val="auto"/>
                <w:sz w:val="24"/>
                <w:szCs w:val="24"/>
              </w:rPr>
              <w:t>区政务办</w:t>
            </w:r>
          </w:p>
        </w:tc>
        <w:tc>
          <w:tcPr>
            <w:tcW w:w="1441" w:type="dxa"/>
            <w:tcBorders>
              <w:top w:val="single" w:color="auto" w:sz="4" w:space="0"/>
              <w:left w:val="nil"/>
              <w:bottom w:val="single" w:color="auto" w:sz="4" w:space="0"/>
              <w:right w:val="single" w:color="auto" w:sz="4" w:space="0"/>
            </w:tcBorders>
            <w:vAlign w:val="center"/>
          </w:tcPr>
          <w:p>
            <w:pPr>
              <w:spacing w:beforeLines="0" w:afterLines="0" w:line="300" w:lineRule="exact"/>
              <w:rPr>
                <w:rFonts w:hint="default" w:ascii="Times New Roman" w:hAnsi="Times New Roman" w:eastAsia="仿宋_GB2312" w:cs="Times New Roman"/>
                <w:bCs/>
                <w:color w:val="auto"/>
                <w:sz w:val="24"/>
                <w:szCs w:val="24"/>
              </w:rPr>
            </w:pPr>
            <w:r>
              <w:rPr>
                <w:rFonts w:hint="default" w:ascii="Times New Roman" w:hAnsi="Times New Roman" w:eastAsia="仿宋_GB2312" w:cs="Times New Roman"/>
                <w:bCs/>
                <w:color w:val="auto"/>
                <w:sz w:val="24"/>
                <w:szCs w:val="24"/>
              </w:rPr>
              <w:t>2018-10-15</w:t>
            </w:r>
          </w:p>
        </w:tc>
        <w:tc>
          <w:tcPr>
            <w:tcW w:w="947" w:type="dxa"/>
            <w:tcBorders>
              <w:top w:val="single" w:color="auto" w:sz="4" w:space="0"/>
              <w:left w:val="nil"/>
              <w:bottom w:val="single" w:color="auto" w:sz="4" w:space="0"/>
              <w:right w:val="single" w:color="auto" w:sz="4" w:space="0"/>
            </w:tcBorders>
            <w:vAlign w:val="center"/>
          </w:tcPr>
          <w:p>
            <w:pPr>
              <w:spacing w:beforeLines="0" w:afterLines="0" w:line="300" w:lineRule="exact"/>
              <w:jc w:val="center"/>
              <w:rPr>
                <w:rFonts w:hint="default" w:ascii="Times New Roman" w:hAnsi="Times New Roman" w:eastAsia="仿宋_GB2312" w:cs="Times New Roman"/>
                <w:bCs/>
                <w:color w:val="auto"/>
                <w:sz w:val="24"/>
                <w:szCs w:val="24"/>
              </w:rPr>
            </w:pPr>
          </w:p>
        </w:tc>
      </w:tr>
      <w:tr>
        <w:tblPrEx>
          <w:tblLayout w:type="fixed"/>
          <w:tblCellMar>
            <w:top w:w="0" w:type="dxa"/>
            <w:left w:w="108" w:type="dxa"/>
            <w:bottom w:w="0" w:type="dxa"/>
            <w:right w:w="108" w:type="dxa"/>
          </w:tblCellMar>
        </w:tblPrEx>
        <w:trPr>
          <w:trHeight w:val="23" w:hRule="atLeast"/>
          <w:jc w:val="center"/>
        </w:trPr>
        <w:tc>
          <w:tcPr>
            <w:tcW w:w="921" w:type="dxa"/>
            <w:tcBorders>
              <w:top w:val="single" w:color="auto" w:sz="4" w:space="0"/>
              <w:left w:val="single" w:color="auto" w:sz="4" w:space="0"/>
              <w:bottom w:val="single" w:color="auto" w:sz="4" w:space="0"/>
              <w:right w:val="single" w:color="auto" w:sz="4" w:space="0"/>
            </w:tcBorders>
            <w:vAlign w:val="center"/>
          </w:tcPr>
          <w:p>
            <w:pPr>
              <w:spacing w:beforeLines="0" w:afterLines="0" w:line="340" w:lineRule="exact"/>
              <w:jc w:val="center"/>
              <w:rPr>
                <w:rFonts w:hint="default" w:ascii="Times New Roman" w:hAnsi="Times New Roman" w:eastAsia="仿宋_GB2312" w:cs="Times New Roman"/>
                <w:bCs/>
                <w:color w:val="auto"/>
                <w:sz w:val="24"/>
                <w:szCs w:val="24"/>
              </w:rPr>
            </w:pPr>
            <w:r>
              <w:rPr>
                <w:rFonts w:hint="default" w:ascii="Times New Roman" w:hAnsi="Times New Roman" w:eastAsia="仿宋_GB2312" w:cs="Times New Roman"/>
                <w:bCs/>
                <w:color w:val="auto"/>
                <w:sz w:val="24"/>
                <w:szCs w:val="24"/>
              </w:rPr>
              <w:t>11</w:t>
            </w:r>
          </w:p>
        </w:tc>
        <w:tc>
          <w:tcPr>
            <w:tcW w:w="2151" w:type="dxa"/>
            <w:tcBorders>
              <w:top w:val="single" w:color="auto" w:sz="4" w:space="0"/>
              <w:left w:val="nil"/>
              <w:bottom w:val="single" w:color="auto" w:sz="4" w:space="0"/>
              <w:right w:val="single" w:color="auto" w:sz="4" w:space="0"/>
            </w:tcBorders>
            <w:vAlign w:val="center"/>
          </w:tcPr>
          <w:p>
            <w:pPr>
              <w:spacing w:beforeLines="0" w:afterLines="0" w:line="336" w:lineRule="exact"/>
              <w:jc w:val="left"/>
              <w:rPr>
                <w:rFonts w:hint="default" w:ascii="Times New Roman" w:hAnsi="Times New Roman" w:eastAsia="仿宋_GB2312" w:cs="Times New Roman"/>
                <w:bCs/>
                <w:color w:val="auto"/>
                <w:sz w:val="24"/>
                <w:szCs w:val="24"/>
              </w:rPr>
            </w:pPr>
            <w:r>
              <w:rPr>
                <w:rFonts w:hint="default" w:ascii="Times New Roman" w:hAnsi="Times New Roman" w:eastAsia="仿宋_GB2312" w:cs="Times New Roman"/>
                <w:bCs/>
                <w:color w:val="auto"/>
                <w:sz w:val="24"/>
                <w:szCs w:val="24"/>
              </w:rPr>
              <w:t>制定联合测绘实施方案</w:t>
            </w:r>
          </w:p>
        </w:tc>
        <w:tc>
          <w:tcPr>
            <w:tcW w:w="11936" w:type="dxa"/>
            <w:tcBorders>
              <w:top w:val="single" w:color="auto" w:sz="4" w:space="0"/>
              <w:left w:val="nil"/>
              <w:bottom w:val="single" w:color="auto" w:sz="4" w:space="0"/>
              <w:right w:val="single" w:color="auto" w:sz="4" w:space="0"/>
            </w:tcBorders>
            <w:vAlign w:val="center"/>
          </w:tcPr>
          <w:p>
            <w:pPr>
              <w:spacing w:beforeLines="0" w:afterLines="0" w:line="336" w:lineRule="exact"/>
              <w:jc w:val="left"/>
              <w:rPr>
                <w:rFonts w:hint="default" w:ascii="Times New Roman" w:hAnsi="Times New Roman" w:eastAsia="仿宋_GB2312" w:cs="Times New Roman"/>
                <w:bCs/>
                <w:color w:val="auto"/>
                <w:sz w:val="24"/>
                <w:szCs w:val="24"/>
              </w:rPr>
            </w:pPr>
            <w:r>
              <w:rPr>
                <w:rFonts w:hint="default" w:ascii="Times New Roman" w:hAnsi="Times New Roman" w:eastAsia="仿宋_GB2312" w:cs="Times New Roman"/>
                <w:bCs/>
                <w:color w:val="auto"/>
                <w:sz w:val="24"/>
                <w:szCs w:val="24"/>
              </w:rPr>
              <w:t>将竣工验收事项涉及的规划条件核实验收测量、人防测量、不动产测绘等合并为一个综合性联合测绘事项，由区国规局会同人防等部门和单位共同制定联合测绘实施方案，梳理上述测量的技术标准和测绘成果要求，明确操作流程并组织实施，由建设单位委托具有国家相应测绘资质的测绘机构进行测绘，出具相应测量成果，成果共享，满足相关行政审批的要求。</w:t>
            </w:r>
          </w:p>
        </w:tc>
        <w:tc>
          <w:tcPr>
            <w:tcW w:w="1605" w:type="dxa"/>
            <w:tcBorders>
              <w:top w:val="single" w:color="auto" w:sz="4" w:space="0"/>
              <w:left w:val="nil"/>
              <w:bottom w:val="single" w:color="auto" w:sz="4" w:space="0"/>
              <w:right w:val="single" w:color="auto" w:sz="4" w:space="0"/>
            </w:tcBorders>
            <w:vAlign w:val="center"/>
          </w:tcPr>
          <w:p>
            <w:pPr>
              <w:spacing w:beforeLines="0" w:afterLines="0" w:line="336" w:lineRule="exact"/>
              <w:jc w:val="center"/>
              <w:rPr>
                <w:rFonts w:hint="default" w:ascii="Times New Roman" w:hAnsi="Times New Roman" w:eastAsia="仿宋_GB2312" w:cs="Times New Roman"/>
                <w:bCs/>
                <w:color w:val="auto"/>
                <w:sz w:val="24"/>
                <w:szCs w:val="24"/>
              </w:rPr>
            </w:pPr>
            <w:r>
              <w:rPr>
                <w:rFonts w:hint="default" w:ascii="Times New Roman" w:hAnsi="Times New Roman" w:eastAsia="仿宋_GB2312" w:cs="Times New Roman"/>
                <w:bCs/>
                <w:color w:val="auto"/>
                <w:sz w:val="24"/>
                <w:szCs w:val="24"/>
              </w:rPr>
              <w:t>区国规局</w:t>
            </w:r>
          </w:p>
        </w:tc>
        <w:tc>
          <w:tcPr>
            <w:tcW w:w="2571" w:type="dxa"/>
            <w:tcBorders>
              <w:top w:val="single" w:color="auto" w:sz="4" w:space="0"/>
              <w:left w:val="nil"/>
              <w:bottom w:val="single" w:color="auto" w:sz="4" w:space="0"/>
              <w:right w:val="single" w:color="auto" w:sz="4" w:space="0"/>
            </w:tcBorders>
            <w:vAlign w:val="center"/>
          </w:tcPr>
          <w:p>
            <w:pPr>
              <w:spacing w:beforeLines="0" w:afterLines="0" w:line="336" w:lineRule="exact"/>
              <w:rPr>
                <w:rFonts w:hint="default" w:ascii="Times New Roman" w:hAnsi="Times New Roman" w:eastAsia="仿宋_GB2312" w:cs="Times New Roman"/>
                <w:bCs/>
                <w:color w:val="auto"/>
                <w:sz w:val="24"/>
                <w:szCs w:val="24"/>
              </w:rPr>
            </w:pPr>
            <w:r>
              <w:rPr>
                <w:rFonts w:hint="default" w:ascii="Times New Roman" w:hAnsi="Times New Roman" w:eastAsia="仿宋_GB2312" w:cs="Times New Roman"/>
                <w:bCs/>
                <w:color w:val="auto"/>
                <w:sz w:val="24"/>
                <w:szCs w:val="24"/>
              </w:rPr>
              <w:t>区民防办</w:t>
            </w:r>
          </w:p>
        </w:tc>
        <w:tc>
          <w:tcPr>
            <w:tcW w:w="1441" w:type="dxa"/>
            <w:tcBorders>
              <w:top w:val="single" w:color="auto" w:sz="4" w:space="0"/>
              <w:left w:val="nil"/>
              <w:bottom w:val="single" w:color="auto" w:sz="4" w:space="0"/>
              <w:right w:val="single" w:color="auto" w:sz="4" w:space="0"/>
            </w:tcBorders>
            <w:vAlign w:val="center"/>
          </w:tcPr>
          <w:p>
            <w:pPr>
              <w:spacing w:beforeLines="0" w:afterLines="0" w:line="300" w:lineRule="exact"/>
              <w:rPr>
                <w:rFonts w:hint="default" w:ascii="Times New Roman" w:hAnsi="Times New Roman" w:eastAsia="仿宋_GB2312" w:cs="Times New Roman"/>
                <w:bCs/>
                <w:color w:val="auto"/>
                <w:sz w:val="24"/>
                <w:szCs w:val="24"/>
              </w:rPr>
            </w:pPr>
            <w:r>
              <w:rPr>
                <w:rFonts w:hint="default" w:ascii="Times New Roman" w:hAnsi="Times New Roman" w:eastAsia="仿宋_GB2312" w:cs="Times New Roman"/>
                <w:bCs/>
                <w:color w:val="auto"/>
                <w:sz w:val="24"/>
                <w:szCs w:val="24"/>
              </w:rPr>
              <w:t>2018-11-15</w:t>
            </w:r>
          </w:p>
        </w:tc>
        <w:tc>
          <w:tcPr>
            <w:tcW w:w="947" w:type="dxa"/>
            <w:tcBorders>
              <w:top w:val="single" w:color="auto" w:sz="4" w:space="0"/>
              <w:left w:val="nil"/>
              <w:bottom w:val="single" w:color="auto" w:sz="4" w:space="0"/>
              <w:right w:val="single" w:color="auto" w:sz="4" w:space="0"/>
            </w:tcBorders>
            <w:vAlign w:val="center"/>
          </w:tcPr>
          <w:p>
            <w:pPr>
              <w:spacing w:beforeLines="0" w:afterLines="0" w:line="300" w:lineRule="exact"/>
              <w:jc w:val="center"/>
              <w:rPr>
                <w:rFonts w:hint="default" w:ascii="Times New Roman" w:hAnsi="Times New Roman" w:eastAsia="仿宋_GB2312" w:cs="Times New Roman"/>
                <w:bCs/>
                <w:color w:val="auto"/>
                <w:sz w:val="24"/>
                <w:szCs w:val="24"/>
              </w:rPr>
            </w:pPr>
          </w:p>
        </w:tc>
      </w:tr>
      <w:tr>
        <w:tblPrEx>
          <w:tblLayout w:type="fixed"/>
          <w:tblCellMar>
            <w:top w:w="0" w:type="dxa"/>
            <w:left w:w="108" w:type="dxa"/>
            <w:bottom w:w="0" w:type="dxa"/>
            <w:right w:w="108" w:type="dxa"/>
          </w:tblCellMar>
        </w:tblPrEx>
        <w:trPr>
          <w:trHeight w:val="670" w:hRule="atLeast"/>
          <w:jc w:val="center"/>
        </w:trPr>
        <w:tc>
          <w:tcPr>
            <w:tcW w:w="921" w:type="dxa"/>
            <w:vMerge w:val="restart"/>
            <w:tcBorders>
              <w:top w:val="single" w:color="auto" w:sz="4" w:space="0"/>
              <w:left w:val="single" w:color="auto" w:sz="4" w:space="0"/>
              <w:bottom w:val="single" w:color="000000" w:sz="4" w:space="0"/>
              <w:right w:val="single" w:color="auto" w:sz="4" w:space="0"/>
            </w:tcBorders>
            <w:vAlign w:val="center"/>
          </w:tcPr>
          <w:p>
            <w:pPr>
              <w:spacing w:beforeLines="0" w:afterLines="0" w:line="340" w:lineRule="exact"/>
              <w:jc w:val="center"/>
              <w:rPr>
                <w:rFonts w:hint="default" w:ascii="Times New Roman" w:hAnsi="Times New Roman" w:eastAsia="仿宋_GB2312" w:cs="Times New Roman"/>
                <w:bCs/>
                <w:color w:val="auto"/>
                <w:sz w:val="24"/>
                <w:szCs w:val="24"/>
              </w:rPr>
            </w:pPr>
            <w:r>
              <w:rPr>
                <w:rFonts w:hint="default" w:ascii="Times New Roman" w:hAnsi="Times New Roman" w:eastAsia="仿宋_GB2312" w:cs="Times New Roman"/>
                <w:bCs/>
                <w:color w:val="auto"/>
                <w:sz w:val="24"/>
                <w:szCs w:val="24"/>
              </w:rPr>
              <w:t>12</w:t>
            </w:r>
          </w:p>
        </w:tc>
        <w:tc>
          <w:tcPr>
            <w:tcW w:w="2151" w:type="dxa"/>
            <w:vMerge w:val="restart"/>
            <w:tcBorders>
              <w:top w:val="single" w:color="auto" w:sz="4" w:space="0"/>
              <w:left w:val="single" w:color="auto" w:sz="4" w:space="0"/>
              <w:bottom w:val="single" w:color="000000" w:sz="4" w:space="0"/>
              <w:right w:val="single" w:color="auto" w:sz="4" w:space="0"/>
            </w:tcBorders>
            <w:vAlign w:val="center"/>
          </w:tcPr>
          <w:p>
            <w:pPr>
              <w:spacing w:beforeLines="0" w:afterLines="0" w:line="336" w:lineRule="exact"/>
              <w:jc w:val="left"/>
              <w:rPr>
                <w:rFonts w:hint="default" w:ascii="Times New Roman" w:hAnsi="Times New Roman" w:eastAsia="仿宋_GB2312" w:cs="Times New Roman"/>
                <w:bCs/>
                <w:color w:val="auto"/>
                <w:sz w:val="24"/>
                <w:szCs w:val="24"/>
              </w:rPr>
            </w:pPr>
            <w:r>
              <w:rPr>
                <w:rFonts w:hint="default" w:ascii="Times New Roman" w:hAnsi="Times New Roman" w:eastAsia="仿宋_GB2312" w:cs="Times New Roman"/>
                <w:bCs/>
                <w:color w:val="auto"/>
                <w:sz w:val="24"/>
                <w:szCs w:val="24"/>
              </w:rPr>
              <w:t>建立多规合一工作机制和技术标准</w:t>
            </w:r>
          </w:p>
        </w:tc>
        <w:tc>
          <w:tcPr>
            <w:tcW w:w="11936" w:type="dxa"/>
            <w:tcBorders>
              <w:top w:val="single" w:color="auto" w:sz="4" w:space="0"/>
              <w:left w:val="nil"/>
              <w:bottom w:val="single" w:color="auto" w:sz="4" w:space="0"/>
              <w:right w:val="single" w:color="auto" w:sz="4" w:space="0"/>
            </w:tcBorders>
            <w:vAlign w:val="center"/>
          </w:tcPr>
          <w:p>
            <w:pPr>
              <w:spacing w:beforeLines="0" w:afterLines="0" w:line="336" w:lineRule="exact"/>
              <w:jc w:val="left"/>
              <w:rPr>
                <w:rFonts w:hint="default" w:ascii="Times New Roman" w:hAnsi="Times New Roman" w:eastAsia="仿宋_GB2312" w:cs="Times New Roman"/>
                <w:bCs/>
                <w:color w:val="auto"/>
                <w:sz w:val="24"/>
                <w:szCs w:val="24"/>
              </w:rPr>
            </w:pPr>
            <w:r>
              <w:rPr>
                <w:rFonts w:hint="default" w:ascii="Times New Roman" w:hAnsi="Times New Roman" w:eastAsia="仿宋_GB2312" w:cs="Times New Roman"/>
                <w:bCs/>
                <w:color w:val="auto"/>
                <w:sz w:val="24"/>
                <w:szCs w:val="24"/>
              </w:rPr>
              <w:t>国土规划部门积极配合市国土规划委加快建立统一的空间规划体系。可以明确</w:t>
            </w:r>
            <w:r>
              <w:rPr>
                <w:rFonts w:hint="eastAsia" w:ascii="Times New Roman" w:hAnsi="Times New Roman" w:cs="Times New Roman"/>
                <w:bCs/>
                <w:color w:val="auto"/>
                <w:sz w:val="24"/>
                <w:szCs w:val="24"/>
                <w:lang w:eastAsia="zh-CN"/>
              </w:rPr>
              <w:t>“</w:t>
            </w:r>
            <w:r>
              <w:rPr>
                <w:rFonts w:hint="default" w:ascii="Times New Roman" w:hAnsi="Times New Roman" w:eastAsia="仿宋_GB2312" w:cs="Times New Roman"/>
                <w:bCs/>
                <w:color w:val="auto"/>
                <w:sz w:val="24"/>
                <w:szCs w:val="24"/>
              </w:rPr>
              <w:t>多规合一</w:t>
            </w:r>
            <w:r>
              <w:rPr>
                <w:rFonts w:hint="eastAsia" w:ascii="Times New Roman" w:hAnsi="Times New Roman" w:cs="Times New Roman"/>
                <w:bCs/>
                <w:color w:val="auto"/>
                <w:sz w:val="24"/>
                <w:szCs w:val="24"/>
                <w:lang w:eastAsia="zh-CN"/>
              </w:rPr>
              <w:t>”</w:t>
            </w:r>
            <w:r>
              <w:rPr>
                <w:rFonts w:hint="default" w:ascii="Times New Roman" w:hAnsi="Times New Roman" w:eastAsia="仿宋_GB2312" w:cs="Times New Roman"/>
                <w:bCs/>
                <w:color w:val="auto"/>
                <w:sz w:val="24"/>
                <w:szCs w:val="24"/>
              </w:rPr>
              <w:t>包括的规划目录，建立</w:t>
            </w:r>
            <w:r>
              <w:rPr>
                <w:rFonts w:hint="eastAsia" w:ascii="Times New Roman" w:hAnsi="Times New Roman" w:cs="Times New Roman"/>
                <w:bCs/>
                <w:color w:val="auto"/>
                <w:sz w:val="24"/>
                <w:szCs w:val="24"/>
                <w:lang w:eastAsia="zh-CN"/>
              </w:rPr>
              <w:t>“</w:t>
            </w:r>
            <w:r>
              <w:rPr>
                <w:rFonts w:hint="default" w:ascii="Times New Roman" w:hAnsi="Times New Roman" w:eastAsia="仿宋_GB2312" w:cs="Times New Roman"/>
                <w:bCs/>
                <w:color w:val="auto"/>
                <w:sz w:val="24"/>
                <w:szCs w:val="24"/>
              </w:rPr>
              <w:t>多规合一</w:t>
            </w:r>
            <w:r>
              <w:rPr>
                <w:rFonts w:hint="eastAsia" w:ascii="Times New Roman" w:hAnsi="Times New Roman" w:cs="Times New Roman"/>
                <w:bCs/>
                <w:color w:val="auto"/>
                <w:sz w:val="24"/>
                <w:szCs w:val="24"/>
                <w:lang w:eastAsia="zh-CN"/>
              </w:rPr>
              <w:t>”</w:t>
            </w:r>
            <w:r>
              <w:rPr>
                <w:rFonts w:hint="default" w:ascii="Times New Roman" w:hAnsi="Times New Roman" w:eastAsia="仿宋_GB2312" w:cs="Times New Roman"/>
                <w:bCs/>
                <w:color w:val="auto"/>
                <w:sz w:val="24"/>
                <w:szCs w:val="24"/>
              </w:rPr>
              <w:t>协调机构、全面梳理本地各类规划基础数据目录、统筹整合各类空间规划等时间安排。</w:t>
            </w:r>
          </w:p>
        </w:tc>
        <w:tc>
          <w:tcPr>
            <w:tcW w:w="1605" w:type="dxa"/>
            <w:tcBorders>
              <w:top w:val="single" w:color="auto" w:sz="4" w:space="0"/>
              <w:left w:val="nil"/>
              <w:bottom w:val="single" w:color="auto" w:sz="4" w:space="0"/>
              <w:right w:val="single" w:color="auto" w:sz="4" w:space="0"/>
            </w:tcBorders>
            <w:vAlign w:val="center"/>
          </w:tcPr>
          <w:p>
            <w:pPr>
              <w:spacing w:beforeLines="0" w:afterLines="0" w:line="336" w:lineRule="exact"/>
              <w:jc w:val="center"/>
              <w:rPr>
                <w:rFonts w:hint="default" w:ascii="Times New Roman" w:hAnsi="Times New Roman" w:eastAsia="仿宋_GB2312" w:cs="Times New Roman"/>
                <w:bCs/>
                <w:color w:val="auto"/>
                <w:sz w:val="24"/>
                <w:szCs w:val="24"/>
              </w:rPr>
            </w:pPr>
            <w:r>
              <w:rPr>
                <w:rFonts w:hint="default" w:ascii="Times New Roman" w:hAnsi="Times New Roman" w:eastAsia="仿宋_GB2312" w:cs="Times New Roman"/>
                <w:bCs/>
                <w:color w:val="auto"/>
                <w:sz w:val="24"/>
                <w:szCs w:val="24"/>
              </w:rPr>
              <w:t>区国规局</w:t>
            </w:r>
          </w:p>
        </w:tc>
        <w:tc>
          <w:tcPr>
            <w:tcW w:w="2571" w:type="dxa"/>
            <w:tcBorders>
              <w:top w:val="single" w:color="auto" w:sz="4" w:space="0"/>
              <w:left w:val="nil"/>
              <w:bottom w:val="nil"/>
              <w:right w:val="nil"/>
            </w:tcBorders>
            <w:vAlign w:val="center"/>
          </w:tcPr>
          <w:p>
            <w:pPr>
              <w:spacing w:beforeLines="0" w:afterLines="0" w:line="336" w:lineRule="exact"/>
              <w:rPr>
                <w:rFonts w:hint="default" w:ascii="Times New Roman" w:hAnsi="Times New Roman" w:eastAsia="仿宋_GB2312" w:cs="Times New Roman"/>
                <w:bCs/>
                <w:color w:val="auto"/>
                <w:sz w:val="24"/>
                <w:szCs w:val="24"/>
              </w:rPr>
            </w:pPr>
          </w:p>
        </w:tc>
        <w:tc>
          <w:tcPr>
            <w:tcW w:w="1441" w:type="dxa"/>
            <w:tcBorders>
              <w:top w:val="single" w:color="auto" w:sz="4" w:space="0"/>
              <w:left w:val="single" w:color="auto" w:sz="4" w:space="0"/>
              <w:bottom w:val="single" w:color="auto" w:sz="4" w:space="0"/>
              <w:right w:val="single" w:color="auto" w:sz="4" w:space="0"/>
            </w:tcBorders>
            <w:vAlign w:val="center"/>
          </w:tcPr>
          <w:p>
            <w:pPr>
              <w:spacing w:beforeLines="0" w:afterLines="0" w:line="300" w:lineRule="exact"/>
              <w:rPr>
                <w:rFonts w:hint="default" w:ascii="Times New Roman" w:hAnsi="Times New Roman" w:eastAsia="仿宋_GB2312" w:cs="Times New Roman"/>
                <w:bCs/>
                <w:color w:val="auto"/>
                <w:sz w:val="24"/>
                <w:szCs w:val="24"/>
              </w:rPr>
            </w:pPr>
            <w:r>
              <w:rPr>
                <w:rFonts w:hint="default" w:ascii="Times New Roman" w:hAnsi="Times New Roman" w:eastAsia="仿宋_GB2312" w:cs="Times New Roman"/>
                <w:bCs/>
                <w:color w:val="auto"/>
                <w:sz w:val="24"/>
                <w:szCs w:val="24"/>
              </w:rPr>
              <w:t>2018-11-15</w:t>
            </w:r>
          </w:p>
        </w:tc>
        <w:tc>
          <w:tcPr>
            <w:tcW w:w="947" w:type="dxa"/>
            <w:tcBorders>
              <w:top w:val="single" w:color="auto" w:sz="4" w:space="0"/>
              <w:left w:val="nil"/>
              <w:bottom w:val="single" w:color="auto" w:sz="4" w:space="0"/>
              <w:right w:val="single" w:color="auto" w:sz="4" w:space="0"/>
            </w:tcBorders>
            <w:vAlign w:val="center"/>
          </w:tcPr>
          <w:p>
            <w:pPr>
              <w:spacing w:beforeLines="0" w:afterLines="0" w:line="300" w:lineRule="exact"/>
              <w:jc w:val="center"/>
              <w:rPr>
                <w:rFonts w:hint="default" w:ascii="Times New Roman" w:hAnsi="Times New Roman" w:eastAsia="仿宋_GB2312" w:cs="Times New Roman"/>
                <w:bCs/>
                <w:color w:val="auto"/>
                <w:sz w:val="24"/>
                <w:szCs w:val="24"/>
              </w:rPr>
            </w:pPr>
          </w:p>
        </w:tc>
      </w:tr>
      <w:tr>
        <w:tblPrEx>
          <w:tblLayout w:type="fixed"/>
          <w:tblCellMar>
            <w:top w:w="0" w:type="dxa"/>
            <w:left w:w="108" w:type="dxa"/>
            <w:bottom w:w="0" w:type="dxa"/>
            <w:right w:w="108" w:type="dxa"/>
          </w:tblCellMar>
        </w:tblPrEx>
        <w:trPr>
          <w:trHeight w:val="23" w:hRule="atLeast"/>
          <w:jc w:val="center"/>
        </w:trPr>
        <w:tc>
          <w:tcPr>
            <w:tcW w:w="921" w:type="dxa"/>
            <w:vMerge w:val="continue"/>
            <w:tcBorders>
              <w:top w:val="nil"/>
              <w:left w:val="single" w:color="auto" w:sz="4" w:space="0"/>
              <w:bottom w:val="single" w:color="000000" w:sz="4" w:space="0"/>
              <w:right w:val="single" w:color="auto" w:sz="4" w:space="0"/>
            </w:tcBorders>
            <w:vAlign w:val="center"/>
          </w:tcPr>
          <w:p>
            <w:pPr>
              <w:spacing w:beforeLines="0" w:afterLines="0" w:line="340" w:lineRule="exact"/>
              <w:jc w:val="center"/>
              <w:rPr>
                <w:rFonts w:hint="default" w:ascii="Times New Roman" w:hAnsi="Times New Roman" w:eastAsia="仿宋_GB2312" w:cs="Times New Roman"/>
                <w:bCs/>
                <w:color w:val="auto"/>
                <w:sz w:val="24"/>
                <w:szCs w:val="24"/>
              </w:rPr>
            </w:pPr>
          </w:p>
        </w:tc>
        <w:tc>
          <w:tcPr>
            <w:tcW w:w="2151" w:type="dxa"/>
            <w:vMerge w:val="continue"/>
            <w:tcBorders>
              <w:top w:val="nil"/>
              <w:left w:val="single" w:color="auto" w:sz="4" w:space="0"/>
              <w:bottom w:val="single" w:color="000000" w:sz="4" w:space="0"/>
              <w:right w:val="single" w:color="auto" w:sz="4" w:space="0"/>
            </w:tcBorders>
            <w:vAlign w:val="center"/>
          </w:tcPr>
          <w:p>
            <w:pPr>
              <w:spacing w:beforeLines="0" w:afterLines="0" w:line="336" w:lineRule="exact"/>
              <w:jc w:val="left"/>
              <w:rPr>
                <w:rFonts w:hint="default" w:ascii="Times New Roman" w:hAnsi="Times New Roman" w:eastAsia="仿宋_GB2312" w:cs="Times New Roman"/>
                <w:bCs/>
                <w:color w:val="auto"/>
                <w:sz w:val="24"/>
                <w:szCs w:val="24"/>
              </w:rPr>
            </w:pPr>
          </w:p>
        </w:tc>
        <w:tc>
          <w:tcPr>
            <w:tcW w:w="11936" w:type="dxa"/>
            <w:tcBorders>
              <w:top w:val="nil"/>
              <w:left w:val="nil"/>
              <w:bottom w:val="single" w:color="auto" w:sz="4" w:space="0"/>
              <w:right w:val="single" w:color="auto" w:sz="4" w:space="0"/>
            </w:tcBorders>
            <w:vAlign w:val="center"/>
          </w:tcPr>
          <w:p>
            <w:pPr>
              <w:spacing w:beforeLines="0" w:afterLines="0" w:line="336" w:lineRule="exact"/>
              <w:jc w:val="left"/>
              <w:rPr>
                <w:rFonts w:hint="default" w:ascii="Times New Roman" w:hAnsi="Times New Roman" w:eastAsia="仿宋_GB2312" w:cs="Times New Roman"/>
                <w:bCs/>
                <w:color w:val="auto"/>
                <w:sz w:val="24"/>
                <w:szCs w:val="24"/>
              </w:rPr>
            </w:pPr>
            <w:r>
              <w:rPr>
                <w:rFonts w:hint="default" w:ascii="Times New Roman" w:hAnsi="Times New Roman" w:eastAsia="仿宋_GB2312" w:cs="Times New Roman"/>
                <w:bCs/>
                <w:color w:val="auto"/>
                <w:sz w:val="24"/>
                <w:szCs w:val="24"/>
              </w:rPr>
              <w:t>基本形成</w:t>
            </w:r>
            <w:r>
              <w:rPr>
                <w:rFonts w:hint="eastAsia" w:ascii="Times New Roman" w:hAnsi="Times New Roman" w:cs="Times New Roman"/>
                <w:bCs/>
                <w:color w:val="auto"/>
                <w:sz w:val="24"/>
                <w:szCs w:val="24"/>
                <w:lang w:eastAsia="zh-CN"/>
              </w:rPr>
              <w:t>“</w:t>
            </w:r>
            <w:r>
              <w:rPr>
                <w:rFonts w:hint="default" w:ascii="Times New Roman" w:hAnsi="Times New Roman" w:eastAsia="仿宋_GB2312" w:cs="Times New Roman"/>
                <w:bCs/>
                <w:color w:val="auto"/>
                <w:sz w:val="24"/>
                <w:szCs w:val="24"/>
              </w:rPr>
              <w:t>多规合一</w:t>
            </w:r>
            <w:r>
              <w:rPr>
                <w:rFonts w:hint="eastAsia" w:ascii="Times New Roman" w:hAnsi="Times New Roman" w:cs="Times New Roman"/>
                <w:bCs/>
                <w:color w:val="auto"/>
                <w:sz w:val="24"/>
                <w:szCs w:val="24"/>
                <w:lang w:eastAsia="zh-CN"/>
              </w:rPr>
              <w:t>”</w:t>
            </w:r>
            <w:r>
              <w:rPr>
                <w:rFonts w:hint="default" w:ascii="Times New Roman" w:hAnsi="Times New Roman" w:eastAsia="仿宋_GB2312" w:cs="Times New Roman"/>
                <w:bCs/>
                <w:color w:val="auto"/>
                <w:sz w:val="24"/>
                <w:szCs w:val="24"/>
              </w:rPr>
              <w:t>的</w:t>
            </w:r>
            <w:r>
              <w:rPr>
                <w:rFonts w:hint="eastAsia" w:ascii="Times New Roman" w:hAnsi="Times New Roman" w:cs="Times New Roman"/>
                <w:bCs/>
                <w:color w:val="auto"/>
                <w:sz w:val="24"/>
                <w:szCs w:val="24"/>
                <w:lang w:eastAsia="zh-CN"/>
              </w:rPr>
              <w:t>“</w:t>
            </w:r>
            <w:r>
              <w:rPr>
                <w:rFonts w:hint="default" w:ascii="Times New Roman" w:hAnsi="Times New Roman" w:eastAsia="仿宋_GB2312" w:cs="Times New Roman"/>
                <w:bCs/>
                <w:color w:val="auto"/>
                <w:sz w:val="24"/>
                <w:szCs w:val="24"/>
              </w:rPr>
              <w:t>一张蓝图</w:t>
            </w:r>
            <w:r>
              <w:rPr>
                <w:rFonts w:hint="eastAsia" w:ascii="Times New Roman" w:hAnsi="Times New Roman" w:cs="Times New Roman"/>
                <w:bCs/>
                <w:color w:val="auto"/>
                <w:sz w:val="24"/>
                <w:szCs w:val="24"/>
                <w:lang w:eastAsia="zh-CN"/>
              </w:rPr>
              <w:t>”</w:t>
            </w:r>
            <w:r>
              <w:rPr>
                <w:rFonts w:hint="default" w:ascii="Times New Roman" w:hAnsi="Times New Roman" w:eastAsia="仿宋_GB2312" w:cs="Times New Roman"/>
                <w:bCs/>
                <w:color w:val="auto"/>
                <w:sz w:val="24"/>
                <w:szCs w:val="24"/>
              </w:rPr>
              <w:t>，建立</w:t>
            </w:r>
            <w:r>
              <w:rPr>
                <w:rFonts w:hint="eastAsia" w:ascii="Times New Roman" w:hAnsi="Times New Roman" w:cs="Times New Roman"/>
                <w:bCs/>
                <w:color w:val="auto"/>
                <w:sz w:val="24"/>
                <w:szCs w:val="24"/>
                <w:lang w:eastAsia="zh-CN"/>
              </w:rPr>
              <w:t>“</w:t>
            </w:r>
            <w:r>
              <w:rPr>
                <w:rFonts w:hint="default" w:ascii="Times New Roman" w:hAnsi="Times New Roman" w:eastAsia="仿宋_GB2312" w:cs="Times New Roman"/>
                <w:bCs/>
                <w:color w:val="auto"/>
                <w:sz w:val="24"/>
                <w:szCs w:val="24"/>
              </w:rPr>
              <w:t>多规合一</w:t>
            </w:r>
            <w:r>
              <w:rPr>
                <w:rFonts w:hint="eastAsia" w:ascii="Times New Roman" w:hAnsi="Times New Roman" w:cs="Times New Roman"/>
                <w:bCs/>
                <w:color w:val="auto"/>
                <w:sz w:val="24"/>
                <w:szCs w:val="24"/>
                <w:lang w:eastAsia="zh-CN"/>
              </w:rPr>
              <w:t>”</w:t>
            </w:r>
            <w:r>
              <w:rPr>
                <w:rFonts w:hint="default" w:ascii="Times New Roman" w:hAnsi="Times New Roman" w:eastAsia="仿宋_GB2312" w:cs="Times New Roman"/>
                <w:bCs/>
                <w:color w:val="auto"/>
                <w:sz w:val="24"/>
                <w:szCs w:val="24"/>
              </w:rPr>
              <w:t>业务管理平台。可以明确整合空间图层数据，完成差异图斑分析，协调空间规划矛盾和差异，在一张图上划定各类控制线，形成管控边界清晰、责任主体明确和管控规则明了的空间规划图等时间安排。</w:t>
            </w:r>
          </w:p>
        </w:tc>
        <w:tc>
          <w:tcPr>
            <w:tcW w:w="1605" w:type="dxa"/>
            <w:tcBorders>
              <w:top w:val="nil"/>
              <w:left w:val="nil"/>
              <w:bottom w:val="single" w:color="auto" w:sz="4" w:space="0"/>
              <w:right w:val="single" w:color="auto" w:sz="4" w:space="0"/>
            </w:tcBorders>
            <w:vAlign w:val="center"/>
          </w:tcPr>
          <w:p>
            <w:pPr>
              <w:spacing w:beforeLines="0" w:afterLines="0" w:line="336" w:lineRule="exact"/>
              <w:jc w:val="center"/>
              <w:rPr>
                <w:rFonts w:hint="default" w:ascii="Times New Roman" w:hAnsi="Times New Roman" w:eastAsia="仿宋_GB2312" w:cs="Times New Roman"/>
                <w:bCs/>
                <w:color w:val="auto"/>
                <w:sz w:val="24"/>
                <w:szCs w:val="24"/>
              </w:rPr>
            </w:pPr>
            <w:r>
              <w:rPr>
                <w:rFonts w:hint="default" w:ascii="Times New Roman" w:hAnsi="Times New Roman" w:eastAsia="仿宋_GB2312" w:cs="Times New Roman"/>
                <w:bCs/>
                <w:color w:val="auto"/>
                <w:sz w:val="24"/>
                <w:szCs w:val="24"/>
              </w:rPr>
              <w:t>区国规局</w:t>
            </w:r>
          </w:p>
        </w:tc>
        <w:tc>
          <w:tcPr>
            <w:tcW w:w="2571" w:type="dxa"/>
            <w:tcBorders>
              <w:top w:val="single" w:color="auto" w:sz="4" w:space="0"/>
              <w:left w:val="nil"/>
              <w:bottom w:val="single" w:color="auto" w:sz="4" w:space="0"/>
              <w:right w:val="single" w:color="auto" w:sz="4" w:space="0"/>
            </w:tcBorders>
            <w:vAlign w:val="center"/>
          </w:tcPr>
          <w:p>
            <w:pPr>
              <w:spacing w:beforeLines="0" w:afterLines="0" w:line="336" w:lineRule="exact"/>
              <w:rPr>
                <w:rFonts w:hint="default" w:ascii="Times New Roman" w:hAnsi="Times New Roman" w:eastAsia="仿宋_GB2312" w:cs="Times New Roman"/>
                <w:bCs/>
                <w:color w:val="auto"/>
                <w:sz w:val="24"/>
                <w:szCs w:val="24"/>
              </w:rPr>
            </w:pPr>
            <w:r>
              <w:rPr>
                <w:rFonts w:hint="default" w:ascii="Times New Roman" w:hAnsi="Times New Roman" w:eastAsia="仿宋_GB2312" w:cs="Times New Roman"/>
                <w:bCs/>
                <w:color w:val="auto"/>
                <w:sz w:val="24"/>
                <w:szCs w:val="24"/>
              </w:rPr>
              <w:t>　</w:t>
            </w:r>
          </w:p>
        </w:tc>
        <w:tc>
          <w:tcPr>
            <w:tcW w:w="1441" w:type="dxa"/>
            <w:tcBorders>
              <w:top w:val="nil"/>
              <w:left w:val="nil"/>
              <w:bottom w:val="single" w:color="auto" w:sz="4" w:space="0"/>
              <w:right w:val="single" w:color="auto" w:sz="4" w:space="0"/>
            </w:tcBorders>
            <w:vAlign w:val="center"/>
          </w:tcPr>
          <w:p>
            <w:pPr>
              <w:spacing w:beforeLines="0" w:afterLines="0" w:line="300" w:lineRule="exact"/>
              <w:rPr>
                <w:rFonts w:hint="default" w:ascii="Times New Roman" w:hAnsi="Times New Roman" w:eastAsia="仿宋_GB2312" w:cs="Times New Roman"/>
                <w:bCs/>
                <w:color w:val="auto"/>
                <w:sz w:val="24"/>
                <w:szCs w:val="24"/>
              </w:rPr>
            </w:pPr>
            <w:r>
              <w:rPr>
                <w:rFonts w:hint="default" w:ascii="Times New Roman" w:hAnsi="Times New Roman" w:eastAsia="仿宋_GB2312" w:cs="Times New Roman"/>
                <w:bCs/>
                <w:color w:val="auto"/>
                <w:sz w:val="24"/>
                <w:szCs w:val="24"/>
              </w:rPr>
              <w:t>2018-11-15</w:t>
            </w:r>
          </w:p>
        </w:tc>
        <w:tc>
          <w:tcPr>
            <w:tcW w:w="947" w:type="dxa"/>
            <w:tcBorders>
              <w:top w:val="nil"/>
              <w:left w:val="nil"/>
              <w:bottom w:val="single" w:color="auto" w:sz="4" w:space="0"/>
              <w:right w:val="single" w:color="auto" w:sz="4" w:space="0"/>
            </w:tcBorders>
            <w:vAlign w:val="center"/>
          </w:tcPr>
          <w:p>
            <w:pPr>
              <w:spacing w:beforeLines="0" w:afterLines="0" w:line="300" w:lineRule="exact"/>
              <w:jc w:val="center"/>
              <w:rPr>
                <w:rFonts w:hint="default" w:ascii="Times New Roman" w:hAnsi="Times New Roman" w:eastAsia="仿宋_GB2312" w:cs="Times New Roman"/>
                <w:bCs/>
                <w:color w:val="auto"/>
                <w:sz w:val="24"/>
                <w:szCs w:val="24"/>
              </w:rPr>
            </w:pPr>
          </w:p>
        </w:tc>
      </w:tr>
      <w:tr>
        <w:tblPrEx>
          <w:tblLayout w:type="fixed"/>
          <w:tblCellMar>
            <w:top w:w="0" w:type="dxa"/>
            <w:left w:w="108" w:type="dxa"/>
            <w:bottom w:w="0" w:type="dxa"/>
            <w:right w:w="108" w:type="dxa"/>
          </w:tblCellMar>
        </w:tblPrEx>
        <w:trPr>
          <w:trHeight w:val="23" w:hRule="atLeast"/>
          <w:jc w:val="center"/>
        </w:trPr>
        <w:tc>
          <w:tcPr>
            <w:tcW w:w="921" w:type="dxa"/>
            <w:vMerge w:val="continue"/>
            <w:tcBorders>
              <w:top w:val="nil"/>
              <w:left w:val="single" w:color="auto" w:sz="4" w:space="0"/>
              <w:bottom w:val="single" w:color="000000" w:sz="4" w:space="0"/>
              <w:right w:val="single" w:color="auto" w:sz="4" w:space="0"/>
            </w:tcBorders>
            <w:vAlign w:val="center"/>
          </w:tcPr>
          <w:p>
            <w:pPr>
              <w:spacing w:beforeLines="0" w:afterLines="0" w:line="340" w:lineRule="exact"/>
              <w:jc w:val="center"/>
              <w:rPr>
                <w:rFonts w:hint="default" w:ascii="Times New Roman" w:hAnsi="Times New Roman" w:eastAsia="仿宋_GB2312" w:cs="Times New Roman"/>
                <w:bCs/>
                <w:color w:val="auto"/>
                <w:sz w:val="24"/>
                <w:szCs w:val="24"/>
              </w:rPr>
            </w:pPr>
          </w:p>
        </w:tc>
        <w:tc>
          <w:tcPr>
            <w:tcW w:w="2151" w:type="dxa"/>
            <w:vMerge w:val="continue"/>
            <w:tcBorders>
              <w:top w:val="nil"/>
              <w:left w:val="single" w:color="auto" w:sz="4" w:space="0"/>
              <w:bottom w:val="single" w:color="000000" w:sz="4" w:space="0"/>
              <w:right w:val="single" w:color="auto" w:sz="4" w:space="0"/>
            </w:tcBorders>
            <w:vAlign w:val="center"/>
          </w:tcPr>
          <w:p>
            <w:pPr>
              <w:spacing w:beforeLines="0" w:afterLines="0" w:line="336" w:lineRule="exact"/>
              <w:jc w:val="left"/>
              <w:rPr>
                <w:rFonts w:hint="default" w:ascii="Times New Roman" w:hAnsi="Times New Roman" w:eastAsia="仿宋_GB2312" w:cs="Times New Roman"/>
                <w:bCs/>
                <w:color w:val="auto"/>
                <w:sz w:val="24"/>
                <w:szCs w:val="24"/>
              </w:rPr>
            </w:pPr>
          </w:p>
        </w:tc>
        <w:tc>
          <w:tcPr>
            <w:tcW w:w="11936" w:type="dxa"/>
            <w:tcBorders>
              <w:top w:val="nil"/>
              <w:left w:val="nil"/>
              <w:bottom w:val="single" w:color="auto" w:sz="4" w:space="0"/>
              <w:right w:val="single" w:color="auto" w:sz="4" w:space="0"/>
            </w:tcBorders>
            <w:vAlign w:val="center"/>
          </w:tcPr>
          <w:p>
            <w:pPr>
              <w:spacing w:beforeLines="0" w:afterLines="0" w:line="336" w:lineRule="exact"/>
              <w:jc w:val="left"/>
              <w:rPr>
                <w:rFonts w:hint="default" w:ascii="Times New Roman" w:hAnsi="Times New Roman" w:eastAsia="仿宋_GB2312" w:cs="Times New Roman"/>
                <w:bCs/>
                <w:color w:val="auto"/>
                <w:sz w:val="24"/>
                <w:szCs w:val="24"/>
              </w:rPr>
            </w:pPr>
            <w:r>
              <w:rPr>
                <w:rFonts w:hint="default" w:ascii="Times New Roman" w:hAnsi="Times New Roman" w:eastAsia="仿宋_GB2312" w:cs="Times New Roman"/>
                <w:bCs/>
                <w:color w:val="auto"/>
                <w:sz w:val="24"/>
                <w:szCs w:val="24"/>
              </w:rPr>
              <w:t>制定并实施项目生成管理办法，实现利用</w:t>
            </w:r>
            <w:r>
              <w:rPr>
                <w:rFonts w:hint="eastAsia" w:ascii="Times New Roman" w:hAnsi="Times New Roman" w:cs="Times New Roman"/>
                <w:bCs/>
                <w:color w:val="auto"/>
                <w:sz w:val="24"/>
                <w:szCs w:val="24"/>
                <w:lang w:eastAsia="zh-CN"/>
              </w:rPr>
              <w:t>“</w:t>
            </w:r>
            <w:r>
              <w:rPr>
                <w:rFonts w:hint="default" w:ascii="Times New Roman" w:hAnsi="Times New Roman" w:eastAsia="仿宋_GB2312" w:cs="Times New Roman"/>
                <w:bCs/>
                <w:color w:val="auto"/>
                <w:sz w:val="24"/>
                <w:szCs w:val="24"/>
              </w:rPr>
              <w:t>多规合一</w:t>
            </w:r>
            <w:r>
              <w:rPr>
                <w:rFonts w:hint="eastAsia" w:ascii="Times New Roman" w:hAnsi="Times New Roman" w:cs="Times New Roman"/>
                <w:bCs/>
                <w:color w:val="auto"/>
                <w:sz w:val="24"/>
                <w:szCs w:val="24"/>
                <w:lang w:eastAsia="zh-CN"/>
              </w:rPr>
              <w:t>”</w:t>
            </w:r>
            <w:r>
              <w:rPr>
                <w:rFonts w:hint="default" w:ascii="Times New Roman" w:hAnsi="Times New Roman" w:eastAsia="仿宋_GB2312" w:cs="Times New Roman"/>
                <w:bCs/>
                <w:color w:val="auto"/>
                <w:sz w:val="24"/>
                <w:szCs w:val="24"/>
              </w:rPr>
              <w:t>业务协同平台加速项目前期策划生成。</w:t>
            </w:r>
          </w:p>
        </w:tc>
        <w:tc>
          <w:tcPr>
            <w:tcW w:w="1605" w:type="dxa"/>
            <w:tcBorders>
              <w:top w:val="nil"/>
              <w:left w:val="nil"/>
              <w:bottom w:val="single" w:color="auto" w:sz="4" w:space="0"/>
              <w:right w:val="single" w:color="auto" w:sz="4" w:space="0"/>
            </w:tcBorders>
            <w:vAlign w:val="center"/>
          </w:tcPr>
          <w:p>
            <w:pPr>
              <w:spacing w:beforeLines="0" w:afterLines="0" w:line="336" w:lineRule="exact"/>
              <w:jc w:val="center"/>
              <w:rPr>
                <w:rFonts w:hint="default" w:ascii="Times New Roman" w:hAnsi="Times New Roman" w:eastAsia="仿宋_GB2312" w:cs="Times New Roman"/>
                <w:bCs/>
                <w:color w:val="auto"/>
                <w:sz w:val="24"/>
                <w:szCs w:val="24"/>
              </w:rPr>
            </w:pPr>
            <w:r>
              <w:rPr>
                <w:rFonts w:hint="default" w:ascii="Times New Roman" w:hAnsi="Times New Roman" w:eastAsia="仿宋_GB2312" w:cs="Times New Roman"/>
                <w:bCs/>
                <w:color w:val="auto"/>
                <w:sz w:val="24"/>
                <w:szCs w:val="24"/>
              </w:rPr>
              <w:t>区发改局</w:t>
            </w:r>
          </w:p>
        </w:tc>
        <w:tc>
          <w:tcPr>
            <w:tcW w:w="2571" w:type="dxa"/>
            <w:tcBorders>
              <w:top w:val="nil"/>
              <w:left w:val="nil"/>
              <w:bottom w:val="single" w:color="auto" w:sz="4" w:space="0"/>
              <w:right w:val="single" w:color="auto" w:sz="4" w:space="0"/>
            </w:tcBorders>
            <w:vAlign w:val="center"/>
          </w:tcPr>
          <w:p>
            <w:pPr>
              <w:spacing w:beforeLines="0" w:afterLines="0" w:line="336" w:lineRule="exact"/>
              <w:rPr>
                <w:rFonts w:hint="default" w:ascii="Times New Roman" w:hAnsi="Times New Roman" w:eastAsia="仿宋_GB2312" w:cs="Times New Roman"/>
                <w:bCs/>
                <w:color w:val="auto"/>
                <w:sz w:val="24"/>
                <w:szCs w:val="24"/>
              </w:rPr>
            </w:pPr>
            <w:r>
              <w:rPr>
                <w:rFonts w:hint="default" w:ascii="Times New Roman" w:hAnsi="Times New Roman" w:eastAsia="仿宋_GB2312" w:cs="Times New Roman"/>
                <w:bCs/>
                <w:color w:val="auto"/>
                <w:sz w:val="24"/>
                <w:szCs w:val="24"/>
              </w:rPr>
              <w:t>　</w:t>
            </w:r>
          </w:p>
        </w:tc>
        <w:tc>
          <w:tcPr>
            <w:tcW w:w="1441" w:type="dxa"/>
            <w:tcBorders>
              <w:top w:val="nil"/>
              <w:left w:val="nil"/>
              <w:bottom w:val="single" w:color="auto" w:sz="4" w:space="0"/>
              <w:right w:val="single" w:color="auto" w:sz="4" w:space="0"/>
            </w:tcBorders>
            <w:vAlign w:val="center"/>
          </w:tcPr>
          <w:p>
            <w:pPr>
              <w:spacing w:beforeLines="0" w:afterLines="0" w:line="300" w:lineRule="exact"/>
              <w:rPr>
                <w:rFonts w:hint="default" w:ascii="Times New Roman" w:hAnsi="Times New Roman" w:eastAsia="仿宋_GB2312" w:cs="Times New Roman"/>
                <w:bCs/>
                <w:color w:val="auto"/>
                <w:sz w:val="24"/>
                <w:szCs w:val="24"/>
              </w:rPr>
            </w:pPr>
            <w:r>
              <w:rPr>
                <w:rFonts w:hint="default" w:ascii="Times New Roman" w:hAnsi="Times New Roman" w:eastAsia="仿宋_GB2312" w:cs="Times New Roman"/>
                <w:bCs/>
                <w:color w:val="auto"/>
                <w:sz w:val="24"/>
                <w:szCs w:val="24"/>
              </w:rPr>
              <w:t>2018-11-15</w:t>
            </w:r>
          </w:p>
        </w:tc>
        <w:tc>
          <w:tcPr>
            <w:tcW w:w="947" w:type="dxa"/>
            <w:tcBorders>
              <w:top w:val="nil"/>
              <w:left w:val="nil"/>
              <w:bottom w:val="single" w:color="auto" w:sz="4" w:space="0"/>
              <w:right w:val="single" w:color="auto" w:sz="4" w:space="0"/>
            </w:tcBorders>
            <w:vAlign w:val="center"/>
          </w:tcPr>
          <w:p>
            <w:pPr>
              <w:spacing w:beforeLines="0" w:afterLines="0" w:line="300" w:lineRule="exact"/>
              <w:jc w:val="center"/>
              <w:rPr>
                <w:rFonts w:hint="default" w:ascii="Times New Roman" w:hAnsi="Times New Roman" w:eastAsia="仿宋_GB2312" w:cs="Times New Roman"/>
                <w:bCs/>
                <w:color w:val="auto"/>
                <w:sz w:val="24"/>
                <w:szCs w:val="24"/>
              </w:rPr>
            </w:pPr>
          </w:p>
        </w:tc>
      </w:tr>
      <w:tr>
        <w:tblPrEx>
          <w:tblLayout w:type="fixed"/>
          <w:tblCellMar>
            <w:top w:w="0" w:type="dxa"/>
            <w:left w:w="108" w:type="dxa"/>
            <w:bottom w:w="0" w:type="dxa"/>
            <w:right w:w="108" w:type="dxa"/>
          </w:tblCellMar>
        </w:tblPrEx>
        <w:trPr>
          <w:trHeight w:val="23" w:hRule="atLeast"/>
          <w:jc w:val="center"/>
        </w:trPr>
        <w:tc>
          <w:tcPr>
            <w:tcW w:w="921" w:type="dxa"/>
            <w:vMerge w:val="continue"/>
            <w:tcBorders>
              <w:top w:val="nil"/>
              <w:left w:val="single" w:color="auto" w:sz="4" w:space="0"/>
              <w:bottom w:val="single" w:color="000000" w:sz="4" w:space="0"/>
              <w:right w:val="single" w:color="auto" w:sz="4" w:space="0"/>
            </w:tcBorders>
            <w:vAlign w:val="center"/>
          </w:tcPr>
          <w:p>
            <w:pPr>
              <w:spacing w:beforeLines="0" w:afterLines="0" w:line="340" w:lineRule="exact"/>
              <w:jc w:val="center"/>
              <w:rPr>
                <w:rFonts w:hint="default" w:ascii="Times New Roman" w:hAnsi="Times New Roman" w:eastAsia="仿宋_GB2312" w:cs="Times New Roman"/>
                <w:bCs/>
                <w:color w:val="auto"/>
                <w:sz w:val="24"/>
                <w:szCs w:val="24"/>
              </w:rPr>
            </w:pPr>
          </w:p>
        </w:tc>
        <w:tc>
          <w:tcPr>
            <w:tcW w:w="2151" w:type="dxa"/>
            <w:vMerge w:val="continue"/>
            <w:tcBorders>
              <w:top w:val="nil"/>
              <w:left w:val="single" w:color="auto" w:sz="4" w:space="0"/>
              <w:bottom w:val="single" w:color="000000" w:sz="4" w:space="0"/>
              <w:right w:val="single" w:color="auto" w:sz="4" w:space="0"/>
            </w:tcBorders>
            <w:vAlign w:val="center"/>
          </w:tcPr>
          <w:p>
            <w:pPr>
              <w:spacing w:beforeLines="0" w:afterLines="0" w:line="336" w:lineRule="exact"/>
              <w:jc w:val="left"/>
              <w:rPr>
                <w:rFonts w:hint="default" w:ascii="Times New Roman" w:hAnsi="Times New Roman" w:eastAsia="仿宋_GB2312" w:cs="Times New Roman"/>
                <w:bCs/>
                <w:color w:val="auto"/>
                <w:sz w:val="24"/>
                <w:szCs w:val="24"/>
              </w:rPr>
            </w:pPr>
          </w:p>
        </w:tc>
        <w:tc>
          <w:tcPr>
            <w:tcW w:w="11936" w:type="dxa"/>
            <w:tcBorders>
              <w:top w:val="nil"/>
              <w:left w:val="nil"/>
              <w:bottom w:val="single" w:color="auto" w:sz="4" w:space="0"/>
              <w:right w:val="single" w:color="auto" w:sz="4" w:space="0"/>
            </w:tcBorders>
            <w:vAlign w:val="center"/>
          </w:tcPr>
          <w:p>
            <w:pPr>
              <w:spacing w:beforeLines="0" w:afterLines="0" w:line="336" w:lineRule="exact"/>
              <w:jc w:val="left"/>
              <w:rPr>
                <w:rFonts w:hint="default" w:ascii="Times New Roman" w:hAnsi="Times New Roman" w:eastAsia="仿宋_GB2312" w:cs="Times New Roman"/>
                <w:bCs/>
                <w:color w:val="auto"/>
                <w:sz w:val="24"/>
                <w:szCs w:val="24"/>
              </w:rPr>
            </w:pPr>
            <w:r>
              <w:rPr>
                <w:rFonts w:hint="default" w:ascii="Times New Roman" w:hAnsi="Times New Roman" w:eastAsia="仿宋_GB2312" w:cs="Times New Roman"/>
                <w:bCs/>
                <w:color w:val="auto"/>
                <w:sz w:val="24"/>
                <w:szCs w:val="24"/>
              </w:rPr>
              <w:t>依据颁布实施的多规合一、项目生成、联合审批相关制度文件和技术标准，进一步完善多规合一管理平台，制订平台数据资源目录，开展用户培训，组织平台数据更新，为执行落实审批改革措施提供技术保障。</w:t>
            </w:r>
          </w:p>
        </w:tc>
        <w:tc>
          <w:tcPr>
            <w:tcW w:w="1605" w:type="dxa"/>
            <w:tcBorders>
              <w:top w:val="nil"/>
              <w:left w:val="nil"/>
              <w:bottom w:val="single" w:color="auto" w:sz="4" w:space="0"/>
              <w:right w:val="single" w:color="auto" w:sz="4" w:space="0"/>
            </w:tcBorders>
            <w:vAlign w:val="center"/>
          </w:tcPr>
          <w:p>
            <w:pPr>
              <w:spacing w:beforeLines="0" w:afterLines="0" w:line="336" w:lineRule="exact"/>
              <w:jc w:val="center"/>
              <w:rPr>
                <w:rFonts w:hint="default" w:ascii="Times New Roman" w:hAnsi="Times New Roman" w:eastAsia="仿宋_GB2312" w:cs="Times New Roman"/>
                <w:bCs/>
                <w:color w:val="auto"/>
                <w:sz w:val="24"/>
                <w:szCs w:val="24"/>
              </w:rPr>
            </w:pPr>
            <w:r>
              <w:rPr>
                <w:rFonts w:hint="default" w:ascii="Times New Roman" w:hAnsi="Times New Roman" w:eastAsia="仿宋_GB2312" w:cs="Times New Roman"/>
                <w:bCs/>
                <w:color w:val="auto"/>
                <w:sz w:val="24"/>
                <w:szCs w:val="24"/>
              </w:rPr>
              <w:t>区国规局</w:t>
            </w:r>
          </w:p>
        </w:tc>
        <w:tc>
          <w:tcPr>
            <w:tcW w:w="2571" w:type="dxa"/>
            <w:tcBorders>
              <w:top w:val="nil"/>
              <w:left w:val="nil"/>
              <w:bottom w:val="single" w:color="auto" w:sz="4" w:space="0"/>
              <w:right w:val="single" w:color="auto" w:sz="4" w:space="0"/>
            </w:tcBorders>
            <w:vAlign w:val="center"/>
          </w:tcPr>
          <w:p>
            <w:pPr>
              <w:spacing w:beforeLines="0" w:afterLines="0" w:line="336" w:lineRule="exact"/>
              <w:rPr>
                <w:rFonts w:hint="default" w:ascii="Times New Roman" w:hAnsi="Times New Roman" w:eastAsia="仿宋_GB2312" w:cs="Times New Roman"/>
                <w:bCs/>
                <w:color w:val="auto"/>
                <w:sz w:val="24"/>
                <w:szCs w:val="24"/>
              </w:rPr>
            </w:pPr>
            <w:r>
              <w:rPr>
                <w:rFonts w:hint="default" w:ascii="Times New Roman" w:hAnsi="Times New Roman" w:eastAsia="仿宋_GB2312" w:cs="Times New Roman"/>
                <w:bCs/>
                <w:color w:val="auto"/>
                <w:sz w:val="24"/>
                <w:szCs w:val="24"/>
              </w:rPr>
              <w:t>区政务办、区发改局等相关行业主管部门</w:t>
            </w:r>
          </w:p>
        </w:tc>
        <w:tc>
          <w:tcPr>
            <w:tcW w:w="1441" w:type="dxa"/>
            <w:tcBorders>
              <w:top w:val="nil"/>
              <w:left w:val="nil"/>
              <w:bottom w:val="single" w:color="auto" w:sz="4" w:space="0"/>
              <w:right w:val="single" w:color="auto" w:sz="4" w:space="0"/>
            </w:tcBorders>
            <w:vAlign w:val="center"/>
          </w:tcPr>
          <w:p>
            <w:pPr>
              <w:spacing w:beforeLines="0" w:afterLines="0" w:line="300" w:lineRule="exact"/>
              <w:rPr>
                <w:rFonts w:hint="default" w:ascii="Times New Roman" w:hAnsi="Times New Roman" w:eastAsia="仿宋_GB2312" w:cs="Times New Roman"/>
                <w:bCs/>
                <w:color w:val="auto"/>
                <w:sz w:val="24"/>
                <w:szCs w:val="24"/>
              </w:rPr>
            </w:pPr>
            <w:r>
              <w:rPr>
                <w:rFonts w:hint="default" w:ascii="Times New Roman" w:hAnsi="Times New Roman" w:eastAsia="仿宋_GB2312" w:cs="Times New Roman"/>
                <w:bCs/>
                <w:color w:val="auto"/>
                <w:sz w:val="24"/>
                <w:szCs w:val="24"/>
              </w:rPr>
              <w:t>2018-11-15</w:t>
            </w:r>
          </w:p>
        </w:tc>
        <w:tc>
          <w:tcPr>
            <w:tcW w:w="947" w:type="dxa"/>
            <w:tcBorders>
              <w:top w:val="nil"/>
              <w:left w:val="nil"/>
              <w:bottom w:val="single" w:color="auto" w:sz="4" w:space="0"/>
              <w:right w:val="single" w:color="auto" w:sz="4" w:space="0"/>
            </w:tcBorders>
            <w:vAlign w:val="center"/>
          </w:tcPr>
          <w:p>
            <w:pPr>
              <w:spacing w:beforeLines="0" w:afterLines="0" w:line="300" w:lineRule="exact"/>
              <w:jc w:val="center"/>
              <w:rPr>
                <w:rFonts w:hint="default" w:ascii="Times New Roman" w:hAnsi="Times New Roman" w:eastAsia="仿宋_GB2312" w:cs="Times New Roman"/>
                <w:bCs/>
                <w:color w:val="auto"/>
                <w:sz w:val="24"/>
                <w:szCs w:val="24"/>
              </w:rPr>
            </w:pPr>
          </w:p>
        </w:tc>
      </w:tr>
      <w:tr>
        <w:tblPrEx>
          <w:tblLayout w:type="fixed"/>
          <w:tblCellMar>
            <w:top w:w="0" w:type="dxa"/>
            <w:left w:w="108" w:type="dxa"/>
            <w:bottom w:w="0" w:type="dxa"/>
            <w:right w:w="108" w:type="dxa"/>
          </w:tblCellMar>
        </w:tblPrEx>
        <w:trPr>
          <w:trHeight w:val="23" w:hRule="atLeast"/>
          <w:jc w:val="center"/>
        </w:trPr>
        <w:tc>
          <w:tcPr>
            <w:tcW w:w="921" w:type="dxa"/>
            <w:tcBorders>
              <w:top w:val="nil"/>
              <w:left w:val="single" w:color="auto" w:sz="4" w:space="0"/>
              <w:bottom w:val="single" w:color="auto" w:sz="4" w:space="0"/>
              <w:right w:val="single" w:color="auto" w:sz="4" w:space="0"/>
            </w:tcBorders>
            <w:vAlign w:val="center"/>
          </w:tcPr>
          <w:p>
            <w:pPr>
              <w:spacing w:beforeLines="0" w:afterLines="0" w:line="340" w:lineRule="exact"/>
              <w:jc w:val="center"/>
              <w:rPr>
                <w:rFonts w:hint="default" w:ascii="Times New Roman" w:hAnsi="Times New Roman" w:eastAsia="仿宋_GB2312" w:cs="Times New Roman"/>
                <w:bCs/>
                <w:color w:val="auto"/>
                <w:sz w:val="24"/>
                <w:szCs w:val="24"/>
              </w:rPr>
            </w:pPr>
            <w:r>
              <w:rPr>
                <w:rFonts w:hint="default" w:ascii="Times New Roman" w:hAnsi="Times New Roman" w:eastAsia="仿宋_GB2312" w:cs="Times New Roman"/>
                <w:bCs/>
                <w:color w:val="auto"/>
                <w:sz w:val="24"/>
                <w:szCs w:val="24"/>
              </w:rPr>
              <w:t>13</w:t>
            </w:r>
          </w:p>
        </w:tc>
        <w:tc>
          <w:tcPr>
            <w:tcW w:w="2151" w:type="dxa"/>
            <w:tcBorders>
              <w:top w:val="nil"/>
              <w:left w:val="nil"/>
              <w:bottom w:val="single" w:color="auto" w:sz="4" w:space="0"/>
              <w:right w:val="single" w:color="auto" w:sz="4" w:space="0"/>
            </w:tcBorders>
            <w:vAlign w:val="center"/>
          </w:tcPr>
          <w:p>
            <w:pPr>
              <w:spacing w:beforeLines="0" w:afterLines="0" w:line="340" w:lineRule="exact"/>
              <w:jc w:val="left"/>
              <w:rPr>
                <w:rFonts w:hint="default" w:ascii="Times New Roman" w:hAnsi="Times New Roman" w:eastAsia="仿宋_GB2312" w:cs="Times New Roman"/>
                <w:bCs/>
                <w:color w:val="auto"/>
                <w:sz w:val="24"/>
                <w:szCs w:val="24"/>
              </w:rPr>
            </w:pPr>
            <w:r>
              <w:rPr>
                <w:rFonts w:hint="default" w:ascii="Times New Roman" w:hAnsi="Times New Roman" w:eastAsia="仿宋_GB2312" w:cs="Times New Roman"/>
                <w:bCs/>
                <w:color w:val="auto"/>
                <w:sz w:val="24"/>
                <w:szCs w:val="24"/>
              </w:rPr>
              <w:t>使用中介服务网上交易平台</w:t>
            </w:r>
          </w:p>
        </w:tc>
        <w:tc>
          <w:tcPr>
            <w:tcW w:w="11936" w:type="dxa"/>
            <w:tcBorders>
              <w:top w:val="nil"/>
              <w:left w:val="nil"/>
              <w:bottom w:val="single" w:color="auto" w:sz="4" w:space="0"/>
              <w:right w:val="single" w:color="auto" w:sz="4" w:space="0"/>
            </w:tcBorders>
            <w:vAlign w:val="center"/>
          </w:tcPr>
          <w:p>
            <w:pPr>
              <w:spacing w:beforeLines="0" w:afterLines="0" w:line="340" w:lineRule="exact"/>
              <w:jc w:val="left"/>
              <w:rPr>
                <w:rFonts w:hint="default" w:ascii="Times New Roman" w:hAnsi="Times New Roman" w:eastAsia="仿宋_GB2312" w:cs="Times New Roman"/>
                <w:bCs/>
                <w:color w:val="auto"/>
                <w:sz w:val="24"/>
                <w:szCs w:val="24"/>
              </w:rPr>
            </w:pPr>
            <w:r>
              <w:rPr>
                <w:rFonts w:hint="default" w:ascii="Times New Roman" w:hAnsi="Times New Roman" w:eastAsia="仿宋_GB2312" w:cs="Times New Roman"/>
                <w:bCs/>
                <w:color w:val="auto"/>
                <w:sz w:val="24"/>
                <w:szCs w:val="24"/>
              </w:rPr>
              <w:t>使用省市中介服务网上交易平台，强化对中介服务行为的全过程监管。</w:t>
            </w:r>
          </w:p>
        </w:tc>
        <w:tc>
          <w:tcPr>
            <w:tcW w:w="1605" w:type="dxa"/>
            <w:tcBorders>
              <w:top w:val="nil"/>
              <w:left w:val="nil"/>
              <w:bottom w:val="single" w:color="auto" w:sz="4" w:space="0"/>
              <w:right w:val="single" w:color="auto" w:sz="4" w:space="0"/>
            </w:tcBorders>
            <w:vAlign w:val="center"/>
          </w:tcPr>
          <w:p>
            <w:pPr>
              <w:spacing w:beforeLines="0" w:afterLines="0" w:line="340" w:lineRule="exact"/>
              <w:jc w:val="center"/>
              <w:rPr>
                <w:rFonts w:hint="default" w:ascii="Times New Roman" w:hAnsi="Times New Roman" w:eastAsia="仿宋_GB2312" w:cs="Times New Roman"/>
                <w:bCs/>
                <w:color w:val="auto"/>
                <w:sz w:val="24"/>
                <w:szCs w:val="24"/>
              </w:rPr>
            </w:pPr>
            <w:r>
              <w:rPr>
                <w:rFonts w:hint="default" w:ascii="Times New Roman" w:hAnsi="Times New Roman" w:eastAsia="仿宋_GB2312" w:cs="Times New Roman"/>
                <w:bCs/>
                <w:color w:val="auto"/>
                <w:sz w:val="24"/>
                <w:szCs w:val="24"/>
              </w:rPr>
              <w:t>区编办、区政务办、</w:t>
            </w:r>
          </w:p>
        </w:tc>
        <w:tc>
          <w:tcPr>
            <w:tcW w:w="2571" w:type="dxa"/>
            <w:tcBorders>
              <w:top w:val="nil"/>
              <w:left w:val="nil"/>
              <w:bottom w:val="single" w:color="auto" w:sz="4" w:space="0"/>
              <w:right w:val="single" w:color="auto" w:sz="4" w:space="0"/>
            </w:tcBorders>
            <w:vAlign w:val="center"/>
          </w:tcPr>
          <w:p>
            <w:pPr>
              <w:spacing w:beforeLines="0" w:afterLines="0" w:line="340" w:lineRule="exact"/>
              <w:rPr>
                <w:rFonts w:hint="default" w:ascii="Times New Roman" w:hAnsi="Times New Roman" w:eastAsia="仿宋_GB2312" w:cs="Times New Roman"/>
                <w:bCs/>
                <w:color w:val="auto"/>
                <w:sz w:val="24"/>
                <w:szCs w:val="24"/>
              </w:rPr>
            </w:pPr>
            <w:r>
              <w:rPr>
                <w:rFonts w:hint="default" w:ascii="Times New Roman" w:hAnsi="Times New Roman" w:eastAsia="仿宋_GB2312" w:cs="Times New Roman"/>
                <w:bCs/>
                <w:color w:val="auto"/>
                <w:sz w:val="24"/>
                <w:szCs w:val="24"/>
              </w:rPr>
              <w:t>相关行业主管部门</w:t>
            </w:r>
          </w:p>
        </w:tc>
        <w:tc>
          <w:tcPr>
            <w:tcW w:w="1441" w:type="dxa"/>
            <w:tcBorders>
              <w:top w:val="nil"/>
              <w:left w:val="nil"/>
              <w:bottom w:val="single" w:color="auto" w:sz="4" w:space="0"/>
              <w:right w:val="single" w:color="auto" w:sz="4" w:space="0"/>
            </w:tcBorders>
            <w:vAlign w:val="center"/>
          </w:tcPr>
          <w:p>
            <w:pPr>
              <w:spacing w:beforeLines="0" w:afterLines="0" w:line="300" w:lineRule="exact"/>
              <w:rPr>
                <w:rFonts w:hint="default" w:ascii="Times New Roman" w:hAnsi="Times New Roman" w:eastAsia="仿宋_GB2312" w:cs="Times New Roman"/>
                <w:bCs/>
                <w:color w:val="auto"/>
                <w:sz w:val="24"/>
                <w:szCs w:val="24"/>
              </w:rPr>
            </w:pPr>
            <w:r>
              <w:rPr>
                <w:rFonts w:hint="default" w:ascii="Times New Roman" w:hAnsi="Times New Roman" w:eastAsia="仿宋_GB2312" w:cs="Times New Roman"/>
                <w:bCs/>
                <w:color w:val="auto"/>
                <w:sz w:val="24"/>
                <w:szCs w:val="24"/>
              </w:rPr>
              <w:t>2018-11-15</w:t>
            </w:r>
          </w:p>
        </w:tc>
        <w:tc>
          <w:tcPr>
            <w:tcW w:w="947" w:type="dxa"/>
            <w:tcBorders>
              <w:top w:val="nil"/>
              <w:left w:val="nil"/>
              <w:bottom w:val="single" w:color="auto" w:sz="4" w:space="0"/>
              <w:right w:val="single" w:color="auto" w:sz="4" w:space="0"/>
            </w:tcBorders>
            <w:vAlign w:val="center"/>
          </w:tcPr>
          <w:p>
            <w:pPr>
              <w:spacing w:beforeLines="0" w:afterLines="0" w:line="300" w:lineRule="exact"/>
              <w:jc w:val="center"/>
              <w:rPr>
                <w:rFonts w:hint="default" w:ascii="Times New Roman" w:hAnsi="Times New Roman" w:eastAsia="仿宋_GB2312" w:cs="Times New Roman"/>
                <w:bCs/>
                <w:color w:val="auto"/>
                <w:sz w:val="24"/>
                <w:szCs w:val="24"/>
              </w:rPr>
            </w:pPr>
          </w:p>
        </w:tc>
      </w:tr>
      <w:tr>
        <w:tblPrEx>
          <w:tblLayout w:type="fixed"/>
          <w:tblCellMar>
            <w:top w:w="0" w:type="dxa"/>
            <w:left w:w="108" w:type="dxa"/>
            <w:bottom w:w="0" w:type="dxa"/>
            <w:right w:w="108" w:type="dxa"/>
          </w:tblCellMar>
        </w:tblPrEx>
        <w:trPr>
          <w:trHeight w:val="23" w:hRule="atLeast"/>
          <w:jc w:val="center"/>
        </w:trPr>
        <w:tc>
          <w:tcPr>
            <w:tcW w:w="921" w:type="dxa"/>
            <w:tcBorders>
              <w:top w:val="nil"/>
              <w:left w:val="single" w:color="auto" w:sz="4" w:space="0"/>
              <w:bottom w:val="single" w:color="auto" w:sz="4" w:space="0"/>
              <w:right w:val="single" w:color="auto" w:sz="4" w:space="0"/>
            </w:tcBorders>
            <w:vAlign w:val="center"/>
          </w:tcPr>
          <w:p>
            <w:pPr>
              <w:spacing w:beforeLines="0" w:afterLines="0" w:line="316" w:lineRule="exact"/>
              <w:jc w:val="center"/>
              <w:rPr>
                <w:rFonts w:hint="default" w:ascii="Times New Roman" w:hAnsi="Times New Roman" w:eastAsia="仿宋_GB2312" w:cs="Times New Roman"/>
                <w:bCs/>
                <w:color w:val="auto"/>
                <w:sz w:val="24"/>
                <w:szCs w:val="24"/>
              </w:rPr>
            </w:pPr>
            <w:r>
              <w:rPr>
                <w:rFonts w:hint="default" w:ascii="Times New Roman" w:hAnsi="Times New Roman" w:eastAsia="仿宋_GB2312" w:cs="Times New Roman"/>
                <w:bCs/>
                <w:color w:val="auto"/>
                <w:sz w:val="24"/>
                <w:szCs w:val="24"/>
              </w:rPr>
              <w:t>14</w:t>
            </w:r>
          </w:p>
        </w:tc>
        <w:tc>
          <w:tcPr>
            <w:tcW w:w="2151" w:type="dxa"/>
            <w:tcBorders>
              <w:top w:val="nil"/>
              <w:left w:val="nil"/>
              <w:bottom w:val="single" w:color="auto" w:sz="4" w:space="0"/>
              <w:right w:val="single" w:color="auto" w:sz="4" w:space="0"/>
            </w:tcBorders>
            <w:vAlign w:val="center"/>
          </w:tcPr>
          <w:p>
            <w:pPr>
              <w:spacing w:beforeLines="0" w:afterLines="0" w:line="316" w:lineRule="exact"/>
              <w:jc w:val="left"/>
              <w:rPr>
                <w:rFonts w:hint="default" w:ascii="Times New Roman" w:hAnsi="Times New Roman" w:eastAsia="仿宋_GB2312" w:cs="Times New Roman"/>
                <w:bCs/>
                <w:color w:val="auto"/>
                <w:sz w:val="24"/>
                <w:szCs w:val="24"/>
              </w:rPr>
            </w:pPr>
            <w:r>
              <w:rPr>
                <w:rFonts w:hint="default" w:ascii="Times New Roman" w:hAnsi="Times New Roman" w:eastAsia="仿宋_GB2312" w:cs="Times New Roman"/>
                <w:bCs/>
                <w:color w:val="auto"/>
                <w:sz w:val="24"/>
                <w:szCs w:val="24"/>
              </w:rPr>
              <w:t>制定中介和市政公用服务监督管理制度</w:t>
            </w:r>
          </w:p>
        </w:tc>
        <w:tc>
          <w:tcPr>
            <w:tcW w:w="11936" w:type="dxa"/>
            <w:tcBorders>
              <w:top w:val="nil"/>
              <w:left w:val="nil"/>
              <w:bottom w:val="single" w:color="auto" w:sz="4" w:space="0"/>
              <w:right w:val="single" w:color="auto" w:sz="4" w:space="0"/>
            </w:tcBorders>
            <w:vAlign w:val="center"/>
          </w:tcPr>
          <w:p>
            <w:pPr>
              <w:spacing w:beforeLines="0" w:afterLines="0" w:line="316" w:lineRule="exact"/>
              <w:jc w:val="left"/>
              <w:rPr>
                <w:rFonts w:hint="default" w:ascii="Times New Roman" w:hAnsi="Times New Roman" w:eastAsia="仿宋_GB2312" w:cs="Times New Roman"/>
                <w:bCs/>
                <w:color w:val="auto"/>
                <w:sz w:val="24"/>
                <w:szCs w:val="24"/>
              </w:rPr>
            </w:pPr>
            <w:r>
              <w:rPr>
                <w:rFonts w:hint="default" w:ascii="Times New Roman" w:hAnsi="Times New Roman" w:eastAsia="仿宋_GB2312" w:cs="Times New Roman"/>
                <w:bCs/>
                <w:color w:val="auto"/>
                <w:sz w:val="24"/>
                <w:szCs w:val="24"/>
              </w:rPr>
              <w:t>制定中介和市政公用服务清单，将中介和市政公用服务单位纳入平台管理，实行对中介服务行为全过程监管。建立中介和市政公用服务管理制度，全面实行中介和市政公用服务承诺制，明确服务标准、办事流程和办事时限，规范服务收费。</w:t>
            </w:r>
          </w:p>
        </w:tc>
        <w:tc>
          <w:tcPr>
            <w:tcW w:w="1605" w:type="dxa"/>
            <w:tcBorders>
              <w:top w:val="nil"/>
              <w:left w:val="nil"/>
              <w:bottom w:val="single" w:color="auto" w:sz="4" w:space="0"/>
              <w:right w:val="single" w:color="auto" w:sz="4" w:space="0"/>
            </w:tcBorders>
            <w:vAlign w:val="center"/>
          </w:tcPr>
          <w:p>
            <w:pPr>
              <w:spacing w:beforeLines="0" w:afterLines="0" w:line="300" w:lineRule="exact"/>
              <w:jc w:val="center"/>
              <w:rPr>
                <w:rFonts w:hint="default" w:ascii="Times New Roman" w:hAnsi="Times New Roman" w:eastAsia="仿宋_GB2312" w:cs="Times New Roman"/>
                <w:bCs/>
                <w:color w:val="auto"/>
                <w:sz w:val="24"/>
                <w:szCs w:val="24"/>
              </w:rPr>
            </w:pPr>
            <w:r>
              <w:rPr>
                <w:rFonts w:hint="default" w:ascii="Times New Roman" w:hAnsi="Times New Roman" w:eastAsia="仿宋_GB2312" w:cs="Times New Roman"/>
                <w:bCs/>
                <w:color w:val="auto"/>
                <w:sz w:val="24"/>
                <w:szCs w:val="24"/>
              </w:rPr>
              <w:t>（负责中介事项）、区政务办、区住建局（负责市政公用服务）</w:t>
            </w:r>
          </w:p>
        </w:tc>
        <w:tc>
          <w:tcPr>
            <w:tcW w:w="2571" w:type="dxa"/>
            <w:tcBorders>
              <w:top w:val="nil"/>
              <w:left w:val="nil"/>
              <w:bottom w:val="single" w:color="auto" w:sz="4" w:space="0"/>
              <w:right w:val="single" w:color="auto" w:sz="4" w:space="0"/>
            </w:tcBorders>
            <w:vAlign w:val="center"/>
          </w:tcPr>
          <w:p>
            <w:pPr>
              <w:spacing w:beforeLines="0" w:afterLines="0" w:line="300" w:lineRule="exact"/>
              <w:rPr>
                <w:rFonts w:hint="default" w:ascii="Times New Roman" w:hAnsi="Times New Roman" w:eastAsia="仿宋_GB2312" w:cs="Times New Roman"/>
                <w:bCs/>
                <w:color w:val="auto"/>
                <w:sz w:val="24"/>
                <w:szCs w:val="24"/>
              </w:rPr>
            </w:pPr>
            <w:r>
              <w:rPr>
                <w:rFonts w:hint="default" w:ascii="Times New Roman" w:hAnsi="Times New Roman" w:eastAsia="仿宋_GB2312" w:cs="Times New Roman"/>
                <w:bCs/>
                <w:color w:val="auto"/>
                <w:sz w:val="24"/>
                <w:szCs w:val="24"/>
              </w:rPr>
              <w:t>相关行业主管部门</w:t>
            </w:r>
          </w:p>
        </w:tc>
        <w:tc>
          <w:tcPr>
            <w:tcW w:w="1441" w:type="dxa"/>
            <w:tcBorders>
              <w:top w:val="nil"/>
              <w:left w:val="nil"/>
              <w:bottom w:val="single" w:color="auto" w:sz="4" w:space="0"/>
              <w:right w:val="single" w:color="auto" w:sz="4" w:space="0"/>
            </w:tcBorders>
            <w:vAlign w:val="center"/>
          </w:tcPr>
          <w:p>
            <w:pPr>
              <w:spacing w:beforeLines="0" w:afterLines="0" w:line="300" w:lineRule="exact"/>
              <w:rPr>
                <w:rFonts w:hint="default" w:ascii="Times New Roman" w:hAnsi="Times New Roman" w:eastAsia="仿宋_GB2312" w:cs="Times New Roman"/>
                <w:bCs/>
                <w:color w:val="auto"/>
                <w:sz w:val="24"/>
                <w:szCs w:val="24"/>
              </w:rPr>
            </w:pPr>
            <w:r>
              <w:rPr>
                <w:rFonts w:hint="default" w:ascii="Times New Roman" w:hAnsi="Times New Roman" w:eastAsia="仿宋_GB2312" w:cs="Times New Roman"/>
                <w:bCs/>
                <w:color w:val="auto"/>
                <w:sz w:val="24"/>
                <w:szCs w:val="24"/>
              </w:rPr>
              <w:t>2018-10-15</w:t>
            </w:r>
          </w:p>
        </w:tc>
        <w:tc>
          <w:tcPr>
            <w:tcW w:w="947" w:type="dxa"/>
            <w:tcBorders>
              <w:top w:val="nil"/>
              <w:left w:val="nil"/>
              <w:bottom w:val="single" w:color="auto" w:sz="4" w:space="0"/>
              <w:right w:val="single" w:color="auto" w:sz="4" w:space="0"/>
            </w:tcBorders>
            <w:vAlign w:val="center"/>
          </w:tcPr>
          <w:p>
            <w:pPr>
              <w:spacing w:beforeLines="0" w:afterLines="0" w:line="300" w:lineRule="exact"/>
              <w:jc w:val="center"/>
              <w:rPr>
                <w:rFonts w:hint="default" w:ascii="Times New Roman" w:hAnsi="Times New Roman" w:eastAsia="仿宋_GB2312" w:cs="Times New Roman"/>
                <w:bCs/>
                <w:color w:val="auto"/>
                <w:sz w:val="24"/>
                <w:szCs w:val="24"/>
              </w:rPr>
            </w:pPr>
          </w:p>
        </w:tc>
      </w:tr>
      <w:tr>
        <w:tblPrEx>
          <w:tblLayout w:type="fixed"/>
          <w:tblCellMar>
            <w:top w:w="0" w:type="dxa"/>
            <w:left w:w="108" w:type="dxa"/>
            <w:bottom w:w="0" w:type="dxa"/>
            <w:right w:w="108" w:type="dxa"/>
          </w:tblCellMar>
        </w:tblPrEx>
        <w:trPr>
          <w:trHeight w:val="23" w:hRule="atLeast"/>
          <w:jc w:val="center"/>
        </w:trPr>
        <w:tc>
          <w:tcPr>
            <w:tcW w:w="921" w:type="dxa"/>
            <w:tcBorders>
              <w:top w:val="nil"/>
              <w:left w:val="single" w:color="auto" w:sz="4" w:space="0"/>
              <w:bottom w:val="single" w:color="auto" w:sz="4" w:space="0"/>
              <w:right w:val="single" w:color="auto" w:sz="4" w:space="0"/>
            </w:tcBorders>
            <w:vAlign w:val="center"/>
          </w:tcPr>
          <w:p>
            <w:pPr>
              <w:spacing w:beforeLines="0" w:afterLines="0" w:line="316" w:lineRule="exact"/>
              <w:jc w:val="center"/>
              <w:rPr>
                <w:rFonts w:hint="default" w:ascii="Times New Roman" w:hAnsi="Times New Roman" w:eastAsia="仿宋_GB2312" w:cs="Times New Roman"/>
                <w:bCs/>
                <w:color w:val="auto"/>
                <w:sz w:val="24"/>
                <w:szCs w:val="24"/>
              </w:rPr>
            </w:pPr>
            <w:r>
              <w:rPr>
                <w:rFonts w:hint="default" w:ascii="Times New Roman" w:hAnsi="Times New Roman" w:eastAsia="仿宋_GB2312" w:cs="Times New Roman"/>
                <w:bCs/>
                <w:color w:val="auto"/>
                <w:sz w:val="24"/>
                <w:szCs w:val="24"/>
              </w:rPr>
              <w:t>15</w:t>
            </w:r>
          </w:p>
        </w:tc>
        <w:tc>
          <w:tcPr>
            <w:tcW w:w="2151" w:type="dxa"/>
            <w:tcBorders>
              <w:top w:val="nil"/>
              <w:left w:val="nil"/>
              <w:bottom w:val="single" w:color="auto" w:sz="4" w:space="0"/>
              <w:right w:val="single" w:color="auto" w:sz="4" w:space="0"/>
            </w:tcBorders>
            <w:vAlign w:val="center"/>
          </w:tcPr>
          <w:p>
            <w:pPr>
              <w:spacing w:beforeLines="0" w:afterLines="0" w:line="316" w:lineRule="exact"/>
              <w:jc w:val="left"/>
              <w:rPr>
                <w:rFonts w:hint="default" w:ascii="Times New Roman" w:hAnsi="Times New Roman" w:eastAsia="仿宋_GB2312" w:cs="Times New Roman"/>
                <w:bCs/>
                <w:color w:val="auto"/>
                <w:sz w:val="24"/>
                <w:szCs w:val="24"/>
              </w:rPr>
            </w:pPr>
            <w:r>
              <w:rPr>
                <w:rFonts w:hint="default" w:ascii="Times New Roman" w:hAnsi="Times New Roman" w:eastAsia="仿宋_GB2312" w:cs="Times New Roman"/>
                <w:bCs/>
                <w:color w:val="auto"/>
                <w:sz w:val="24"/>
                <w:szCs w:val="24"/>
              </w:rPr>
              <w:t>建立考评制度</w:t>
            </w:r>
          </w:p>
        </w:tc>
        <w:tc>
          <w:tcPr>
            <w:tcW w:w="11936" w:type="dxa"/>
            <w:tcBorders>
              <w:top w:val="nil"/>
              <w:left w:val="nil"/>
              <w:bottom w:val="single" w:color="auto" w:sz="4" w:space="0"/>
              <w:right w:val="single" w:color="auto" w:sz="4" w:space="0"/>
            </w:tcBorders>
            <w:vAlign w:val="center"/>
          </w:tcPr>
          <w:p>
            <w:pPr>
              <w:spacing w:beforeLines="0" w:afterLines="0" w:line="316" w:lineRule="exact"/>
              <w:jc w:val="left"/>
              <w:rPr>
                <w:rFonts w:hint="default" w:ascii="Times New Roman" w:hAnsi="Times New Roman" w:eastAsia="仿宋_GB2312" w:cs="Times New Roman"/>
                <w:bCs/>
                <w:color w:val="auto"/>
                <w:sz w:val="24"/>
                <w:szCs w:val="24"/>
              </w:rPr>
            </w:pPr>
            <w:r>
              <w:rPr>
                <w:rFonts w:hint="default" w:ascii="Times New Roman" w:hAnsi="Times New Roman" w:eastAsia="仿宋_GB2312" w:cs="Times New Roman"/>
                <w:bCs/>
                <w:color w:val="auto"/>
                <w:sz w:val="24"/>
                <w:szCs w:val="24"/>
              </w:rPr>
              <w:t>以企业和公众感受为标准，建立工程建设项目审批值制度改革试点考评制度，出台考评办法，明确考核部门、考核内容、考核时间等，并在年度考核中予以体现。</w:t>
            </w:r>
          </w:p>
        </w:tc>
        <w:tc>
          <w:tcPr>
            <w:tcW w:w="1605" w:type="dxa"/>
            <w:tcBorders>
              <w:top w:val="nil"/>
              <w:left w:val="nil"/>
              <w:bottom w:val="single" w:color="auto" w:sz="4" w:space="0"/>
              <w:right w:val="single" w:color="auto" w:sz="4" w:space="0"/>
            </w:tcBorders>
            <w:vAlign w:val="center"/>
          </w:tcPr>
          <w:p>
            <w:pPr>
              <w:spacing w:beforeLines="0" w:afterLines="0" w:line="300" w:lineRule="exact"/>
              <w:jc w:val="center"/>
              <w:rPr>
                <w:rFonts w:hint="default" w:ascii="Times New Roman" w:hAnsi="Times New Roman" w:eastAsia="仿宋_GB2312" w:cs="Times New Roman"/>
                <w:bCs/>
                <w:color w:val="auto"/>
                <w:sz w:val="24"/>
                <w:szCs w:val="24"/>
              </w:rPr>
            </w:pPr>
            <w:r>
              <w:rPr>
                <w:rFonts w:hint="default" w:ascii="Times New Roman" w:hAnsi="Times New Roman" w:eastAsia="仿宋_GB2312" w:cs="Times New Roman"/>
                <w:bCs/>
                <w:color w:val="auto"/>
                <w:sz w:val="24"/>
                <w:szCs w:val="24"/>
              </w:rPr>
              <w:t>区住建局、区委改革办</w:t>
            </w:r>
          </w:p>
        </w:tc>
        <w:tc>
          <w:tcPr>
            <w:tcW w:w="2571" w:type="dxa"/>
            <w:tcBorders>
              <w:top w:val="nil"/>
              <w:left w:val="nil"/>
              <w:bottom w:val="single" w:color="auto" w:sz="4" w:space="0"/>
              <w:right w:val="single" w:color="auto" w:sz="4" w:space="0"/>
            </w:tcBorders>
            <w:vAlign w:val="center"/>
          </w:tcPr>
          <w:p>
            <w:pPr>
              <w:spacing w:beforeLines="0" w:afterLines="0" w:line="300" w:lineRule="exact"/>
              <w:rPr>
                <w:rFonts w:hint="default" w:ascii="Times New Roman" w:hAnsi="Times New Roman" w:eastAsia="仿宋_GB2312" w:cs="Times New Roman"/>
                <w:bCs/>
                <w:color w:val="auto"/>
                <w:sz w:val="24"/>
                <w:szCs w:val="24"/>
              </w:rPr>
            </w:pPr>
            <w:r>
              <w:rPr>
                <w:rFonts w:hint="default" w:ascii="Times New Roman" w:hAnsi="Times New Roman" w:eastAsia="仿宋_GB2312" w:cs="Times New Roman"/>
                <w:bCs/>
                <w:color w:val="auto"/>
                <w:sz w:val="24"/>
                <w:szCs w:val="24"/>
              </w:rPr>
              <w:t>区政务办和相关行业主管部门</w:t>
            </w:r>
          </w:p>
        </w:tc>
        <w:tc>
          <w:tcPr>
            <w:tcW w:w="1441" w:type="dxa"/>
            <w:tcBorders>
              <w:top w:val="nil"/>
              <w:left w:val="nil"/>
              <w:bottom w:val="single" w:color="auto" w:sz="4" w:space="0"/>
              <w:right w:val="single" w:color="auto" w:sz="4" w:space="0"/>
            </w:tcBorders>
            <w:vAlign w:val="center"/>
          </w:tcPr>
          <w:p>
            <w:pPr>
              <w:spacing w:beforeLines="0" w:afterLines="0" w:line="300" w:lineRule="exact"/>
              <w:rPr>
                <w:rFonts w:hint="default" w:ascii="Times New Roman" w:hAnsi="Times New Roman" w:eastAsia="仿宋_GB2312" w:cs="Times New Roman"/>
                <w:bCs/>
                <w:color w:val="auto"/>
                <w:sz w:val="24"/>
                <w:szCs w:val="24"/>
              </w:rPr>
            </w:pPr>
            <w:r>
              <w:rPr>
                <w:rFonts w:hint="default" w:ascii="Times New Roman" w:hAnsi="Times New Roman" w:eastAsia="仿宋_GB2312" w:cs="Times New Roman"/>
                <w:bCs/>
                <w:color w:val="auto"/>
                <w:sz w:val="24"/>
                <w:szCs w:val="24"/>
              </w:rPr>
              <w:t>2018-10-15</w:t>
            </w:r>
          </w:p>
        </w:tc>
        <w:tc>
          <w:tcPr>
            <w:tcW w:w="947" w:type="dxa"/>
            <w:tcBorders>
              <w:top w:val="nil"/>
              <w:left w:val="nil"/>
              <w:bottom w:val="single" w:color="auto" w:sz="4" w:space="0"/>
              <w:right w:val="single" w:color="auto" w:sz="4" w:space="0"/>
            </w:tcBorders>
            <w:vAlign w:val="center"/>
          </w:tcPr>
          <w:p>
            <w:pPr>
              <w:spacing w:beforeLines="0" w:afterLines="0" w:line="300" w:lineRule="exact"/>
              <w:jc w:val="center"/>
              <w:rPr>
                <w:rFonts w:hint="default" w:ascii="Times New Roman" w:hAnsi="Times New Roman" w:eastAsia="仿宋_GB2312" w:cs="Times New Roman"/>
                <w:bCs/>
                <w:color w:val="auto"/>
                <w:sz w:val="24"/>
                <w:szCs w:val="24"/>
              </w:rPr>
            </w:pPr>
          </w:p>
        </w:tc>
      </w:tr>
      <w:tr>
        <w:tblPrEx>
          <w:tblLayout w:type="fixed"/>
          <w:tblCellMar>
            <w:top w:w="0" w:type="dxa"/>
            <w:left w:w="108" w:type="dxa"/>
            <w:bottom w:w="0" w:type="dxa"/>
            <w:right w:w="108" w:type="dxa"/>
          </w:tblCellMar>
        </w:tblPrEx>
        <w:trPr>
          <w:trHeight w:val="23" w:hRule="atLeast"/>
          <w:jc w:val="center"/>
        </w:trPr>
        <w:tc>
          <w:tcPr>
            <w:tcW w:w="921" w:type="dxa"/>
            <w:tcBorders>
              <w:top w:val="single" w:color="auto" w:sz="4" w:space="0"/>
              <w:left w:val="single" w:color="auto" w:sz="4" w:space="0"/>
              <w:bottom w:val="single" w:color="auto" w:sz="4" w:space="0"/>
              <w:right w:val="single" w:color="auto" w:sz="4" w:space="0"/>
            </w:tcBorders>
            <w:vAlign w:val="center"/>
          </w:tcPr>
          <w:p>
            <w:pPr>
              <w:spacing w:beforeLines="0" w:afterLines="0" w:line="316" w:lineRule="exact"/>
              <w:jc w:val="center"/>
              <w:rPr>
                <w:rFonts w:hint="default" w:ascii="Times New Roman" w:hAnsi="Times New Roman" w:eastAsia="仿宋_GB2312" w:cs="Times New Roman"/>
                <w:bCs/>
                <w:color w:val="auto"/>
                <w:sz w:val="24"/>
                <w:szCs w:val="24"/>
              </w:rPr>
            </w:pPr>
            <w:r>
              <w:rPr>
                <w:rFonts w:hint="default" w:ascii="Times New Roman" w:hAnsi="Times New Roman" w:eastAsia="仿宋_GB2312" w:cs="Times New Roman"/>
                <w:bCs/>
                <w:color w:val="auto"/>
                <w:sz w:val="24"/>
                <w:szCs w:val="24"/>
              </w:rPr>
              <w:t>16</w:t>
            </w:r>
          </w:p>
        </w:tc>
        <w:tc>
          <w:tcPr>
            <w:tcW w:w="2151" w:type="dxa"/>
            <w:tcBorders>
              <w:top w:val="single" w:color="auto" w:sz="4" w:space="0"/>
              <w:left w:val="nil"/>
              <w:bottom w:val="single" w:color="auto" w:sz="4" w:space="0"/>
              <w:right w:val="single" w:color="auto" w:sz="4" w:space="0"/>
            </w:tcBorders>
            <w:vAlign w:val="center"/>
          </w:tcPr>
          <w:p>
            <w:pPr>
              <w:spacing w:beforeLines="0" w:afterLines="0" w:line="316" w:lineRule="exact"/>
              <w:jc w:val="left"/>
              <w:rPr>
                <w:rFonts w:hint="default" w:ascii="Times New Roman" w:hAnsi="Times New Roman" w:eastAsia="仿宋_GB2312" w:cs="Times New Roman"/>
                <w:bCs/>
                <w:color w:val="auto"/>
                <w:sz w:val="24"/>
                <w:szCs w:val="24"/>
              </w:rPr>
            </w:pPr>
            <w:r>
              <w:rPr>
                <w:rFonts w:hint="default" w:ascii="Times New Roman" w:hAnsi="Times New Roman" w:eastAsia="仿宋_GB2312" w:cs="Times New Roman"/>
                <w:bCs/>
                <w:color w:val="auto"/>
                <w:sz w:val="24"/>
                <w:szCs w:val="24"/>
              </w:rPr>
              <w:t>制定宣传方案</w:t>
            </w:r>
          </w:p>
        </w:tc>
        <w:tc>
          <w:tcPr>
            <w:tcW w:w="11936" w:type="dxa"/>
            <w:tcBorders>
              <w:top w:val="single" w:color="auto" w:sz="4" w:space="0"/>
              <w:left w:val="nil"/>
              <w:bottom w:val="single" w:color="auto" w:sz="4" w:space="0"/>
              <w:right w:val="single" w:color="auto" w:sz="4" w:space="0"/>
            </w:tcBorders>
            <w:vAlign w:val="center"/>
          </w:tcPr>
          <w:p>
            <w:pPr>
              <w:spacing w:beforeLines="0" w:afterLines="0" w:line="316" w:lineRule="exact"/>
              <w:jc w:val="left"/>
              <w:rPr>
                <w:rFonts w:hint="default" w:ascii="Times New Roman" w:hAnsi="Times New Roman" w:eastAsia="仿宋_GB2312" w:cs="Times New Roman"/>
                <w:bCs/>
                <w:color w:val="auto"/>
                <w:sz w:val="24"/>
                <w:szCs w:val="24"/>
              </w:rPr>
            </w:pPr>
            <w:r>
              <w:rPr>
                <w:rFonts w:hint="default" w:ascii="Times New Roman" w:hAnsi="Times New Roman" w:eastAsia="仿宋_GB2312" w:cs="Times New Roman"/>
                <w:bCs/>
                <w:color w:val="auto"/>
                <w:sz w:val="24"/>
                <w:szCs w:val="24"/>
              </w:rPr>
              <w:t>各有关部门要通过多种形式及时宣传报道试点工作的改革措施和取得的成效，加强舆论引导，做好公众咨询、广泛征集企业、公众意见和建议等。</w:t>
            </w:r>
          </w:p>
        </w:tc>
        <w:tc>
          <w:tcPr>
            <w:tcW w:w="1605" w:type="dxa"/>
            <w:tcBorders>
              <w:top w:val="single" w:color="auto" w:sz="4" w:space="0"/>
              <w:left w:val="nil"/>
              <w:bottom w:val="single" w:color="auto" w:sz="4" w:space="0"/>
              <w:right w:val="single" w:color="auto" w:sz="4" w:space="0"/>
            </w:tcBorders>
            <w:vAlign w:val="center"/>
          </w:tcPr>
          <w:p>
            <w:pPr>
              <w:spacing w:beforeLines="0" w:afterLines="0" w:line="300" w:lineRule="exact"/>
              <w:jc w:val="center"/>
              <w:rPr>
                <w:rFonts w:hint="default" w:ascii="Times New Roman" w:hAnsi="Times New Roman" w:eastAsia="仿宋_GB2312" w:cs="Times New Roman"/>
                <w:bCs/>
                <w:color w:val="auto"/>
                <w:sz w:val="24"/>
                <w:szCs w:val="24"/>
              </w:rPr>
            </w:pPr>
            <w:r>
              <w:rPr>
                <w:rFonts w:hint="default" w:ascii="Times New Roman" w:hAnsi="Times New Roman" w:eastAsia="仿宋_GB2312" w:cs="Times New Roman"/>
                <w:bCs/>
                <w:color w:val="auto"/>
                <w:sz w:val="24"/>
                <w:szCs w:val="24"/>
              </w:rPr>
              <w:t>区住建局</w:t>
            </w:r>
          </w:p>
        </w:tc>
        <w:tc>
          <w:tcPr>
            <w:tcW w:w="2571" w:type="dxa"/>
            <w:tcBorders>
              <w:top w:val="single" w:color="auto" w:sz="4" w:space="0"/>
              <w:left w:val="nil"/>
              <w:bottom w:val="single" w:color="auto" w:sz="4" w:space="0"/>
              <w:right w:val="single" w:color="auto" w:sz="4" w:space="0"/>
            </w:tcBorders>
            <w:vAlign w:val="center"/>
          </w:tcPr>
          <w:p>
            <w:pPr>
              <w:spacing w:beforeLines="0" w:afterLines="0" w:line="300" w:lineRule="exact"/>
              <w:rPr>
                <w:rFonts w:hint="default" w:ascii="Times New Roman" w:hAnsi="Times New Roman" w:eastAsia="仿宋_GB2312" w:cs="Times New Roman"/>
                <w:bCs/>
                <w:color w:val="auto"/>
                <w:sz w:val="24"/>
                <w:szCs w:val="24"/>
              </w:rPr>
            </w:pPr>
            <w:r>
              <w:rPr>
                <w:rFonts w:hint="default" w:ascii="Times New Roman" w:hAnsi="Times New Roman" w:eastAsia="仿宋_GB2312" w:cs="Times New Roman"/>
                <w:bCs/>
                <w:color w:val="auto"/>
                <w:sz w:val="24"/>
                <w:szCs w:val="24"/>
              </w:rPr>
              <w:t>相关行业主管部门</w:t>
            </w:r>
          </w:p>
        </w:tc>
        <w:tc>
          <w:tcPr>
            <w:tcW w:w="1441" w:type="dxa"/>
            <w:tcBorders>
              <w:top w:val="single" w:color="auto" w:sz="4" w:space="0"/>
              <w:left w:val="nil"/>
              <w:bottom w:val="single" w:color="auto" w:sz="4" w:space="0"/>
              <w:right w:val="single" w:color="auto" w:sz="4" w:space="0"/>
            </w:tcBorders>
            <w:vAlign w:val="center"/>
          </w:tcPr>
          <w:p>
            <w:pPr>
              <w:spacing w:beforeLines="0" w:afterLines="0" w:line="300" w:lineRule="exact"/>
              <w:rPr>
                <w:rFonts w:hint="default" w:ascii="Times New Roman" w:hAnsi="Times New Roman" w:eastAsia="仿宋_GB2312" w:cs="Times New Roman"/>
                <w:bCs/>
                <w:color w:val="auto"/>
                <w:sz w:val="24"/>
                <w:szCs w:val="24"/>
              </w:rPr>
            </w:pPr>
            <w:r>
              <w:rPr>
                <w:rFonts w:hint="default" w:ascii="Times New Roman" w:hAnsi="Times New Roman" w:eastAsia="仿宋_GB2312" w:cs="Times New Roman"/>
                <w:bCs/>
                <w:color w:val="auto"/>
                <w:sz w:val="24"/>
                <w:szCs w:val="24"/>
              </w:rPr>
              <w:t>2018-11-15</w:t>
            </w:r>
          </w:p>
        </w:tc>
        <w:tc>
          <w:tcPr>
            <w:tcW w:w="947" w:type="dxa"/>
            <w:tcBorders>
              <w:top w:val="single" w:color="auto" w:sz="4" w:space="0"/>
              <w:left w:val="nil"/>
              <w:bottom w:val="single" w:color="auto" w:sz="4" w:space="0"/>
              <w:right w:val="single" w:color="auto" w:sz="4" w:space="0"/>
            </w:tcBorders>
            <w:vAlign w:val="center"/>
          </w:tcPr>
          <w:p>
            <w:pPr>
              <w:spacing w:beforeLines="0" w:afterLines="0" w:line="300" w:lineRule="exact"/>
              <w:jc w:val="center"/>
              <w:rPr>
                <w:rFonts w:hint="default" w:ascii="Times New Roman" w:hAnsi="Times New Roman" w:eastAsia="仿宋_GB2312" w:cs="Times New Roman"/>
                <w:bCs/>
                <w:color w:val="auto"/>
                <w:sz w:val="24"/>
                <w:szCs w:val="24"/>
              </w:rPr>
            </w:pPr>
          </w:p>
        </w:tc>
      </w:tr>
      <w:tr>
        <w:tblPrEx>
          <w:tblLayout w:type="fixed"/>
          <w:tblCellMar>
            <w:top w:w="0" w:type="dxa"/>
            <w:left w:w="108" w:type="dxa"/>
            <w:bottom w:w="0" w:type="dxa"/>
            <w:right w:w="108" w:type="dxa"/>
          </w:tblCellMar>
        </w:tblPrEx>
        <w:trPr>
          <w:trHeight w:val="23" w:hRule="atLeast"/>
          <w:jc w:val="center"/>
        </w:trPr>
        <w:tc>
          <w:tcPr>
            <w:tcW w:w="21572" w:type="dxa"/>
            <w:gridSpan w:val="7"/>
            <w:tcBorders>
              <w:top w:val="single" w:color="auto" w:sz="4" w:space="0"/>
              <w:left w:val="single" w:color="auto" w:sz="4" w:space="0"/>
              <w:bottom w:val="single" w:color="auto" w:sz="4" w:space="0"/>
              <w:right w:val="single" w:color="auto" w:sz="4" w:space="0"/>
            </w:tcBorders>
            <w:vAlign w:val="center"/>
          </w:tcPr>
          <w:p>
            <w:pPr>
              <w:spacing w:beforeLines="0" w:afterLines="0" w:line="316" w:lineRule="exact"/>
              <w:rPr>
                <w:rFonts w:hint="default" w:ascii="Times New Roman" w:hAnsi="Times New Roman" w:eastAsia="黑体" w:cs="Times New Roman"/>
                <w:bCs/>
                <w:color w:val="auto"/>
                <w:sz w:val="24"/>
                <w:szCs w:val="24"/>
              </w:rPr>
            </w:pPr>
            <w:r>
              <w:rPr>
                <w:rFonts w:hint="default" w:ascii="Times New Roman" w:hAnsi="Times New Roman" w:eastAsia="黑体" w:cs="Times New Roman"/>
                <w:bCs/>
                <w:color w:val="auto"/>
                <w:sz w:val="24"/>
                <w:szCs w:val="24"/>
              </w:rPr>
              <w:t>政府投资类</w:t>
            </w:r>
          </w:p>
        </w:tc>
      </w:tr>
      <w:tr>
        <w:tblPrEx>
          <w:tblLayout w:type="fixed"/>
          <w:tblCellMar>
            <w:top w:w="0" w:type="dxa"/>
            <w:left w:w="108" w:type="dxa"/>
            <w:bottom w:w="0" w:type="dxa"/>
            <w:right w:w="108" w:type="dxa"/>
          </w:tblCellMar>
        </w:tblPrEx>
        <w:trPr>
          <w:trHeight w:val="23" w:hRule="atLeast"/>
          <w:jc w:val="center"/>
        </w:trPr>
        <w:tc>
          <w:tcPr>
            <w:tcW w:w="921" w:type="dxa"/>
            <w:tcBorders>
              <w:top w:val="nil"/>
              <w:left w:val="single" w:color="auto" w:sz="4" w:space="0"/>
              <w:bottom w:val="single" w:color="auto" w:sz="4" w:space="0"/>
              <w:right w:val="single" w:color="auto" w:sz="4" w:space="0"/>
            </w:tcBorders>
            <w:vAlign w:val="center"/>
          </w:tcPr>
          <w:p>
            <w:pPr>
              <w:spacing w:beforeLines="0" w:afterLines="0" w:line="316" w:lineRule="exact"/>
              <w:jc w:val="center"/>
              <w:rPr>
                <w:rFonts w:hint="default" w:ascii="Times New Roman" w:hAnsi="Times New Roman" w:eastAsia="仿宋_GB2312" w:cs="Times New Roman"/>
                <w:bCs/>
                <w:color w:val="auto"/>
                <w:sz w:val="24"/>
                <w:szCs w:val="24"/>
              </w:rPr>
            </w:pPr>
            <w:r>
              <w:rPr>
                <w:rFonts w:hint="default" w:ascii="Times New Roman" w:hAnsi="Times New Roman" w:eastAsia="仿宋_GB2312" w:cs="Times New Roman"/>
                <w:bCs/>
                <w:color w:val="auto"/>
                <w:sz w:val="24"/>
                <w:szCs w:val="24"/>
              </w:rPr>
              <w:t>17</w:t>
            </w:r>
          </w:p>
        </w:tc>
        <w:tc>
          <w:tcPr>
            <w:tcW w:w="2151" w:type="dxa"/>
            <w:tcBorders>
              <w:top w:val="nil"/>
              <w:left w:val="nil"/>
              <w:bottom w:val="single" w:color="auto" w:sz="4" w:space="0"/>
              <w:right w:val="single" w:color="auto" w:sz="4" w:space="0"/>
            </w:tcBorders>
            <w:vAlign w:val="center"/>
          </w:tcPr>
          <w:p>
            <w:pPr>
              <w:spacing w:beforeLines="0" w:afterLines="0" w:line="316" w:lineRule="exact"/>
              <w:jc w:val="center"/>
              <w:rPr>
                <w:rFonts w:hint="default" w:ascii="Times New Roman" w:hAnsi="Times New Roman" w:eastAsia="仿宋_GB2312" w:cs="Times New Roman"/>
                <w:bCs/>
                <w:color w:val="auto"/>
                <w:sz w:val="24"/>
                <w:szCs w:val="24"/>
              </w:rPr>
            </w:pPr>
            <w:r>
              <w:rPr>
                <w:rFonts w:hint="default" w:ascii="Times New Roman" w:hAnsi="Times New Roman" w:eastAsia="仿宋_GB2312" w:cs="Times New Roman"/>
                <w:bCs/>
                <w:color w:val="auto"/>
                <w:sz w:val="24"/>
                <w:szCs w:val="24"/>
              </w:rPr>
              <w:t>制定政府投资建设项目建设方案联审决策实施细则</w:t>
            </w:r>
          </w:p>
        </w:tc>
        <w:tc>
          <w:tcPr>
            <w:tcW w:w="11936" w:type="dxa"/>
            <w:tcBorders>
              <w:top w:val="nil"/>
              <w:left w:val="nil"/>
              <w:bottom w:val="single" w:color="auto" w:sz="4" w:space="0"/>
              <w:right w:val="single" w:color="auto" w:sz="4" w:space="0"/>
            </w:tcBorders>
            <w:vAlign w:val="center"/>
          </w:tcPr>
          <w:p>
            <w:pPr>
              <w:spacing w:beforeLines="0" w:afterLines="0" w:line="316" w:lineRule="exact"/>
              <w:jc w:val="left"/>
              <w:rPr>
                <w:rFonts w:hint="default" w:ascii="Times New Roman" w:hAnsi="Times New Roman" w:eastAsia="仿宋_GB2312" w:cs="Times New Roman"/>
                <w:bCs/>
                <w:color w:val="auto"/>
                <w:sz w:val="24"/>
                <w:szCs w:val="24"/>
              </w:rPr>
            </w:pPr>
            <w:r>
              <w:rPr>
                <w:rFonts w:hint="default" w:ascii="Times New Roman" w:hAnsi="Times New Roman" w:eastAsia="仿宋_GB2312" w:cs="Times New Roman"/>
                <w:bCs/>
                <w:color w:val="auto"/>
                <w:sz w:val="24"/>
                <w:szCs w:val="24"/>
              </w:rPr>
              <w:t>1.由建设管理单位组织，行业主管部门主持，会同发改、改革、国土规划、财政、建设、交通、环保等部门，并邀请相关行业专家对项目建设内容、建设标准、建设规模、建设投资及合规性情况等内容进行联合评审，尽快稳定方案，重大项目可报区政府审定。其中房屋建筑类项目由区国规局牵头联合评审方案。2.依据经审定的设计方案及投资，发改、国土规划等相关行政管理部门不再组织类似的技术评审工作，在发改部门批复项目建议书、可行性研究报告的同时，国土规划部门批复建设项目选址意见书、用地预审意见和规划用地许可证。如道路及市政设施线位、方案涉及控制性详细规划修正的，由国土规划部门指导建设单位加快办理。对于已核发规划条件的建设项目，建设单位在编制方案过程中，根据实际功能布局进行深化优化，确需对规划条件中的建筑密度、建筑高度进行调整的，在不增加计算容积率建筑面积，符合城市设计、交通场地设计、建筑间距退让、绿地率等技术条件的前提下，经市国土规划部门论证审议后可同意调整，直接办理设计方案审查并同步推进控制性详细规划。</w:t>
            </w:r>
          </w:p>
        </w:tc>
        <w:tc>
          <w:tcPr>
            <w:tcW w:w="1605" w:type="dxa"/>
            <w:tcBorders>
              <w:top w:val="nil"/>
              <w:left w:val="nil"/>
              <w:bottom w:val="single" w:color="auto" w:sz="4" w:space="0"/>
              <w:right w:val="single" w:color="auto" w:sz="4" w:space="0"/>
            </w:tcBorders>
            <w:vAlign w:val="center"/>
          </w:tcPr>
          <w:p>
            <w:pPr>
              <w:spacing w:beforeLines="0" w:afterLines="0" w:line="300" w:lineRule="exact"/>
              <w:jc w:val="center"/>
              <w:rPr>
                <w:rFonts w:hint="default" w:ascii="Times New Roman" w:hAnsi="Times New Roman" w:eastAsia="仿宋_GB2312" w:cs="Times New Roman"/>
                <w:bCs/>
                <w:color w:val="auto"/>
                <w:sz w:val="24"/>
                <w:szCs w:val="24"/>
              </w:rPr>
            </w:pPr>
            <w:r>
              <w:rPr>
                <w:rFonts w:hint="default" w:ascii="Times New Roman" w:hAnsi="Times New Roman" w:eastAsia="仿宋_GB2312" w:cs="Times New Roman"/>
                <w:bCs/>
                <w:color w:val="auto"/>
                <w:sz w:val="24"/>
                <w:szCs w:val="24"/>
              </w:rPr>
              <w:t>区住建局、区水务局、区交通局、</w:t>
            </w:r>
          </w:p>
          <w:p>
            <w:pPr>
              <w:spacing w:beforeLines="0" w:afterLines="0" w:line="300" w:lineRule="exact"/>
              <w:jc w:val="center"/>
              <w:rPr>
                <w:rFonts w:hint="default" w:ascii="Times New Roman" w:hAnsi="Times New Roman" w:eastAsia="仿宋_GB2312" w:cs="Times New Roman"/>
                <w:bCs/>
                <w:color w:val="auto"/>
                <w:sz w:val="24"/>
                <w:szCs w:val="24"/>
              </w:rPr>
            </w:pPr>
            <w:r>
              <w:rPr>
                <w:rFonts w:hint="default" w:ascii="Times New Roman" w:hAnsi="Times New Roman" w:eastAsia="仿宋_GB2312" w:cs="Times New Roman"/>
                <w:bCs/>
                <w:color w:val="auto"/>
                <w:sz w:val="24"/>
                <w:szCs w:val="24"/>
              </w:rPr>
              <w:t>区林业和园林局</w:t>
            </w:r>
          </w:p>
        </w:tc>
        <w:tc>
          <w:tcPr>
            <w:tcW w:w="2571" w:type="dxa"/>
            <w:tcBorders>
              <w:top w:val="nil"/>
              <w:left w:val="nil"/>
              <w:bottom w:val="single" w:color="auto" w:sz="4" w:space="0"/>
              <w:right w:val="single" w:color="auto" w:sz="4" w:space="0"/>
            </w:tcBorders>
            <w:vAlign w:val="center"/>
          </w:tcPr>
          <w:p>
            <w:pPr>
              <w:spacing w:beforeLines="0" w:afterLines="0" w:line="300" w:lineRule="exact"/>
              <w:rPr>
                <w:rFonts w:hint="default" w:ascii="Times New Roman" w:hAnsi="Times New Roman" w:eastAsia="仿宋_GB2312" w:cs="Times New Roman"/>
                <w:bCs/>
                <w:color w:val="auto"/>
                <w:sz w:val="24"/>
                <w:szCs w:val="24"/>
              </w:rPr>
            </w:pPr>
            <w:r>
              <w:rPr>
                <w:rFonts w:hint="default" w:ascii="Times New Roman" w:hAnsi="Times New Roman" w:eastAsia="仿宋_GB2312" w:cs="Times New Roman"/>
                <w:bCs/>
                <w:color w:val="auto"/>
                <w:sz w:val="24"/>
                <w:szCs w:val="24"/>
              </w:rPr>
              <w:t>区发改局、区国规局、区环保局、区财政局</w:t>
            </w:r>
          </w:p>
        </w:tc>
        <w:tc>
          <w:tcPr>
            <w:tcW w:w="1441" w:type="dxa"/>
            <w:tcBorders>
              <w:top w:val="nil"/>
              <w:left w:val="nil"/>
              <w:bottom w:val="single" w:color="auto" w:sz="4" w:space="0"/>
              <w:right w:val="single" w:color="auto" w:sz="4" w:space="0"/>
            </w:tcBorders>
            <w:vAlign w:val="center"/>
          </w:tcPr>
          <w:p>
            <w:pPr>
              <w:spacing w:beforeLines="0" w:afterLines="0" w:line="300" w:lineRule="exact"/>
              <w:rPr>
                <w:rFonts w:hint="default" w:ascii="Times New Roman" w:hAnsi="Times New Roman" w:eastAsia="仿宋_GB2312" w:cs="Times New Roman"/>
                <w:bCs/>
                <w:color w:val="auto"/>
                <w:sz w:val="24"/>
                <w:szCs w:val="24"/>
              </w:rPr>
            </w:pPr>
            <w:r>
              <w:rPr>
                <w:rFonts w:hint="default" w:ascii="Times New Roman" w:hAnsi="Times New Roman" w:eastAsia="仿宋_GB2312" w:cs="Times New Roman"/>
                <w:bCs/>
                <w:color w:val="auto"/>
                <w:sz w:val="24"/>
                <w:szCs w:val="24"/>
              </w:rPr>
              <w:t>2018-11-15</w:t>
            </w:r>
          </w:p>
        </w:tc>
        <w:tc>
          <w:tcPr>
            <w:tcW w:w="947" w:type="dxa"/>
            <w:tcBorders>
              <w:top w:val="nil"/>
              <w:left w:val="nil"/>
              <w:bottom w:val="single" w:color="auto" w:sz="4" w:space="0"/>
              <w:right w:val="single" w:color="auto" w:sz="4" w:space="0"/>
            </w:tcBorders>
            <w:vAlign w:val="center"/>
          </w:tcPr>
          <w:p>
            <w:pPr>
              <w:spacing w:beforeLines="0" w:afterLines="0" w:line="300" w:lineRule="exact"/>
              <w:jc w:val="center"/>
              <w:rPr>
                <w:rFonts w:hint="default" w:ascii="Times New Roman" w:hAnsi="Times New Roman" w:eastAsia="仿宋_GB2312" w:cs="Times New Roman"/>
                <w:bCs/>
                <w:color w:val="auto"/>
                <w:sz w:val="24"/>
                <w:szCs w:val="24"/>
              </w:rPr>
            </w:pPr>
          </w:p>
        </w:tc>
      </w:tr>
      <w:tr>
        <w:tblPrEx>
          <w:tblLayout w:type="fixed"/>
          <w:tblCellMar>
            <w:top w:w="0" w:type="dxa"/>
            <w:left w:w="108" w:type="dxa"/>
            <w:bottom w:w="0" w:type="dxa"/>
            <w:right w:w="108" w:type="dxa"/>
          </w:tblCellMar>
        </w:tblPrEx>
        <w:trPr>
          <w:trHeight w:val="23" w:hRule="atLeast"/>
          <w:jc w:val="center"/>
        </w:trPr>
        <w:tc>
          <w:tcPr>
            <w:tcW w:w="921" w:type="dxa"/>
            <w:tcBorders>
              <w:top w:val="single" w:color="auto" w:sz="4" w:space="0"/>
              <w:left w:val="single" w:color="auto" w:sz="4" w:space="0"/>
              <w:bottom w:val="single" w:color="auto" w:sz="4" w:space="0"/>
              <w:right w:val="single" w:color="auto" w:sz="4" w:space="0"/>
            </w:tcBorders>
            <w:vAlign w:val="center"/>
          </w:tcPr>
          <w:p>
            <w:pPr>
              <w:spacing w:beforeLines="0" w:afterLines="0" w:line="316" w:lineRule="exact"/>
              <w:jc w:val="center"/>
              <w:rPr>
                <w:rFonts w:hint="default" w:ascii="Times New Roman" w:hAnsi="Times New Roman" w:eastAsia="仿宋_GB2312" w:cs="Times New Roman"/>
                <w:bCs/>
                <w:color w:val="auto"/>
                <w:sz w:val="24"/>
                <w:szCs w:val="24"/>
              </w:rPr>
            </w:pPr>
            <w:r>
              <w:rPr>
                <w:rFonts w:hint="default" w:ascii="Times New Roman" w:hAnsi="Times New Roman" w:eastAsia="仿宋_GB2312" w:cs="Times New Roman"/>
                <w:bCs/>
                <w:color w:val="auto"/>
                <w:sz w:val="24"/>
                <w:szCs w:val="24"/>
              </w:rPr>
              <w:t>18</w:t>
            </w:r>
          </w:p>
        </w:tc>
        <w:tc>
          <w:tcPr>
            <w:tcW w:w="2151" w:type="dxa"/>
            <w:tcBorders>
              <w:top w:val="single" w:color="auto" w:sz="4" w:space="0"/>
              <w:left w:val="nil"/>
              <w:bottom w:val="single" w:color="auto" w:sz="4" w:space="0"/>
              <w:right w:val="single" w:color="auto" w:sz="4" w:space="0"/>
            </w:tcBorders>
            <w:vAlign w:val="center"/>
          </w:tcPr>
          <w:p>
            <w:pPr>
              <w:spacing w:beforeLines="0" w:afterLines="0" w:line="316" w:lineRule="exact"/>
              <w:jc w:val="center"/>
              <w:rPr>
                <w:rFonts w:hint="default" w:ascii="Times New Roman" w:hAnsi="Times New Roman" w:eastAsia="仿宋_GB2312" w:cs="Times New Roman"/>
                <w:bCs/>
                <w:color w:val="auto"/>
                <w:sz w:val="24"/>
                <w:szCs w:val="24"/>
              </w:rPr>
            </w:pPr>
            <w:r>
              <w:rPr>
                <w:rFonts w:hint="default" w:ascii="Times New Roman" w:hAnsi="Times New Roman" w:eastAsia="仿宋_GB2312" w:cs="Times New Roman"/>
                <w:bCs/>
                <w:color w:val="auto"/>
                <w:sz w:val="24"/>
                <w:szCs w:val="24"/>
              </w:rPr>
              <w:t>调整初步设计审查和概算评审及批复实施办法</w:t>
            </w:r>
          </w:p>
        </w:tc>
        <w:tc>
          <w:tcPr>
            <w:tcW w:w="11936" w:type="dxa"/>
            <w:tcBorders>
              <w:top w:val="single" w:color="auto" w:sz="4" w:space="0"/>
              <w:left w:val="nil"/>
              <w:bottom w:val="single" w:color="auto" w:sz="4" w:space="0"/>
              <w:right w:val="single" w:color="auto" w:sz="4" w:space="0"/>
            </w:tcBorders>
            <w:vAlign w:val="center"/>
          </w:tcPr>
          <w:p>
            <w:pPr>
              <w:spacing w:beforeLines="0" w:afterLines="0" w:line="316" w:lineRule="exact"/>
              <w:jc w:val="left"/>
              <w:rPr>
                <w:rFonts w:hint="default" w:ascii="Times New Roman" w:hAnsi="Times New Roman" w:eastAsia="仿宋_GB2312" w:cs="Times New Roman"/>
                <w:bCs/>
                <w:color w:val="auto"/>
                <w:sz w:val="24"/>
                <w:szCs w:val="24"/>
              </w:rPr>
            </w:pPr>
            <w:r>
              <w:rPr>
                <w:rFonts w:hint="default" w:ascii="Times New Roman" w:hAnsi="Times New Roman" w:eastAsia="仿宋_GB2312" w:cs="Times New Roman"/>
                <w:bCs/>
                <w:color w:val="auto"/>
                <w:sz w:val="24"/>
                <w:szCs w:val="24"/>
              </w:rPr>
              <w:t xml:space="preserve"> 1.由建设单位组织审查，行业主管部门批复初步设计（概算）。交通、水利、供水、排水，林业及公共绿地和以景观效果为主的河涌附属绿地绿化工程的政府投资工程建设项目初步设计（概算）分别由交通、水务、林业园林等行业主管部门审批；其他政府投资工程建设项目的初步设计（概算）由区住建局审批。</w:t>
            </w:r>
          </w:p>
          <w:p>
            <w:pPr>
              <w:spacing w:beforeLines="0" w:afterLines="0" w:line="316" w:lineRule="exact"/>
              <w:jc w:val="left"/>
              <w:rPr>
                <w:rFonts w:hint="default" w:ascii="Times New Roman" w:hAnsi="Times New Roman" w:eastAsia="仿宋_GB2312" w:cs="Times New Roman"/>
                <w:bCs/>
                <w:color w:val="auto"/>
                <w:sz w:val="24"/>
                <w:szCs w:val="24"/>
              </w:rPr>
            </w:pPr>
            <w:r>
              <w:rPr>
                <w:rFonts w:hint="default" w:ascii="Times New Roman" w:hAnsi="Times New Roman" w:eastAsia="仿宋_GB2312" w:cs="Times New Roman"/>
                <w:bCs/>
                <w:color w:val="auto"/>
                <w:sz w:val="24"/>
                <w:szCs w:val="24"/>
              </w:rPr>
              <w:t>2.由行业主管部门统一负责建立初步设计评审专家库和概算审核咨询单位库，建设单位从评审专家库摇珠选取专家或委托技术评审机构评审初步设计，从咨询单位库中摇珠选取概算审核咨询单位审核概算，将初步设计评审和概算审核结果报送行业主管部门，再由行业主管部门批复初步设计（概算）。其中，中小型房屋建设工程和小型市政基础设施工程，由建设单位组织审查并出具技术审查意见，无须报行业主管部门批复，造价部分由建设单位从行业主管部门建立的咨询单位库中摇珠选取概算审核咨询单位审核，审核结果报行业主管部门备案。强化建设单位技术审查的主体责任，行业主管部门强化事中事后监管。</w:t>
            </w:r>
          </w:p>
        </w:tc>
        <w:tc>
          <w:tcPr>
            <w:tcW w:w="1605" w:type="dxa"/>
            <w:tcBorders>
              <w:top w:val="single" w:color="auto" w:sz="4" w:space="0"/>
              <w:left w:val="nil"/>
              <w:bottom w:val="single" w:color="auto" w:sz="4" w:space="0"/>
              <w:right w:val="single" w:color="auto" w:sz="4" w:space="0"/>
            </w:tcBorders>
            <w:vAlign w:val="center"/>
          </w:tcPr>
          <w:p>
            <w:pPr>
              <w:spacing w:beforeLines="0" w:afterLines="0" w:line="300" w:lineRule="exact"/>
              <w:jc w:val="center"/>
              <w:rPr>
                <w:rFonts w:hint="default" w:ascii="Times New Roman" w:hAnsi="Times New Roman" w:eastAsia="仿宋_GB2312" w:cs="Times New Roman"/>
                <w:bCs/>
                <w:color w:val="auto"/>
                <w:sz w:val="24"/>
                <w:szCs w:val="24"/>
              </w:rPr>
            </w:pPr>
            <w:r>
              <w:rPr>
                <w:rFonts w:hint="default" w:ascii="Times New Roman" w:hAnsi="Times New Roman" w:eastAsia="仿宋_GB2312" w:cs="Times New Roman"/>
                <w:bCs/>
                <w:color w:val="auto"/>
                <w:sz w:val="24"/>
                <w:szCs w:val="24"/>
              </w:rPr>
              <w:t>区住建局、区水务局、区交通局、</w:t>
            </w:r>
          </w:p>
          <w:p>
            <w:pPr>
              <w:spacing w:beforeLines="0" w:afterLines="0" w:line="300" w:lineRule="exact"/>
              <w:jc w:val="center"/>
              <w:rPr>
                <w:rFonts w:hint="default" w:ascii="Times New Roman" w:hAnsi="Times New Roman" w:eastAsia="仿宋_GB2312" w:cs="Times New Roman"/>
                <w:bCs/>
                <w:color w:val="auto"/>
                <w:sz w:val="24"/>
                <w:szCs w:val="24"/>
              </w:rPr>
            </w:pPr>
            <w:r>
              <w:rPr>
                <w:rFonts w:hint="default" w:ascii="Times New Roman" w:hAnsi="Times New Roman" w:eastAsia="仿宋_GB2312" w:cs="Times New Roman"/>
                <w:bCs/>
                <w:color w:val="auto"/>
                <w:sz w:val="24"/>
                <w:szCs w:val="24"/>
              </w:rPr>
              <w:t>区林业和园林局</w:t>
            </w:r>
          </w:p>
        </w:tc>
        <w:tc>
          <w:tcPr>
            <w:tcW w:w="2571" w:type="dxa"/>
            <w:tcBorders>
              <w:top w:val="single" w:color="auto" w:sz="4" w:space="0"/>
              <w:left w:val="nil"/>
              <w:bottom w:val="single" w:color="auto" w:sz="4" w:space="0"/>
              <w:right w:val="single" w:color="auto" w:sz="4" w:space="0"/>
            </w:tcBorders>
            <w:vAlign w:val="center"/>
          </w:tcPr>
          <w:p>
            <w:pPr>
              <w:spacing w:beforeLines="0" w:afterLines="0" w:line="300" w:lineRule="exact"/>
              <w:rPr>
                <w:rFonts w:hint="default" w:ascii="Times New Roman" w:hAnsi="Times New Roman" w:eastAsia="仿宋_GB2312" w:cs="Times New Roman"/>
                <w:bCs/>
                <w:color w:val="auto"/>
                <w:sz w:val="24"/>
                <w:szCs w:val="24"/>
              </w:rPr>
            </w:pPr>
            <w:r>
              <w:rPr>
                <w:rFonts w:hint="default" w:ascii="Times New Roman" w:hAnsi="Times New Roman" w:eastAsia="仿宋_GB2312" w:cs="Times New Roman"/>
                <w:bCs/>
                <w:color w:val="auto"/>
                <w:sz w:val="24"/>
                <w:szCs w:val="24"/>
              </w:rPr>
              <w:t>区发改局、区财政局</w:t>
            </w:r>
          </w:p>
        </w:tc>
        <w:tc>
          <w:tcPr>
            <w:tcW w:w="1441" w:type="dxa"/>
            <w:tcBorders>
              <w:top w:val="single" w:color="auto" w:sz="4" w:space="0"/>
              <w:left w:val="nil"/>
              <w:bottom w:val="single" w:color="auto" w:sz="4" w:space="0"/>
              <w:right w:val="single" w:color="auto" w:sz="4" w:space="0"/>
            </w:tcBorders>
            <w:vAlign w:val="center"/>
          </w:tcPr>
          <w:p>
            <w:pPr>
              <w:spacing w:beforeLines="0" w:afterLines="0" w:line="300" w:lineRule="exact"/>
              <w:rPr>
                <w:rFonts w:hint="default" w:ascii="Times New Roman" w:hAnsi="Times New Roman" w:eastAsia="仿宋_GB2312" w:cs="Times New Roman"/>
                <w:bCs/>
                <w:color w:val="auto"/>
                <w:sz w:val="24"/>
                <w:szCs w:val="24"/>
              </w:rPr>
            </w:pPr>
            <w:r>
              <w:rPr>
                <w:rFonts w:hint="default" w:ascii="Times New Roman" w:hAnsi="Times New Roman" w:eastAsia="仿宋_GB2312" w:cs="Times New Roman"/>
                <w:bCs/>
                <w:color w:val="auto"/>
                <w:sz w:val="24"/>
                <w:szCs w:val="24"/>
              </w:rPr>
              <w:t>2018-11-15</w:t>
            </w:r>
          </w:p>
        </w:tc>
        <w:tc>
          <w:tcPr>
            <w:tcW w:w="947" w:type="dxa"/>
            <w:tcBorders>
              <w:top w:val="single" w:color="auto" w:sz="4" w:space="0"/>
              <w:left w:val="nil"/>
              <w:bottom w:val="single" w:color="auto" w:sz="4" w:space="0"/>
              <w:right w:val="single" w:color="auto" w:sz="4" w:space="0"/>
            </w:tcBorders>
            <w:vAlign w:val="center"/>
          </w:tcPr>
          <w:p>
            <w:pPr>
              <w:spacing w:beforeLines="0" w:afterLines="0" w:line="300" w:lineRule="exact"/>
              <w:jc w:val="center"/>
              <w:rPr>
                <w:rFonts w:hint="default" w:ascii="Times New Roman" w:hAnsi="Times New Roman" w:eastAsia="仿宋_GB2312" w:cs="Times New Roman"/>
                <w:bCs/>
                <w:color w:val="auto"/>
                <w:sz w:val="24"/>
                <w:szCs w:val="24"/>
              </w:rPr>
            </w:pPr>
          </w:p>
        </w:tc>
      </w:tr>
      <w:tr>
        <w:tblPrEx>
          <w:tblLayout w:type="fixed"/>
          <w:tblCellMar>
            <w:top w:w="0" w:type="dxa"/>
            <w:left w:w="108" w:type="dxa"/>
            <w:bottom w:w="0" w:type="dxa"/>
            <w:right w:w="108" w:type="dxa"/>
          </w:tblCellMar>
        </w:tblPrEx>
        <w:trPr>
          <w:trHeight w:val="23" w:hRule="atLeast"/>
          <w:jc w:val="center"/>
        </w:trPr>
        <w:tc>
          <w:tcPr>
            <w:tcW w:w="921" w:type="dxa"/>
            <w:tcBorders>
              <w:top w:val="single" w:color="auto" w:sz="4" w:space="0"/>
              <w:left w:val="single" w:color="auto" w:sz="4" w:space="0"/>
              <w:bottom w:val="single" w:color="auto" w:sz="4" w:space="0"/>
              <w:right w:val="single" w:color="auto" w:sz="4" w:space="0"/>
            </w:tcBorders>
            <w:vAlign w:val="center"/>
          </w:tcPr>
          <w:p>
            <w:pPr>
              <w:spacing w:beforeLines="0" w:afterLines="0" w:line="316" w:lineRule="exact"/>
              <w:jc w:val="center"/>
              <w:rPr>
                <w:rFonts w:hint="default" w:ascii="Times New Roman" w:hAnsi="Times New Roman" w:eastAsia="仿宋_GB2312" w:cs="Times New Roman"/>
                <w:bCs/>
                <w:color w:val="auto"/>
                <w:sz w:val="24"/>
                <w:szCs w:val="24"/>
              </w:rPr>
            </w:pPr>
            <w:r>
              <w:rPr>
                <w:rFonts w:hint="default" w:ascii="Times New Roman" w:hAnsi="Times New Roman" w:eastAsia="仿宋_GB2312" w:cs="Times New Roman"/>
                <w:bCs/>
                <w:color w:val="auto"/>
                <w:sz w:val="24"/>
                <w:szCs w:val="24"/>
              </w:rPr>
              <w:t>19</w:t>
            </w:r>
          </w:p>
        </w:tc>
        <w:tc>
          <w:tcPr>
            <w:tcW w:w="2151" w:type="dxa"/>
            <w:tcBorders>
              <w:top w:val="single" w:color="auto" w:sz="4" w:space="0"/>
              <w:left w:val="nil"/>
              <w:bottom w:val="single" w:color="auto" w:sz="4" w:space="0"/>
              <w:right w:val="single" w:color="auto" w:sz="4" w:space="0"/>
            </w:tcBorders>
            <w:vAlign w:val="center"/>
          </w:tcPr>
          <w:p>
            <w:pPr>
              <w:spacing w:beforeLines="0" w:afterLines="0" w:line="316" w:lineRule="exact"/>
              <w:jc w:val="center"/>
              <w:rPr>
                <w:rFonts w:hint="default" w:ascii="Times New Roman" w:hAnsi="Times New Roman" w:eastAsia="仿宋_GB2312" w:cs="Times New Roman"/>
                <w:bCs/>
                <w:color w:val="auto"/>
                <w:sz w:val="24"/>
                <w:szCs w:val="24"/>
              </w:rPr>
            </w:pPr>
            <w:r>
              <w:rPr>
                <w:rFonts w:hint="default" w:ascii="Times New Roman" w:hAnsi="Times New Roman" w:eastAsia="仿宋_GB2312" w:cs="Times New Roman"/>
                <w:bCs/>
                <w:color w:val="auto"/>
                <w:spacing w:val="-8"/>
                <w:sz w:val="24"/>
                <w:szCs w:val="24"/>
              </w:rPr>
              <w:t>配合修订《广州市政府投资管理条例》</w:t>
            </w:r>
          </w:p>
        </w:tc>
        <w:tc>
          <w:tcPr>
            <w:tcW w:w="11936" w:type="dxa"/>
            <w:tcBorders>
              <w:top w:val="single" w:color="auto" w:sz="4" w:space="0"/>
              <w:left w:val="nil"/>
              <w:bottom w:val="single" w:color="auto" w:sz="4" w:space="0"/>
              <w:right w:val="single" w:color="auto" w:sz="4" w:space="0"/>
            </w:tcBorders>
            <w:vAlign w:val="center"/>
          </w:tcPr>
          <w:p>
            <w:pPr>
              <w:spacing w:beforeLines="0" w:afterLines="0" w:line="316" w:lineRule="exact"/>
              <w:jc w:val="left"/>
              <w:rPr>
                <w:rFonts w:hint="default" w:ascii="Times New Roman" w:hAnsi="Times New Roman" w:eastAsia="仿宋_GB2312" w:cs="Times New Roman"/>
                <w:bCs/>
                <w:color w:val="auto"/>
                <w:sz w:val="24"/>
                <w:szCs w:val="24"/>
              </w:rPr>
            </w:pPr>
            <w:r>
              <w:rPr>
                <w:rFonts w:hint="default" w:ascii="Times New Roman" w:hAnsi="Times New Roman" w:eastAsia="仿宋_GB2312" w:cs="Times New Roman"/>
                <w:bCs/>
                <w:color w:val="auto"/>
                <w:sz w:val="24"/>
                <w:szCs w:val="24"/>
              </w:rPr>
              <w:t>1.加强建设项目申报和计划编制的管理，项目申报单位应充分论证项目建设的必要性，分析项目建设的可行性和合理性。纳入政府投资计划前，应先行通过</w:t>
            </w:r>
            <w:r>
              <w:rPr>
                <w:rFonts w:hint="eastAsia" w:ascii="Times New Roman" w:hAnsi="Times New Roman" w:cs="Times New Roman"/>
                <w:bCs/>
                <w:color w:val="auto"/>
                <w:sz w:val="24"/>
                <w:szCs w:val="24"/>
                <w:lang w:eastAsia="zh-CN"/>
              </w:rPr>
              <w:t>“</w:t>
            </w:r>
            <w:r>
              <w:rPr>
                <w:rFonts w:hint="default" w:ascii="Times New Roman" w:hAnsi="Times New Roman" w:eastAsia="仿宋_GB2312" w:cs="Times New Roman"/>
                <w:bCs/>
                <w:color w:val="auto"/>
                <w:sz w:val="24"/>
                <w:szCs w:val="24"/>
              </w:rPr>
              <w:t>多规合一</w:t>
            </w:r>
            <w:r>
              <w:rPr>
                <w:rFonts w:hint="eastAsia" w:ascii="Times New Roman" w:hAnsi="Times New Roman" w:cs="Times New Roman"/>
                <w:bCs/>
                <w:color w:val="auto"/>
                <w:sz w:val="24"/>
                <w:szCs w:val="24"/>
                <w:lang w:eastAsia="zh-CN"/>
              </w:rPr>
              <w:t>”</w:t>
            </w:r>
            <w:r>
              <w:rPr>
                <w:rFonts w:hint="default" w:ascii="Times New Roman" w:hAnsi="Times New Roman" w:eastAsia="仿宋_GB2312" w:cs="Times New Roman"/>
                <w:bCs/>
                <w:color w:val="auto"/>
                <w:sz w:val="24"/>
                <w:szCs w:val="24"/>
              </w:rPr>
              <w:t>平台对意向选址开展规划符合性论证。对纳入政府投资计划或经市（区）政府审定的专项规划、行动计划、市（区）政府常务会议纪要等文件中明确的项目，及经市（区）政府同意的近期实施计划中的项目，项目建议书和可行性研究报告可合并编报。建设单位可依据上述规划、计划、纪要等文件先行开展设计招标工作，做到工程方案阶段深度，其中对于市（区）委、市（区）政府决定三年内实施的重点项目，可做到初步设计深度。征地拆迁摸查工作同步开展。</w:t>
            </w:r>
          </w:p>
          <w:p>
            <w:pPr>
              <w:spacing w:beforeLines="0" w:afterLines="0" w:line="316" w:lineRule="exact"/>
              <w:jc w:val="left"/>
              <w:rPr>
                <w:rFonts w:hint="default" w:ascii="Times New Roman" w:hAnsi="Times New Roman" w:eastAsia="仿宋_GB2312" w:cs="Times New Roman"/>
                <w:bCs/>
                <w:color w:val="auto"/>
                <w:sz w:val="24"/>
                <w:szCs w:val="24"/>
              </w:rPr>
            </w:pPr>
            <w:r>
              <w:rPr>
                <w:rFonts w:hint="default" w:ascii="Times New Roman" w:hAnsi="Times New Roman" w:eastAsia="仿宋_GB2312" w:cs="Times New Roman"/>
                <w:bCs/>
                <w:color w:val="auto"/>
                <w:sz w:val="24"/>
                <w:szCs w:val="24"/>
              </w:rPr>
              <w:t>2.对于工期紧、征地拆迁复杂的城建项目，经（区）政府同意后，建设单位可按照工程方案及现场征地拆迁摸查进度分别编制并报送工程建设及征地拆迁的可行性研究报告（含估算），在完成施工招标公告前应取得征地拆迁可研批复。避免由于工程方案和征地征拆摸查进度不同而互相制约，影响项目推进。</w:t>
            </w:r>
          </w:p>
          <w:p>
            <w:pPr>
              <w:spacing w:beforeLines="0" w:afterLines="0" w:line="316" w:lineRule="exact"/>
              <w:jc w:val="left"/>
              <w:rPr>
                <w:rFonts w:hint="default" w:ascii="Times New Roman" w:hAnsi="Times New Roman" w:eastAsia="仿宋_GB2312" w:cs="Times New Roman"/>
                <w:bCs/>
                <w:color w:val="auto"/>
                <w:sz w:val="24"/>
                <w:szCs w:val="24"/>
              </w:rPr>
            </w:pPr>
            <w:r>
              <w:rPr>
                <w:rFonts w:hint="default" w:ascii="Times New Roman" w:hAnsi="Times New Roman" w:eastAsia="仿宋_GB2312" w:cs="Times New Roman"/>
                <w:bCs/>
                <w:color w:val="auto"/>
                <w:sz w:val="24"/>
                <w:szCs w:val="24"/>
              </w:rPr>
              <w:t>3.建筑信息化、专项设备(如舞台设备等)、布展为房屋建筑工程的必要组成部分，应与基本建设内容合并立项、统一审批、统一实施。</w:t>
            </w:r>
          </w:p>
          <w:p>
            <w:pPr>
              <w:spacing w:beforeLines="0" w:afterLines="0" w:line="316" w:lineRule="exact"/>
              <w:jc w:val="left"/>
              <w:rPr>
                <w:rFonts w:hint="default" w:ascii="Times New Roman" w:hAnsi="Times New Roman" w:eastAsia="仿宋_GB2312" w:cs="Times New Roman"/>
                <w:bCs/>
                <w:color w:val="auto"/>
                <w:sz w:val="24"/>
                <w:szCs w:val="24"/>
              </w:rPr>
            </w:pPr>
            <w:r>
              <w:rPr>
                <w:rFonts w:hint="default" w:ascii="Times New Roman" w:hAnsi="Times New Roman" w:eastAsia="仿宋_GB2312" w:cs="Times New Roman"/>
                <w:bCs/>
                <w:color w:val="auto"/>
                <w:sz w:val="24"/>
                <w:szCs w:val="24"/>
              </w:rPr>
              <w:t>4.建筑信息化、专项设备(如舞台设备等)、布展为房屋建筑工程的必要组成部分，应与基本建设内容合并立项、统一审批、统一实施。</w:t>
            </w:r>
          </w:p>
          <w:p>
            <w:pPr>
              <w:spacing w:beforeLines="0" w:afterLines="0" w:line="316" w:lineRule="exact"/>
              <w:jc w:val="left"/>
              <w:rPr>
                <w:rFonts w:hint="default" w:ascii="Times New Roman" w:hAnsi="Times New Roman" w:eastAsia="仿宋_GB2312" w:cs="Times New Roman"/>
                <w:bCs/>
                <w:color w:val="auto"/>
                <w:sz w:val="24"/>
                <w:szCs w:val="24"/>
              </w:rPr>
            </w:pPr>
            <w:r>
              <w:rPr>
                <w:rFonts w:hint="default" w:ascii="Times New Roman" w:hAnsi="Times New Roman" w:eastAsia="仿宋_GB2312" w:cs="Times New Roman"/>
                <w:bCs/>
                <w:color w:val="auto"/>
                <w:sz w:val="24"/>
                <w:szCs w:val="24"/>
              </w:rPr>
              <w:t>5.由行业主管部门评审并批复初步设计（概算），取消施工图预算评审等。</w:t>
            </w:r>
          </w:p>
        </w:tc>
        <w:tc>
          <w:tcPr>
            <w:tcW w:w="1605" w:type="dxa"/>
            <w:tcBorders>
              <w:top w:val="single" w:color="auto" w:sz="4" w:space="0"/>
              <w:left w:val="nil"/>
              <w:bottom w:val="single" w:color="auto" w:sz="4" w:space="0"/>
              <w:right w:val="single" w:color="auto" w:sz="4" w:space="0"/>
            </w:tcBorders>
            <w:vAlign w:val="center"/>
          </w:tcPr>
          <w:p>
            <w:pPr>
              <w:spacing w:beforeLines="0" w:afterLines="0" w:line="300" w:lineRule="exact"/>
              <w:jc w:val="center"/>
              <w:rPr>
                <w:rFonts w:hint="default" w:ascii="Times New Roman" w:hAnsi="Times New Roman" w:eastAsia="仿宋_GB2312" w:cs="Times New Roman"/>
                <w:bCs/>
                <w:color w:val="auto"/>
                <w:sz w:val="24"/>
                <w:szCs w:val="24"/>
              </w:rPr>
            </w:pPr>
            <w:r>
              <w:rPr>
                <w:rFonts w:hint="default" w:ascii="Times New Roman" w:hAnsi="Times New Roman" w:eastAsia="仿宋_GB2312" w:cs="Times New Roman"/>
                <w:bCs/>
                <w:color w:val="auto"/>
                <w:sz w:val="24"/>
                <w:szCs w:val="24"/>
              </w:rPr>
              <w:t>区发改局</w:t>
            </w:r>
          </w:p>
        </w:tc>
        <w:tc>
          <w:tcPr>
            <w:tcW w:w="2571" w:type="dxa"/>
            <w:tcBorders>
              <w:top w:val="single" w:color="auto" w:sz="4" w:space="0"/>
              <w:left w:val="nil"/>
              <w:bottom w:val="single" w:color="auto" w:sz="4" w:space="0"/>
              <w:right w:val="single" w:color="auto" w:sz="4" w:space="0"/>
            </w:tcBorders>
            <w:vAlign w:val="center"/>
          </w:tcPr>
          <w:p>
            <w:pPr>
              <w:spacing w:beforeLines="0" w:afterLines="0" w:line="300" w:lineRule="exact"/>
              <w:rPr>
                <w:rFonts w:hint="default" w:ascii="Times New Roman" w:hAnsi="Times New Roman" w:eastAsia="仿宋_GB2312" w:cs="Times New Roman"/>
                <w:bCs/>
                <w:color w:val="auto"/>
                <w:sz w:val="24"/>
                <w:szCs w:val="24"/>
              </w:rPr>
            </w:pPr>
            <w:r>
              <w:rPr>
                <w:rFonts w:hint="default" w:ascii="Times New Roman" w:hAnsi="Times New Roman" w:eastAsia="仿宋_GB2312" w:cs="Times New Roman"/>
                <w:bCs/>
                <w:color w:val="auto"/>
                <w:sz w:val="24"/>
                <w:szCs w:val="24"/>
              </w:rPr>
              <w:t>区法制办、区国规局、区住建局</w:t>
            </w:r>
          </w:p>
        </w:tc>
        <w:tc>
          <w:tcPr>
            <w:tcW w:w="1441" w:type="dxa"/>
            <w:tcBorders>
              <w:top w:val="single" w:color="auto" w:sz="4" w:space="0"/>
              <w:left w:val="nil"/>
              <w:bottom w:val="single" w:color="auto" w:sz="4" w:space="0"/>
              <w:right w:val="single" w:color="auto" w:sz="4" w:space="0"/>
            </w:tcBorders>
            <w:vAlign w:val="center"/>
          </w:tcPr>
          <w:p>
            <w:pPr>
              <w:spacing w:beforeLines="0" w:afterLines="0" w:line="300" w:lineRule="exact"/>
              <w:rPr>
                <w:rFonts w:hint="default" w:ascii="Times New Roman" w:hAnsi="Times New Roman" w:eastAsia="仿宋_GB2312" w:cs="Times New Roman"/>
                <w:bCs/>
                <w:color w:val="auto"/>
                <w:sz w:val="24"/>
                <w:szCs w:val="24"/>
              </w:rPr>
            </w:pPr>
            <w:r>
              <w:rPr>
                <w:rFonts w:hint="default" w:ascii="Times New Roman" w:hAnsi="Times New Roman" w:eastAsia="仿宋_GB2312" w:cs="Times New Roman"/>
                <w:bCs/>
                <w:color w:val="auto"/>
                <w:sz w:val="24"/>
                <w:szCs w:val="24"/>
              </w:rPr>
              <w:t>2018-11-15</w:t>
            </w:r>
          </w:p>
        </w:tc>
        <w:tc>
          <w:tcPr>
            <w:tcW w:w="947" w:type="dxa"/>
            <w:tcBorders>
              <w:top w:val="single" w:color="auto" w:sz="4" w:space="0"/>
              <w:left w:val="nil"/>
              <w:bottom w:val="single" w:color="auto" w:sz="4" w:space="0"/>
              <w:right w:val="single" w:color="auto" w:sz="4" w:space="0"/>
            </w:tcBorders>
            <w:vAlign w:val="center"/>
          </w:tcPr>
          <w:p>
            <w:pPr>
              <w:spacing w:beforeLines="0" w:afterLines="0" w:line="300" w:lineRule="exact"/>
              <w:jc w:val="center"/>
              <w:rPr>
                <w:rFonts w:hint="default" w:ascii="Times New Roman" w:hAnsi="Times New Roman" w:eastAsia="仿宋_GB2312" w:cs="Times New Roman"/>
                <w:bCs/>
                <w:color w:val="auto"/>
                <w:sz w:val="24"/>
                <w:szCs w:val="24"/>
              </w:rPr>
            </w:pPr>
          </w:p>
        </w:tc>
      </w:tr>
      <w:tr>
        <w:tblPrEx>
          <w:tblLayout w:type="fixed"/>
          <w:tblCellMar>
            <w:top w:w="0" w:type="dxa"/>
            <w:left w:w="108" w:type="dxa"/>
            <w:bottom w:w="0" w:type="dxa"/>
            <w:right w:w="108" w:type="dxa"/>
          </w:tblCellMar>
        </w:tblPrEx>
        <w:trPr>
          <w:trHeight w:val="23" w:hRule="atLeast"/>
          <w:jc w:val="center"/>
        </w:trPr>
        <w:tc>
          <w:tcPr>
            <w:tcW w:w="921" w:type="dxa"/>
            <w:vMerge w:val="restart"/>
            <w:tcBorders>
              <w:top w:val="single" w:color="auto" w:sz="4" w:space="0"/>
              <w:left w:val="single" w:color="auto" w:sz="4" w:space="0"/>
              <w:bottom w:val="single" w:color="auto" w:sz="4" w:space="0"/>
              <w:right w:val="single" w:color="auto" w:sz="4" w:space="0"/>
            </w:tcBorders>
            <w:vAlign w:val="center"/>
          </w:tcPr>
          <w:p>
            <w:pPr>
              <w:spacing w:beforeLines="0" w:afterLines="0" w:line="360" w:lineRule="exact"/>
              <w:jc w:val="center"/>
              <w:rPr>
                <w:rFonts w:hint="default" w:ascii="Times New Roman" w:hAnsi="Times New Roman" w:eastAsia="仿宋_GB2312" w:cs="Times New Roman"/>
                <w:bCs/>
                <w:color w:val="auto"/>
                <w:sz w:val="24"/>
                <w:szCs w:val="24"/>
              </w:rPr>
            </w:pPr>
            <w:r>
              <w:rPr>
                <w:rFonts w:hint="default" w:ascii="Times New Roman" w:hAnsi="Times New Roman" w:eastAsia="仿宋_GB2312" w:cs="Times New Roman"/>
                <w:bCs/>
                <w:color w:val="auto"/>
                <w:sz w:val="24"/>
                <w:szCs w:val="24"/>
              </w:rPr>
              <w:t>20</w:t>
            </w:r>
          </w:p>
        </w:tc>
        <w:tc>
          <w:tcPr>
            <w:tcW w:w="2151" w:type="dxa"/>
            <w:vMerge w:val="restart"/>
            <w:tcBorders>
              <w:top w:val="single" w:color="auto" w:sz="4" w:space="0"/>
              <w:left w:val="nil"/>
              <w:bottom w:val="single" w:color="auto" w:sz="4" w:space="0"/>
              <w:right w:val="single" w:color="auto" w:sz="4" w:space="0"/>
            </w:tcBorders>
            <w:vAlign w:val="center"/>
          </w:tcPr>
          <w:p>
            <w:pPr>
              <w:spacing w:beforeLines="0" w:afterLines="0" w:line="360" w:lineRule="exact"/>
              <w:jc w:val="center"/>
              <w:rPr>
                <w:rFonts w:hint="default" w:ascii="Times New Roman" w:hAnsi="Times New Roman" w:eastAsia="仿宋_GB2312" w:cs="Times New Roman"/>
                <w:bCs/>
                <w:color w:val="auto"/>
                <w:sz w:val="24"/>
                <w:szCs w:val="24"/>
              </w:rPr>
            </w:pPr>
            <w:r>
              <w:rPr>
                <w:rFonts w:hint="default" w:ascii="Times New Roman" w:hAnsi="Times New Roman" w:eastAsia="仿宋_GB2312" w:cs="Times New Roman"/>
                <w:bCs/>
                <w:color w:val="auto"/>
                <w:sz w:val="24"/>
                <w:szCs w:val="24"/>
              </w:rPr>
              <w:t>制定设计、施工招标指引</w:t>
            </w:r>
          </w:p>
        </w:tc>
        <w:tc>
          <w:tcPr>
            <w:tcW w:w="11936" w:type="dxa"/>
            <w:tcBorders>
              <w:top w:val="single" w:color="auto" w:sz="4" w:space="0"/>
              <w:left w:val="nil"/>
              <w:bottom w:val="single" w:color="auto" w:sz="4" w:space="0"/>
              <w:right w:val="single" w:color="auto" w:sz="4" w:space="0"/>
            </w:tcBorders>
            <w:vAlign w:val="center"/>
          </w:tcPr>
          <w:p>
            <w:pPr>
              <w:spacing w:beforeLines="0" w:afterLines="0" w:line="360" w:lineRule="exact"/>
              <w:jc w:val="left"/>
              <w:rPr>
                <w:rFonts w:hint="default" w:ascii="Times New Roman" w:hAnsi="Times New Roman" w:eastAsia="仿宋_GB2312" w:cs="Times New Roman"/>
                <w:bCs/>
                <w:color w:val="auto"/>
                <w:sz w:val="24"/>
                <w:szCs w:val="24"/>
              </w:rPr>
            </w:pPr>
            <w:r>
              <w:rPr>
                <w:rFonts w:hint="default" w:ascii="Times New Roman" w:hAnsi="Times New Roman" w:eastAsia="仿宋_GB2312" w:cs="Times New Roman"/>
                <w:bCs/>
                <w:color w:val="auto"/>
                <w:sz w:val="24"/>
                <w:szCs w:val="24"/>
              </w:rPr>
              <w:t xml:space="preserve"> 将用地批准书或国有土地使用证调整为用地预审意见书</w:t>
            </w:r>
            <w:r>
              <w:rPr>
                <w:rFonts w:hint="default" w:ascii="Times New Roman" w:hAnsi="Times New Roman" w:eastAsia="仿宋_GB2312" w:cs="Times New Roman"/>
                <w:color w:val="auto"/>
                <w:sz w:val="24"/>
                <w:szCs w:val="24"/>
                <w:lang w:bidi="ar"/>
              </w:rPr>
              <w:t>或建设用地批复文件</w:t>
            </w:r>
            <w:r>
              <w:rPr>
                <w:rFonts w:hint="default" w:ascii="Times New Roman" w:hAnsi="Times New Roman" w:eastAsia="仿宋_GB2312" w:cs="Times New Roman"/>
                <w:bCs/>
                <w:color w:val="auto"/>
                <w:sz w:val="24"/>
                <w:szCs w:val="24"/>
              </w:rPr>
              <w:t>或建设用地规划许可证。线性工程类建设工程规划许可证调整为设计方案审查的复函或方案通过联合评审的相关书面文件。在完成施工图设计的基础上，以行业主管部门批复的概算作为依据编制招标控制价，不再进行施工图预算财政评审。设计施工一体化（EPC）项目及政府和社会资本合作（PPP）项目，以取得的可行性研究报告批复中的投资估算作为招标控制价开展招标。其中，政府和社会资本合作项目在开标前须取得项目实施方案批复。实行招标控制价备案与招标文件备案合并办理。逐步取消招标文件事前备案，由招标人对招标文件的合法性负责。</w:t>
            </w:r>
          </w:p>
        </w:tc>
        <w:tc>
          <w:tcPr>
            <w:tcW w:w="1605" w:type="dxa"/>
            <w:tcBorders>
              <w:top w:val="single" w:color="auto" w:sz="4" w:space="0"/>
              <w:left w:val="single" w:color="auto" w:sz="4" w:space="0"/>
              <w:bottom w:val="single" w:color="auto" w:sz="4" w:space="0"/>
              <w:right w:val="single" w:color="auto" w:sz="4" w:space="0"/>
            </w:tcBorders>
            <w:vAlign w:val="center"/>
          </w:tcPr>
          <w:p>
            <w:pPr>
              <w:spacing w:beforeLines="0" w:afterLines="0" w:line="360" w:lineRule="exact"/>
              <w:jc w:val="center"/>
              <w:rPr>
                <w:rFonts w:hint="default" w:ascii="Times New Roman" w:hAnsi="Times New Roman" w:eastAsia="仿宋_GB2312" w:cs="Times New Roman"/>
                <w:bCs/>
                <w:color w:val="auto"/>
                <w:sz w:val="24"/>
                <w:szCs w:val="24"/>
              </w:rPr>
            </w:pPr>
            <w:r>
              <w:rPr>
                <w:rFonts w:hint="default" w:ascii="Times New Roman" w:hAnsi="Times New Roman" w:eastAsia="仿宋_GB2312" w:cs="Times New Roman"/>
                <w:bCs/>
                <w:color w:val="auto"/>
                <w:sz w:val="24"/>
                <w:szCs w:val="24"/>
              </w:rPr>
              <w:t>区住建局</w:t>
            </w:r>
          </w:p>
        </w:tc>
        <w:tc>
          <w:tcPr>
            <w:tcW w:w="2571" w:type="dxa"/>
            <w:tcBorders>
              <w:top w:val="single" w:color="auto" w:sz="4" w:space="0"/>
              <w:left w:val="nil"/>
              <w:bottom w:val="single" w:color="auto" w:sz="4" w:space="0"/>
              <w:right w:val="single" w:color="auto" w:sz="4" w:space="0"/>
            </w:tcBorders>
            <w:vAlign w:val="center"/>
          </w:tcPr>
          <w:p>
            <w:pPr>
              <w:spacing w:beforeLines="0" w:afterLines="0" w:line="360" w:lineRule="exact"/>
              <w:rPr>
                <w:rFonts w:hint="default" w:ascii="Times New Roman" w:hAnsi="Times New Roman" w:eastAsia="仿宋_GB2312" w:cs="Times New Roman"/>
                <w:bCs/>
                <w:color w:val="auto"/>
                <w:sz w:val="24"/>
                <w:szCs w:val="24"/>
              </w:rPr>
            </w:pPr>
            <w:r>
              <w:rPr>
                <w:rFonts w:hint="default" w:ascii="Times New Roman" w:hAnsi="Times New Roman" w:eastAsia="仿宋_GB2312" w:cs="Times New Roman"/>
                <w:bCs/>
                <w:color w:val="auto"/>
                <w:sz w:val="24"/>
                <w:szCs w:val="24"/>
              </w:rPr>
              <w:t>区发改局、区国规局、区水务局、区交通局、区林业和园林局</w:t>
            </w:r>
          </w:p>
        </w:tc>
        <w:tc>
          <w:tcPr>
            <w:tcW w:w="1441" w:type="dxa"/>
            <w:tcBorders>
              <w:top w:val="single" w:color="auto" w:sz="4" w:space="0"/>
              <w:left w:val="nil"/>
              <w:bottom w:val="single" w:color="auto" w:sz="4" w:space="0"/>
              <w:right w:val="single" w:color="auto" w:sz="4" w:space="0"/>
            </w:tcBorders>
            <w:vAlign w:val="center"/>
          </w:tcPr>
          <w:p>
            <w:pPr>
              <w:spacing w:beforeLines="0" w:afterLines="0" w:line="360" w:lineRule="exact"/>
              <w:rPr>
                <w:rFonts w:hint="default" w:ascii="Times New Roman" w:hAnsi="Times New Roman" w:eastAsia="仿宋_GB2312" w:cs="Times New Roman"/>
                <w:bCs/>
                <w:color w:val="auto"/>
                <w:sz w:val="24"/>
                <w:szCs w:val="24"/>
              </w:rPr>
            </w:pPr>
            <w:r>
              <w:rPr>
                <w:rFonts w:hint="default" w:ascii="Times New Roman" w:hAnsi="Times New Roman" w:eastAsia="仿宋_GB2312" w:cs="Times New Roman"/>
                <w:bCs/>
                <w:color w:val="auto"/>
                <w:sz w:val="24"/>
                <w:szCs w:val="24"/>
              </w:rPr>
              <w:t>2018-11-15</w:t>
            </w:r>
          </w:p>
        </w:tc>
        <w:tc>
          <w:tcPr>
            <w:tcW w:w="947" w:type="dxa"/>
            <w:tcBorders>
              <w:top w:val="single" w:color="auto" w:sz="4" w:space="0"/>
              <w:left w:val="nil"/>
              <w:bottom w:val="single" w:color="auto" w:sz="4" w:space="0"/>
              <w:right w:val="single" w:color="auto" w:sz="4" w:space="0"/>
            </w:tcBorders>
            <w:vAlign w:val="center"/>
          </w:tcPr>
          <w:p>
            <w:pPr>
              <w:spacing w:beforeLines="0" w:afterLines="0" w:line="300" w:lineRule="exact"/>
              <w:jc w:val="center"/>
              <w:rPr>
                <w:rFonts w:hint="default" w:ascii="Times New Roman" w:hAnsi="Times New Roman" w:eastAsia="仿宋_GB2312" w:cs="Times New Roman"/>
                <w:bCs/>
                <w:color w:val="auto"/>
                <w:sz w:val="24"/>
                <w:szCs w:val="24"/>
              </w:rPr>
            </w:pPr>
          </w:p>
        </w:tc>
      </w:tr>
      <w:tr>
        <w:tblPrEx>
          <w:tblLayout w:type="fixed"/>
          <w:tblCellMar>
            <w:top w:w="0" w:type="dxa"/>
            <w:left w:w="108" w:type="dxa"/>
            <w:bottom w:w="0" w:type="dxa"/>
            <w:right w:w="108" w:type="dxa"/>
          </w:tblCellMar>
        </w:tblPrEx>
        <w:trPr>
          <w:trHeight w:val="23" w:hRule="atLeast"/>
          <w:jc w:val="center"/>
        </w:trPr>
        <w:tc>
          <w:tcPr>
            <w:tcW w:w="921" w:type="dxa"/>
            <w:vMerge w:val="continue"/>
            <w:tcBorders>
              <w:top w:val="single" w:color="auto" w:sz="4" w:space="0"/>
              <w:left w:val="single" w:color="auto" w:sz="4" w:space="0"/>
              <w:bottom w:val="single" w:color="auto" w:sz="4" w:space="0"/>
              <w:right w:val="single" w:color="auto" w:sz="4" w:space="0"/>
            </w:tcBorders>
            <w:vAlign w:val="center"/>
          </w:tcPr>
          <w:p>
            <w:pPr>
              <w:spacing w:beforeLines="0" w:afterLines="0" w:line="360" w:lineRule="exact"/>
              <w:jc w:val="center"/>
              <w:rPr>
                <w:rFonts w:hint="default" w:ascii="Times New Roman" w:hAnsi="Times New Roman" w:eastAsia="仿宋_GB2312" w:cs="Times New Roman"/>
                <w:bCs/>
                <w:color w:val="auto"/>
                <w:sz w:val="24"/>
                <w:szCs w:val="24"/>
              </w:rPr>
            </w:pPr>
          </w:p>
        </w:tc>
        <w:tc>
          <w:tcPr>
            <w:tcW w:w="2151" w:type="dxa"/>
            <w:vMerge w:val="continue"/>
            <w:tcBorders>
              <w:top w:val="single" w:color="auto" w:sz="4" w:space="0"/>
              <w:left w:val="nil"/>
              <w:bottom w:val="single" w:color="auto" w:sz="4" w:space="0"/>
              <w:right w:val="single" w:color="auto" w:sz="4" w:space="0"/>
            </w:tcBorders>
            <w:vAlign w:val="center"/>
          </w:tcPr>
          <w:p>
            <w:pPr>
              <w:spacing w:beforeLines="0" w:afterLines="0" w:line="360" w:lineRule="exact"/>
              <w:jc w:val="center"/>
              <w:rPr>
                <w:rFonts w:hint="default" w:ascii="Times New Roman" w:hAnsi="Times New Roman" w:eastAsia="仿宋_GB2312" w:cs="Times New Roman"/>
                <w:bCs/>
                <w:color w:val="auto"/>
                <w:sz w:val="24"/>
                <w:szCs w:val="24"/>
              </w:rPr>
            </w:pPr>
          </w:p>
        </w:tc>
        <w:tc>
          <w:tcPr>
            <w:tcW w:w="11936" w:type="dxa"/>
            <w:tcBorders>
              <w:top w:val="single" w:color="auto" w:sz="4" w:space="0"/>
              <w:left w:val="nil"/>
              <w:bottom w:val="single" w:color="auto" w:sz="4" w:space="0"/>
              <w:right w:val="single" w:color="auto" w:sz="4" w:space="0"/>
            </w:tcBorders>
            <w:vAlign w:val="center"/>
          </w:tcPr>
          <w:p>
            <w:pPr>
              <w:spacing w:beforeLines="0" w:afterLines="0" w:line="360" w:lineRule="exact"/>
              <w:jc w:val="left"/>
              <w:rPr>
                <w:rFonts w:hint="default" w:ascii="Times New Roman" w:hAnsi="Times New Roman" w:eastAsia="仿宋_GB2312" w:cs="Times New Roman"/>
                <w:bCs/>
                <w:color w:val="auto"/>
                <w:sz w:val="24"/>
                <w:szCs w:val="24"/>
              </w:rPr>
            </w:pPr>
            <w:r>
              <w:rPr>
                <w:rFonts w:hint="default" w:ascii="Times New Roman" w:hAnsi="Times New Roman" w:eastAsia="仿宋_GB2312" w:cs="Times New Roman"/>
                <w:bCs/>
                <w:color w:val="auto"/>
                <w:sz w:val="24"/>
                <w:szCs w:val="24"/>
              </w:rPr>
              <w:t>落实招标人负责制，工程设计公开招标可以实行</w:t>
            </w:r>
            <w:r>
              <w:rPr>
                <w:rFonts w:hint="eastAsia" w:ascii="Times New Roman" w:hAnsi="Times New Roman" w:cs="Times New Roman"/>
                <w:bCs/>
                <w:color w:val="auto"/>
                <w:sz w:val="24"/>
                <w:szCs w:val="24"/>
                <w:lang w:eastAsia="zh-CN"/>
              </w:rPr>
              <w:t>“</w:t>
            </w:r>
            <w:r>
              <w:rPr>
                <w:rFonts w:hint="default" w:ascii="Times New Roman" w:hAnsi="Times New Roman" w:eastAsia="仿宋_GB2312" w:cs="Times New Roman"/>
                <w:bCs/>
                <w:color w:val="auto"/>
                <w:sz w:val="24"/>
                <w:szCs w:val="24"/>
              </w:rPr>
              <w:t>评定分离</w:t>
            </w:r>
            <w:r>
              <w:rPr>
                <w:rFonts w:hint="eastAsia" w:ascii="Times New Roman" w:hAnsi="Times New Roman" w:cs="Times New Roman"/>
                <w:bCs/>
                <w:color w:val="auto"/>
                <w:sz w:val="24"/>
                <w:szCs w:val="24"/>
                <w:lang w:eastAsia="zh-CN"/>
              </w:rPr>
              <w:t>”</w:t>
            </w:r>
            <w:r>
              <w:rPr>
                <w:rFonts w:hint="default" w:ascii="Times New Roman" w:hAnsi="Times New Roman" w:eastAsia="仿宋_GB2312" w:cs="Times New Roman"/>
                <w:bCs/>
                <w:color w:val="auto"/>
                <w:sz w:val="24"/>
                <w:szCs w:val="24"/>
              </w:rPr>
              <w:t>制度。对建筑功能或景观有特殊要求的建筑工程及桥梁隧道工程，可采用邀请招标方式或直接委托方式由相应专业院士、全国或省级工程设计大师作为主创设计师的规划设计单位承担。</w:t>
            </w:r>
          </w:p>
        </w:tc>
        <w:tc>
          <w:tcPr>
            <w:tcW w:w="1605" w:type="dxa"/>
            <w:tcBorders>
              <w:top w:val="single" w:color="auto" w:sz="4" w:space="0"/>
              <w:left w:val="nil"/>
              <w:bottom w:val="single" w:color="auto" w:sz="4" w:space="0"/>
              <w:right w:val="single" w:color="auto" w:sz="4" w:space="0"/>
            </w:tcBorders>
            <w:vAlign w:val="center"/>
          </w:tcPr>
          <w:p>
            <w:pPr>
              <w:spacing w:beforeLines="0" w:afterLines="0" w:line="360" w:lineRule="exact"/>
              <w:jc w:val="center"/>
              <w:rPr>
                <w:rFonts w:hint="default" w:ascii="Times New Roman" w:hAnsi="Times New Roman" w:eastAsia="仿宋_GB2312" w:cs="Times New Roman"/>
                <w:bCs/>
                <w:color w:val="auto"/>
                <w:sz w:val="24"/>
                <w:szCs w:val="24"/>
              </w:rPr>
            </w:pPr>
            <w:r>
              <w:rPr>
                <w:rFonts w:hint="default" w:ascii="Times New Roman" w:hAnsi="Times New Roman" w:eastAsia="仿宋_GB2312" w:cs="Times New Roman"/>
                <w:color w:val="auto"/>
                <w:sz w:val="24"/>
                <w:szCs w:val="24"/>
                <w:lang w:bidi="ar"/>
              </w:rPr>
              <w:t>区住建局</w:t>
            </w:r>
          </w:p>
        </w:tc>
        <w:tc>
          <w:tcPr>
            <w:tcW w:w="2571" w:type="dxa"/>
            <w:tcBorders>
              <w:top w:val="single" w:color="auto" w:sz="4" w:space="0"/>
              <w:left w:val="nil"/>
              <w:bottom w:val="single" w:color="auto" w:sz="4" w:space="0"/>
              <w:right w:val="single" w:color="auto" w:sz="4" w:space="0"/>
            </w:tcBorders>
            <w:vAlign w:val="center"/>
          </w:tcPr>
          <w:p>
            <w:pPr>
              <w:spacing w:beforeLines="0" w:afterLines="0" w:line="360" w:lineRule="exact"/>
              <w:rPr>
                <w:rFonts w:hint="default" w:ascii="Times New Roman" w:hAnsi="Times New Roman" w:eastAsia="仿宋_GB2312" w:cs="Times New Roman"/>
                <w:bCs/>
                <w:color w:val="auto"/>
                <w:sz w:val="24"/>
                <w:szCs w:val="24"/>
              </w:rPr>
            </w:pPr>
            <w:r>
              <w:rPr>
                <w:rFonts w:hint="default" w:ascii="Times New Roman" w:hAnsi="Times New Roman" w:eastAsia="仿宋_GB2312" w:cs="Times New Roman"/>
                <w:color w:val="auto"/>
                <w:sz w:val="24"/>
                <w:szCs w:val="24"/>
                <w:lang w:bidi="ar"/>
              </w:rPr>
              <w:t>区发改局、区国规局</w:t>
            </w:r>
          </w:p>
        </w:tc>
        <w:tc>
          <w:tcPr>
            <w:tcW w:w="1441" w:type="dxa"/>
            <w:tcBorders>
              <w:top w:val="single" w:color="auto" w:sz="4" w:space="0"/>
              <w:left w:val="nil"/>
              <w:bottom w:val="single" w:color="auto" w:sz="4" w:space="0"/>
              <w:right w:val="single" w:color="auto" w:sz="4" w:space="0"/>
            </w:tcBorders>
            <w:vAlign w:val="center"/>
          </w:tcPr>
          <w:p>
            <w:pPr>
              <w:spacing w:beforeLines="0" w:afterLines="0" w:line="360" w:lineRule="exact"/>
              <w:rPr>
                <w:rFonts w:hint="default" w:ascii="Times New Roman" w:hAnsi="Times New Roman" w:eastAsia="仿宋_GB2312" w:cs="Times New Roman"/>
                <w:bCs/>
                <w:color w:val="auto"/>
                <w:sz w:val="24"/>
                <w:szCs w:val="24"/>
              </w:rPr>
            </w:pPr>
            <w:r>
              <w:rPr>
                <w:rFonts w:hint="default" w:ascii="Times New Roman" w:hAnsi="Times New Roman" w:eastAsia="仿宋_GB2312" w:cs="Times New Roman"/>
                <w:bCs/>
                <w:color w:val="auto"/>
                <w:sz w:val="24"/>
                <w:szCs w:val="24"/>
              </w:rPr>
              <w:t>2018-11-15</w:t>
            </w:r>
          </w:p>
        </w:tc>
        <w:tc>
          <w:tcPr>
            <w:tcW w:w="947" w:type="dxa"/>
            <w:tcBorders>
              <w:top w:val="single" w:color="auto" w:sz="4" w:space="0"/>
              <w:left w:val="nil"/>
              <w:bottom w:val="single" w:color="auto" w:sz="4" w:space="0"/>
              <w:right w:val="single" w:color="auto" w:sz="4" w:space="0"/>
            </w:tcBorders>
            <w:vAlign w:val="center"/>
          </w:tcPr>
          <w:p>
            <w:pPr>
              <w:spacing w:beforeLines="0" w:afterLines="0" w:line="300" w:lineRule="exact"/>
              <w:jc w:val="center"/>
              <w:rPr>
                <w:rFonts w:hint="default" w:ascii="Times New Roman" w:hAnsi="Times New Roman" w:eastAsia="仿宋_GB2312" w:cs="Times New Roman"/>
                <w:bCs/>
                <w:color w:val="auto"/>
                <w:sz w:val="24"/>
                <w:szCs w:val="24"/>
              </w:rPr>
            </w:pPr>
          </w:p>
        </w:tc>
      </w:tr>
      <w:tr>
        <w:tblPrEx>
          <w:tblLayout w:type="fixed"/>
          <w:tblCellMar>
            <w:top w:w="0" w:type="dxa"/>
            <w:left w:w="108" w:type="dxa"/>
            <w:bottom w:w="0" w:type="dxa"/>
            <w:right w:w="108" w:type="dxa"/>
          </w:tblCellMar>
        </w:tblPrEx>
        <w:trPr>
          <w:trHeight w:val="23" w:hRule="atLeast"/>
          <w:jc w:val="center"/>
        </w:trPr>
        <w:tc>
          <w:tcPr>
            <w:tcW w:w="921" w:type="dxa"/>
            <w:tcBorders>
              <w:top w:val="nil"/>
              <w:left w:val="single" w:color="auto" w:sz="4" w:space="0"/>
              <w:bottom w:val="single" w:color="auto" w:sz="4" w:space="0"/>
              <w:right w:val="single" w:color="auto" w:sz="4" w:space="0"/>
            </w:tcBorders>
            <w:vAlign w:val="center"/>
          </w:tcPr>
          <w:p>
            <w:pPr>
              <w:spacing w:beforeLines="0" w:afterLines="0" w:line="360" w:lineRule="exact"/>
              <w:jc w:val="center"/>
              <w:rPr>
                <w:rFonts w:hint="default" w:ascii="Times New Roman" w:hAnsi="Times New Roman" w:eastAsia="仿宋_GB2312" w:cs="Times New Roman"/>
                <w:bCs/>
                <w:color w:val="auto"/>
                <w:sz w:val="24"/>
                <w:szCs w:val="24"/>
              </w:rPr>
            </w:pPr>
            <w:r>
              <w:rPr>
                <w:rFonts w:hint="default" w:ascii="Times New Roman" w:hAnsi="Times New Roman" w:eastAsia="仿宋_GB2312" w:cs="Times New Roman"/>
                <w:bCs/>
                <w:color w:val="auto"/>
                <w:sz w:val="24"/>
                <w:szCs w:val="24"/>
              </w:rPr>
              <w:t>21</w:t>
            </w:r>
          </w:p>
        </w:tc>
        <w:tc>
          <w:tcPr>
            <w:tcW w:w="2151" w:type="dxa"/>
            <w:tcBorders>
              <w:top w:val="nil"/>
              <w:left w:val="nil"/>
              <w:bottom w:val="single" w:color="auto" w:sz="4" w:space="0"/>
              <w:right w:val="single" w:color="auto" w:sz="4" w:space="0"/>
            </w:tcBorders>
            <w:vAlign w:val="center"/>
          </w:tcPr>
          <w:p>
            <w:pPr>
              <w:spacing w:beforeLines="0" w:afterLines="0" w:line="360" w:lineRule="exact"/>
              <w:jc w:val="center"/>
              <w:rPr>
                <w:rFonts w:hint="default" w:ascii="Times New Roman" w:hAnsi="Times New Roman" w:eastAsia="仿宋_GB2312" w:cs="Times New Roman"/>
                <w:bCs/>
                <w:color w:val="auto"/>
                <w:sz w:val="24"/>
                <w:szCs w:val="24"/>
              </w:rPr>
            </w:pPr>
            <w:r>
              <w:rPr>
                <w:rFonts w:hint="default" w:ascii="Times New Roman" w:hAnsi="Times New Roman" w:eastAsia="仿宋_GB2312" w:cs="Times New Roman"/>
                <w:bCs/>
                <w:color w:val="auto"/>
                <w:sz w:val="24"/>
                <w:szCs w:val="24"/>
              </w:rPr>
              <w:t>制定办理道路挖掘等专项许可事项管理办法</w:t>
            </w:r>
          </w:p>
        </w:tc>
        <w:tc>
          <w:tcPr>
            <w:tcW w:w="11936" w:type="dxa"/>
            <w:tcBorders>
              <w:top w:val="nil"/>
              <w:left w:val="nil"/>
              <w:bottom w:val="single" w:color="auto" w:sz="4" w:space="0"/>
              <w:right w:val="single" w:color="auto" w:sz="4" w:space="0"/>
            </w:tcBorders>
            <w:vAlign w:val="center"/>
          </w:tcPr>
          <w:p>
            <w:pPr>
              <w:spacing w:beforeLines="0" w:afterLines="0" w:line="360" w:lineRule="exact"/>
              <w:jc w:val="left"/>
              <w:rPr>
                <w:rFonts w:hint="default" w:ascii="Times New Roman" w:hAnsi="Times New Roman" w:eastAsia="仿宋_GB2312" w:cs="Times New Roman"/>
                <w:bCs/>
                <w:color w:val="auto"/>
                <w:sz w:val="24"/>
                <w:szCs w:val="24"/>
              </w:rPr>
            </w:pPr>
            <w:r>
              <w:rPr>
                <w:rFonts w:hint="default" w:ascii="Times New Roman" w:hAnsi="Times New Roman" w:eastAsia="仿宋_GB2312" w:cs="Times New Roman"/>
                <w:bCs/>
                <w:color w:val="auto"/>
                <w:sz w:val="24"/>
                <w:szCs w:val="24"/>
              </w:rPr>
              <w:t>建设单位可在取得施工许可证前（或完成施工招标前）完成道路挖掘、水上水下活动施工、河涌水利施工等相关许可手续，为实现施工招标后的</w:t>
            </w:r>
            <w:r>
              <w:rPr>
                <w:rFonts w:hint="eastAsia" w:ascii="Times New Roman" w:hAnsi="Times New Roman" w:cs="Times New Roman"/>
                <w:bCs/>
                <w:color w:val="auto"/>
                <w:sz w:val="24"/>
                <w:szCs w:val="24"/>
                <w:lang w:eastAsia="zh-CN"/>
              </w:rPr>
              <w:t>“</w:t>
            </w:r>
            <w:r>
              <w:rPr>
                <w:rFonts w:hint="default" w:ascii="Times New Roman" w:hAnsi="Times New Roman" w:eastAsia="仿宋_GB2312" w:cs="Times New Roman"/>
                <w:bCs/>
                <w:color w:val="auto"/>
                <w:sz w:val="24"/>
                <w:szCs w:val="24"/>
              </w:rPr>
              <w:t>真开工</w:t>
            </w:r>
            <w:r>
              <w:rPr>
                <w:rFonts w:hint="eastAsia" w:ascii="Times New Roman" w:hAnsi="Times New Roman" w:cs="Times New Roman"/>
                <w:bCs/>
                <w:color w:val="auto"/>
                <w:sz w:val="24"/>
                <w:szCs w:val="24"/>
                <w:lang w:eastAsia="zh-CN"/>
              </w:rPr>
              <w:t>”</w:t>
            </w:r>
            <w:r>
              <w:rPr>
                <w:rFonts w:hint="default" w:ascii="Times New Roman" w:hAnsi="Times New Roman" w:eastAsia="仿宋_GB2312" w:cs="Times New Roman"/>
                <w:bCs/>
                <w:color w:val="auto"/>
                <w:sz w:val="24"/>
                <w:szCs w:val="24"/>
              </w:rPr>
              <w:t>创造条件。道路挖掘等专项许可事项可分段或分阶段进行申报审批；市政管理部门城市道路占用挖掘许可、公安交通管理部门临时占用（挖掘）城市道路交通安全审核实行</w:t>
            </w:r>
            <w:r>
              <w:rPr>
                <w:rFonts w:hint="eastAsia" w:ascii="Times New Roman" w:hAnsi="Times New Roman" w:cs="Times New Roman"/>
                <w:bCs/>
                <w:color w:val="auto"/>
                <w:sz w:val="24"/>
                <w:szCs w:val="24"/>
                <w:lang w:eastAsia="zh-CN"/>
              </w:rPr>
              <w:t>“</w:t>
            </w:r>
            <w:r>
              <w:rPr>
                <w:rFonts w:hint="default" w:ascii="Times New Roman" w:hAnsi="Times New Roman" w:eastAsia="仿宋_GB2312" w:cs="Times New Roman"/>
                <w:bCs/>
                <w:color w:val="auto"/>
                <w:sz w:val="24"/>
                <w:szCs w:val="24"/>
              </w:rPr>
              <w:t>统一收件，同步审核，统一出件</w:t>
            </w:r>
            <w:r>
              <w:rPr>
                <w:rFonts w:hint="eastAsia" w:ascii="Times New Roman" w:hAnsi="Times New Roman" w:cs="Times New Roman"/>
                <w:bCs/>
                <w:color w:val="auto"/>
                <w:sz w:val="24"/>
                <w:szCs w:val="24"/>
                <w:lang w:eastAsia="zh-CN"/>
              </w:rPr>
              <w:t>”</w:t>
            </w:r>
            <w:r>
              <w:rPr>
                <w:rFonts w:hint="default" w:ascii="Times New Roman" w:hAnsi="Times New Roman" w:eastAsia="仿宋_GB2312" w:cs="Times New Roman"/>
                <w:bCs/>
                <w:color w:val="auto"/>
                <w:sz w:val="24"/>
                <w:szCs w:val="24"/>
              </w:rPr>
              <w:t>。审批过程中涉及占用、迁改市政基础设施、排水设施、道路、公路、绿地的，由建设单位按需提出申请，各行业主管部门通过全市统一审批监管平台并联审批，限时办结。在办理上述许可的过程中，如需要提供施工单位的相关资料的，采用</w:t>
            </w:r>
            <w:r>
              <w:rPr>
                <w:rFonts w:hint="eastAsia" w:ascii="Times New Roman" w:hAnsi="Times New Roman" w:cs="Times New Roman"/>
                <w:bCs/>
                <w:color w:val="auto"/>
                <w:sz w:val="24"/>
                <w:szCs w:val="24"/>
                <w:lang w:eastAsia="zh-CN"/>
              </w:rPr>
              <w:t>“</w:t>
            </w:r>
            <w:r>
              <w:rPr>
                <w:rFonts w:hint="default" w:ascii="Times New Roman" w:hAnsi="Times New Roman" w:eastAsia="仿宋_GB2312" w:cs="Times New Roman"/>
                <w:bCs/>
                <w:color w:val="auto"/>
                <w:sz w:val="24"/>
                <w:szCs w:val="24"/>
              </w:rPr>
              <w:t>容缺受理</w:t>
            </w:r>
            <w:r>
              <w:rPr>
                <w:rFonts w:hint="eastAsia" w:ascii="Times New Roman" w:hAnsi="Times New Roman" w:cs="Times New Roman"/>
                <w:bCs/>
                <w:color w:val="auto"/>
                <w:sz w:val="24"/>
                <w:szCs w:val="24"/>
                <w:lang w:eastAsia="zh-CN"/>
              </w:rPr>
              <w:t>”</w:t>
            </w:r>
            <w:r>
              <w:rPr>
                <w:rFonts w:hint="default" w:ascii="Times New Roman" w:hAnsi="Times New Roman" w:eastAsia="仿宋_GB2312" w:cs="Times New Roman"/>
                <w:bCs/>
                <w:color w:val="auto"/>
                <w:sz w:val="24"/>
                <w:szCs w:val="24"/>
              </w:rPr>
              <w:t>和</w:t>
            </w:r>
            <w:r>
              <w:rPr>
                <w:rFonts w:hint="eastAsia" w:ascii="Times New Roman" w:hAnsi="Times New Roman" w:cs="Times New Roman"/>
                <w:bCs/>
                <w:color w:val="auto"/>
                <w:sz w:val="24"/>
                <w:szCs w:val="24"/>
                <w:lang w:eastAsia="zh-CN"/>
              </w:rPr>
              <w:t>“</w:t>
            </w:r>
            <w:r>
              <w:rPr>
                <w:rFonts w:hint="default" w:ascii="Times New Roman" w:hAnsi="Times New Roman" w:eastAsia="仿宋_GB2312" w:cs="Times New Roman"/>
                <w:bCs/>
                <w:color w:val="auto"/>
                <w:sz w:val="24"/>
                <w:szCs w:val="24"/>
              </w:rPr>
              <w:t>告知承诺</w:t>
            </w:r>
            <w:r>
              <w:rPr>
                <w:rFonts w:hint="eastAsia" w:ascii="Times New Roman" w:hAnsi="Times New Roman" w:cs="Times New Roman"/>
                <w:bCs/>
                <w:color w:val="auto"/>
                <w:sz w:val="24"/>
                <w:szCs w:val="24"/>
                <w:lang w:eastAsia="zh-CN"/>
              </w:rPr>
              <w:t>”</w:t>
            </w:r>
            <w:r>
              <w:rPr>
                <w:rFonts w:hint="default" w:ascii="Times New Roman" w:hAnsi="Times New Roman" w:eastAsia="仿宋_GB2312" w:cs="Times New Roman"/>
                <w:bCs/>
                <w:color w:val="auto"/>
                <w:sz w:val="24"/>
                <w:szCs w:val="24"/>
              </w:rPr>
              <w:t>等方式办理。</w:t>
            </w:r>
          </w:p>
        </w:tc>
        <w:tc>
          <w:tcPr>
            <w:tcW w:w="1605" w:type="dxa"/>
            <w:tcBorders>
              <w:top w:val="nil"/>
              <w:left w:val="nil"/>
              <w:bottom w:val="single" w:color="auto" w:sz="4" w:space="0"/>
              <w:right w:val="single" w:color="auto" w:sz="4" w:space="0"/>
            </w:tcBorders>
            <w:vAlign w:val="center"/>
          </w:tcPr>
          <w:p>
            <w:pPr>
              <w:spacing w:beforeLines="0" w:afterLines="0" w:line="360" w:lineRule="exact"/>
              <w:jc w:val="center"/>
              <w:rPr>
                <w:rFonts w:hint="default" w:ascii="Times New Roman" w:hAnsi="Times New Roman" w:eastAsia="仿宋_GB2312" w:cs="Times New Roman"/>
                <w:bCs/>
                <w:color w:val="auto"/>
                <w:sz w:val="24"/>
                <w:szCs w:val="24"/>
              </w:rPr>
            </w:pPr>
            <w:r>
              <w:rPr>
                <w:rFonts w:hint="default" w:ascii="Times New Roman" w:hAnsi="Times New Roman" w:eastAsia="仿宋_GB2312" w:cs="Times New Roman"/>
                <w:bCs/>
                <w:color w:val="auto"/>
                <w:sz w:val="24"/>
                <w:szCs w:val="24"/>
              </w:rPr>
              <w:t>区住建局、</w:t>
            </w:r>
          </w:p>
          <w:p>
            <w:pPr>
              <w:spacing w:beforeLines="0" w:afterLines="0" w:line="360" w:lineRule="exact"/>
              <w:jc w:val="center"/>
              <w:rPr>
                <w:rFonts w:hint="default" w:ascii="Times New Roman" w:hAnsi="Times New Roman" w:eastAsia="仿宋_GB2312" w:cs="Times New Roman"/>
                <w:bCs/>
                <w:color w:val="auto"/>
                <w:sz w:val="24"/>
                <w:szCs w:val="24"/>
              </w:rPr>
            </w:pPr>
            <w:r>
              <w:rPr>
                <w:rFonts w:hint="default" w:ascii="Times New Roman" w:hAnsi="Times New Roman" w:eastAsia="仿宋_GB2312" w:cs="Times New Roman"/>
                <w:bCs/>
                <w:color w:val="auto"/>
                <w:sz w:val="24"/>
                <w:szCs w:val="24"/>
              </w:rPr>
              <w:t>区公安局交警支队、区水务局、区交通局、区林业和园林局</w:t>
            </w:r>
          </w:p>
        </w:tc>
        <w:tc>
          <w:tcPr>
            <w:tcW w:w="2571" w:type="dxa"/>
            <w:tcBorders>
              <w:top w:val="nil"/>
              <w:left w:val="nil"/>
              <w:bottom w:val="single" w:color="auto" w:sz="4" w:space="0"/>
              <w:right w:val="single" w:color="auto" w:sz="4" w:space="0"/>
            </w:tcBorders>
            <w:vAlign w:val="center"/>
          </w:tcPr>
          <w:p>
            <w:pPr>
              <w:spacing w:beforeLines="0" w:afterLines="0" w:line="360" w:lineRule="exact"/>
              <w:rPr>
                <w:rFonts w:hint="default" w:ascii="Times New Roman" w:hAnsi="Times New Roman" w:eastAsia="仿宋_GB2312" w:cs="Times New Roman"/>
                <w:bCs/>
                <w:color w:val="auto"/>
                <w:sz w:val="24"/>
                <w:szCs w:val="24"/>
              </w:rPr>
            </w:pPr>
            <w:r>
              <w:rPr>
                <w:rFonts w:hint="default" w:ascii="Times New Roman" w:hAnsi="Times New Roman" w:eastAsia="仿宋_GB2312" w:cs="Times New Roman"/>
                <w:bCs/>
                <w:color w:val="auto"/>
                <w:sz w:val="24"/>
                <w:szCs w:val="24"/>
              </w:rPr>
              <w:t>　</w:t>
            </w:r>
          </w:p>
        </w:tc>
        <w:tc>
          <w:tcPr>
            <w:tcW w:w="1441" w:type="dxa"/>
            <w:tcBorders>
              <w:top w:val="nil"/>
              <w:left w:val="nil"/>
              <w:bottom w:val="single" w:color="auto" w:sz="4" w:space="0"/>
              <w:right w:val="single" w:color="auto" w:sz="4" w:space="0"/>
            </w:tcBorders>
            <w:vAlign w:val="center"/>
          </w:tcPr>
          <w:p>
            <w:pPr>
              <w:spacing w:beforeLines="0" w:afterLines="0" w:line="360" w:lineRule="exact"/>
              <w:rPr>
                <w:rFonts w:hint="default" w:ascii="Times New Roman" w:hAnsi="Times New Roman" w:eastAsia="仿宋_GB2312" w:cs="Times New Roman"/>
                <w:bCs/>
                <w:color w:val="auto"/>
                <w:sz w:val="24"/>
                <w:szCs w:val="24"/>
              </w:rPr>
            </w:pPr>
            <w:r>
              <w:rPr>
                <w:rFonts w:hint="default" w:ascii="Times New Roman" w:hAnsi="Times New Roman" w:eastAsia="仿宋_GB2312" w:cs="Times New Roman"/>
                <w:bCs/>
                <w:color w:val="auto"/>
                <w:sz w:val="24"/>
                <w:szCs w:val="24"/>
              </w:rPr>
              <w:t>2018-11-15</w:t>
            </w:r>
          </w:p>
        </w:tc>
        <w:tc>
          <w:tcPr>
            <w:tcW w:w="947" w:type="dxa"/>
            <w:tcBorders>
              <w:top w:val="nil"/>
              <w:left w:val="nil"/>
              <w:bottom w:val="single" w:color="auto" w:sz="4" w:space="0"/>
              <w:right w:val="single" w:color="auto" w:sz="4" w:space="0"/>
            </w:tcBorders>
            <w:vAlign w:val="center"/>
          </w:tcPr>
          <w:p>
            <w:pPr>
              <w:spacing w:beforeLines="0" w:afterLines="0" w:line="300" w:lineRule="exact"/>
              <w:jc w:val="center"/>
              <w:rPr>
                <w:rFonts w:hint="default" w:ascii="Times New Roman" w:hAnsi="Times New Roman" w:eastAsia="仿宋_GB2312" w:cs="Times New Roman"/>
                <w:bCs/>
                <w:color w:val="auto"/>
                <w:sz w:val="24"/>
                <w:szCs w:val="24"/>
              </w:rPr>
            </w:pPr>
          </w:p>
        </w:tc>
      </w:tr>
      <w:tr>
        <w:tblPrEx>
          <w:tblLayout w:type="fixed"/>
          <w:tblCellMar>
            <w:top w:w="0" w:type="dxa"/>
            <w:left w:w="108" w:type="dxa"/>
            <w:bottom w:w="0" w:type="dxa"/>
            <w:right w:w="108" w:type="dxa"/>
          </w:tblCellMar>
        </w:tblPrEx>
        <w:trPr>
          <w:trHeight w:val="23" w:hRule="atLeast"/>
          <w:jc w:val="center"/>
        </w:trPr>
        <w:tc>
          <w:tcPr>
            <w:tcW w:w="921" w:type="dxa"/>
            <w:tcBorders>
              <w:top w:val="single" w:color="auto" w:sz="4" w:space="0"/>
              <w:left w:val="single" w:color="auto" w:sz="4" w:space="0"/>
              <w:bottom w:val="single" w:color="auto" w:sz="4" w:space="0"/>
              <w:right w:val="single" w:color="auto" w:sz="4" w:space="0"/>
            </w:tcBorders>
            <w:vAlign w:val="center"/>
          </w:tcPr>
          <w:p>
            <w:pPr>
              <w:spacing w:beforeLines="0" w:afterLines="0" w:line="360" w:lineRule="exact"/>
              <w:jc w:val="center"/>
              <w:rPr>
                <w:rFonts w:hint="default" w:ascii="Times New Roman" w:hAnsi="Times New Roman" w:eastAsia="仿宋_GB2312" w:cs="Times New Roman"/>
                <w:bCs/>
                <w:color w:val="auto"/>
                <w:sz w:val="24"/>
                <w:szCs w:val="24"/>
              </w:rPr>
            </w:pPr>
            <w:r>
              <w:rPr>
                <w:rFonts w:hint="default" w:ascii="Times New Roman" w:hAnsi="Times New Roman" w:eastAsia="仿宋_GB2312" w:cs="Times New Roman"/>
                <w:bCs/>
                <w:color w:val="auto"/>
                <w:sz w:val="24"/>
                <w:szCs w:val="24"/>
              </w:rPr>
              <w:t>22</w:t>
            </w:r>
          </w:p>
        </w:tc>
        <w:tc>
          <w:tcPr>
            <w:tcW w:w="2151" w:type="dxa"/>
            <w:tcBorders>
              <w:top w:val="single" w:color="auto" w:sz="4" w:space="0"/>
              <w:left w:val="nil"/>
              <w:bottom w:val="single" w:color="auto" w:sz="4" w:space="0"/>
              <w:right w:val="single" w:color="auto" w:sz="4" w:space="0"/>
            </w:tcBorders>
            <w:vAlign w:val="center"/>
          </w:tcPr>
          <w:p>
            <w:pPr>
              <w:spacing w:beforeLines="0" w:afterLines="0" w:line="360" w:lineRule="exact"/>
              <w:jc w:val="center"/>
              <w:rPr>
                <w:rFonts w:hint="default" w:ascii="Times New Roman" w:hAnsi="Times New Roman" w:eastAsia="仿宋_GB2312" w:cs="Times New Roman"/>
                <w:bCs/>
                <w:color w:val="auto"/>
                <w:spacing w:val="-8"/>
                <w:sz w:val="24"/>
                <w:szCs w:val="24"/>
              </w:rPr>
            </w:pPr>
            <w:r>
              <w:rPr>
                <w:rFonts w:hint="default" w:ascii="Times New Roman" w:hAnsi="Times New Roman" w:eastAsia="仿宋_GB2312" w:cs="Times New Roman"/>
                <w:bCs/>
                <w:color w:val="auto"/>
                <w:spacing w:val="-8"/>
                <w:sz w:val="24"/>
                <w:szCs w:val="24"/>
              </w:rPr>
              <w:t>制定并实施限时联合验收的管理办法。</w:t>
            </w:r>
          </w:p>
        </w:tc>
        <w:tc>
          <w:tcPr>
            <w:tcW w:w="11936" w:type="dxa"/>
            <w:tcBorders>
              <w:top w:val="single" w:color="auto" w:sz="4" w:space="0"/>
              <w:left w:val="nil"/>
              <w:bottom w:val="single" w:color="auto" w:sz="4" w:space="0"/>
              <w:right w:val="single" w:color="auto" w:sz="4" w:space="0"/>
            </w:tcBorders>
            <w:vAlign w:val="center"/>
          </w:tcPr>
          <w:p>
            <w:pPr>
              <w:spacing w:beforeLines="0" w:afterLines="0" w:line="360" w:lineRule="exact"/>
              <w:jc w:val="left"/>
              <w:rPr>
                <w:rFonts w:hint="default" w:ascii="Times New Roman" w:hAnsi="Times New Roman" w:eastAsia="仿宋_GB2312" w:cs="Times New Roman"/>
                <w:bCs/>
                <w:color w:val="auto"/>
                <w:sz w:val="24"/>
                <w:szCs w:val="24"/>
              </w:rPr>
            </w:pPr>
            <w:r>
              <w:rPr>
                <w:rFonts w:hint="default" w:ascii="Times New Roman" w:hAnsi="Times New Roman" w:eastAsia="仿宋_GB2312" w:cs="Times New Roman"/>
                <w:bCs/>
                <w:color w:val="auto"/>
                <w:sz w:val="24"/>
                <w:szCs w:val="24"/>
              </w:rPr>
              <w:t>出台工程建设项目联合竣工验收实施方案，实行行业主管部门负责制，按行业分类，分别由建设、水务、交通、林业园林等行业主管部门牵头，国土规划、消防、人防、档案、市政公用等部门和单位参与限时联合验收，整合验收标准，由行业主管部门统一出具联合验收意见，实现</w:t>
            </w:r>
            <w:r>
              <w:rPr>
                <w:rFonts w:hint="eastAsia" w:ascii="Times New Roman" w:hAnsi="Times New Roman" w:cs="Times New Roman"/>
                <w:bCs/>
                <w:color w:val="auto"/>
                <w:sz w:val="24"/>
                <w:szCs w:val="24"/>
                <w:lang w:eastAsia="zh-CN"/>
              </w:rPr>
              <w:t>“</w:t>
            </w:r>
            <w:r>
              <w:rPr>
                <w:rFonts w:hint="default" w:ascii="Times New Roman" w:hAnsi="Times New Roman" w:eastAsia="仿宋_GB2312" w:cs="Times New Roman"/>
                <w:bCs/>
                <w:color w:val="auto"/>
                <w:sz w:val="24"/>
                <w:szCs w:val="24"/>
              </w:rPr>
              <w:t>同时受理、并联核实、限时办结</w:t>
            </w:r>
            <w:r>
              <w:rPr>
                <w:rFonts w:hint="eastAsia" w:ascii="Times New Roman" w:hAnsi="Times New Roman" w:cs="Times New Roman"/>
                <w:bCs/>
                <w:color w:val="auto"/>
                <w:sz w:val="24"/>
                <w:szCs w:val="24"/>
                <w:lang w:eastAsia="zh-CN"/>
              </w:rPr>
              <w:t>”</w:t>
            </w:r>
            <w:r>
              <w:rPr>
                <w:rFonts w:hint="default" w:ascii="Times New Roman" w:hAnsi="Times New Roman" w:eastAsia="仿宋_GB2312" w:cs="Times New Roman"/>
                <w:bCs/>
                <w:color w:val="auto"/>
                <w:sz w:val="24"/>
                <w:szCs w:val="24"/>
              </w:rPr>
              <w:t>的联合验收模式。</w:t>
            </w:r>
          </w:p>
        </w:tc>
        <w:tc>
          <w:tcPr>
            <w:tcW w:w="1605" w:type="dxa"/>
            <w:tcBorders>
              <w:top w:val="single" w:color="auto" w:sz="4" w:space="0"/>
              <w:left w:val="nil"/>
              <w:bottom w:val="single" w:color="auto" w:sz="4" w:space="0"/>
              <w:right w:val="single" w:color="auto" w:sz="4" w:space="0"/>
            </w:tcBorders>
            <w:vAlign w:val="center"/>
          </w:tcPr>
          <w:p>
            <w:pPr>
              <w:spacing w:beforeLines="0" w:afterLines="0" w:line="360" w:lineRule="exact"/>
              <w:jc w:val="center"/>
              <w:rPr>
                <w:rFonts w:hint="default" w:ascii="Times New Roman" w:hAnsi="Times New Roman" w:eastAsia="仿宋_GB2312" w:cs="Times New Roman"/>
                <w:bCs/>
                <w:color w:val="auto"/>
                <w:sz w:val="24"/>
                <w:szCs w:val="24"/>
              </w:rPr>
            </w:pPr>
            <w:r>
              <w:rPr>
                <w:rFonts w:hint="default" w:ascii="Times New Roman" w:hAnsi="Times New Roman" w:eastAsia="仿宋_GB2312" w:cs="Times New Roman"/>
                <w:bCs/>
                <w:color w:val="auto"/>
                <w:sz w:val="24"/>
                <w:szCs w:val="24"/>
              </w:rPr>
              <w:t>区住建局、区水务局、区交通局、</w:t>
            </w:r>
          </w:p>
          <w:p>
            <w:pPr>
              <w:spacing w:beforeLines="0" w:afterLines="0" w:line="360" w:lineRule="exact"/>
              <w:jc w:val="center"/>
              <w:rPr>
                <w:rFonts w:hint="default" w:ascii="Times New Roman" w:hAnsi="Times New Roman" w:eastAsia="仿宋_GB2312" w:cs="Times New Roman"/>
                <w:bCs/>
                <w:color w:val="auto"/>
                <w:sz w:val="24"/>
                <w:szCs w:val="24"/>
              </w:rPr>
            </w:pPr>
            <w:r>
              <w:rPr>
                <w:rFonts w:hint="default" w:ascii="Times New Roman" w:hAnsi="Times New Roman" w:eastAsia="仿宋_GB2312" w:cs="Times New Roman"/>
                <w:bCs/>
                <w:color w:val="auto"/>
                <w:sz w:val="24"/>
                <w:szCs w:val="24"/>
              </w:rPr>
              <w:t>区林业和园林局</w:t>
            </w:r>
          </w:p>
        </w:tc>
        <w:tc>
          <w:tcPr>
            <w:tcW w:w="2571" w:type="dxa"/>
            <w:tcBorders>
              <w:top w:val="single" w:color="auto" w:sz="4" w:space="0"/>
              <w:left w:val="nil"/>
              <w:bottom w:val="single" w:color="auto" w:sz="4" w:space="0"/>
              <w:right w:val="single" w:color="auto" w:sz="4" w:space="0"/>
            </w:tcBorders>
            <w:vAlign w:val="center"/>
          </w:tcPr>
          <w:p>
            <w:pPr>
              <w:spacing w:beforeLines="0" w:afterLines="0" w:line="360" w:lineRule="exact"/>
              <w:rPr>
                <w:rFonts w:hint="default" w:ascii="Times New Roman" w:hAnsi="Times New Roman" w:eastAsia="仿宋_GB2312" w:cs="Times New Roman"/>
                <w:bCs/>
                <w:color w:val="auto"/>
                <w:sz w:val="24"/>
                <w:szCs w:val="24"/>
              </w:rPr>
            </w:pPr>
            <w:r>
              <w:rPr>
                <w:rFonts w:hint="default" w:ascii="Times New Roman" w:hAnsi="Times New Roman" w:eastAsia="仿宋_GB2312" w:cs="Times New Roman"/>
                <w:bCs/>
                <w:color w:val="auto"/>
                <w:sz w:val="24"/>
                <w:szCs w:val="24"/>
              </w:rPr>
              <w:t>区公安局消防大队、区国规局、区民防办、区档案局</w:t>
            </w:r>
          </w:p>
        </w:tc>
        <w:tc>
          <w:tcPr>
            <w:tcW w:w="1441" w:type="dxa"/>
            <w:tcBorders>
              <w:top w:val="single" w:color="auto" w:sz="4" w:space="0"/>
              <w:left w:val="nil"/>
              <w:bottom w:val="single" w:color="auto" w:sz="4" w:space="0"/>
              <w:right w:val="single" w:color="auto" w:sz="4" w:space="0"/>
            </w:tcBorders>
            <w:vAlign w:val="center"/>
          </w:tcPr>
          <w:p>
            <w:pPr>
              <w:spacing w:beforeLines="0" w:afterLines="0" w:line="360" w:lineRule="exact"/>
              <w:rPr>
                <w:rFonts w:hint="default" w:ascii="Times New Roman" w:hAnsi="Times New Roman" w:eastAsia="仿宋_GB2312" w:cs="Times New Roman"/>
                <w:bCs/>
                <w:color w:val="auto"/>
                <w:sz w:val="24"/>
                <w:szCs w:val="24"/>
              </w:rPr>
            </w:pPr>
            <w:r>
              <w:rPr>
                <w:rFonts w:hint="default" w:ascii="Times New Roman" w:hAnsi="Times New Roman" w:eastAsia="仿宋_GB2312" w:cs="Times New Roman"/>
                <w:bCs/>
                <w:color w:val="auto"/>
                <w:sz w:val="24"/>
                <w:szCs w:val="24"/>
              </w:rPr>
              <w:t>2018-10-15</w:t>
            </w:r>
          </w:p>
        </w:tc>
        <w:tc>
          <w:tcPr>
            <w:tcW w:w="947" w:type="dxa"/>
            <w:tcBorders>
              <w:top w:val="single" w:color="auto" w:sz="4" w:space="0"/>
              <w:left w:val="nil"/>
              <w:bottom w:val="single" w:color="auto" w:sz="4" w:space="0"/>
              <w:right w:val="single" w:color="auto" w:sz="4" w:space="0"/>
            </w:tcBorders>
            <w:vAlign w:val="center"/>
          </w:tcPr>
          <w:p>
            <w:pPr>
              <w:spacing w:beforeLines="0" w:afterLines="0" w:line="300" w:lineRule="exact"/>
              <w:jc w:val="center"/>
              <w:rPr>
                <w:rFonts w:hint="default" w:ascii="Times New Roman" w:hAnsi="Times New Roman" w:eastAsia="仿宋_GB2312" w:cs="Times New Roman"/>
                <w:bCs/>
                <w:color w:val="auto"/>
                <w:sz w:val="24"/>
                <w:szCs w:val="24"/>
              </w:rPr>
            </w:pPr>
          </w:p>
        </w:tc>
      </w:tr>
      <w:tr>
        <w:tblPrEx>
          <w:tblLayout w:type="fixed"/>
          <w:tblCellMar>
            <w:top w:w="0" w:type="dxa"/>
            <w:left w:w="108" w:type="dxa"/>
            <w:bottom w:w="0" w:type="dxa"/>
            <w:right w:w="108" w:type="dxa"/>
          </w:tblCellMar>
        </w:tblPrEx>
        <w:trPr>
          <w:trHeight w:val="23" w:hRule="atLeast"/>
          <w:jc w:val="center"/>
        </w:trPr>
        <w:tc>
          <w:tcPr>
            <w:tcW w:w="21572" w:type="dxa"/>
            <w:gridSpan w:val="7"/>
            <w:tcBorders>
              <w:top w:val="single" w:color="auto" w:sz="4" w:space="0"/>
              <w:left w:val="single" w:color="auto" w:sz="4" w:space="0"/>
              <w:bottom w:val="single" w:color="auto" w:sz="4" w:space="0"/>
              <w:right w:val="single" w:color="auto" w:sz="4" w:space="0"/>
            </w:tcBorders>
            <w:vAlign w:val="center"/>
          </w:tcPr>
          <w:p>
            <w:pPr>
              <w:spacing w:beforeLines="0" w:afterLines="0" w:line="360" w:lineRule="exact"/>
              <w:rPr>
                <w:rFonts w:hint="default" w:ascii="Times New Roman" w:hAnsi="Times New Roman" w:eastAsia="黑体"/>
                <w:bCs/>
                <w:color w:val="auto"/>
                <w:sz w:val="24"/>
                <w:szCs w:val="24"/>
              </w:rPr>
            </w:pPr>
            <w:r>
              <w:rPr>
                <w:rFonts w:hint="default" w:ascii="Times New Roman" w:hAnsi="Times New Roman" w:eastAsia="黑体"/>
                <w:bCs/>
                <w:color w:val="auto"/>
                <w:sz w:val="24"/>
                <w:szCs w:val="24"/>
              </w:rPr>
              <w:t>社会投资类</w:t>
            </w:r>
          </w:p>
        </w:tc>
      </w:tr>
      <w:tr>
        <w:tblPrEx>
          <w:tblLayout w:type="fixed"/>
          <w:tblCellMar>
            <w:top w:w="0" w:type="dxa"/>
            <w:left w:w="108" w:type="dxa"/>
            <w:bottom w:w="0" w:type="dxa"/>
            <w:right w:w="108" w:type="dxa"/>
          </w:tblCellMar>
        </w:tblPrEx>
        <w:trPr>
          <w:trHeight w:val="23" w:hRule="atLeast"/>
          <w:jc w:val="center"/>
        </w:trPr>
        <w:tc>
          <w:tcPr>
            <w:tcW w:w="921" w:type="dxa"/>
            <w:tcBorders>
              <w:top w:val="nil"/>
              <w:left w:val="single" w:color="auto" w:sz="4" w:space="0"/>
              <w:bottom w:val="single" w:color="auto" w:sz="4" w:space="0"/>
              <w:right w:val="single" w:color="auto" w:sz="4" w:space="0"/>
            </w:tcBorders>
            <w:vAlign w:val="center"/>
          </w:tcPr>
          <w:p>
            <w:pPr>
              <w:spacing w:beforeLines="0" w:afterLines="0" w:line="360" w:lineRule="exact"/>
              <w:jc w:val="center"/>
              <w:rPr>
                <w:rFonts w:hint="default" w:ascii="Times New Roman" w:hAnsi="Times New Roman" w:eastAsia="仿宋_GB2312" w:cs="Times New Roman"/>
                <w:bCs/>
                <w:color w:val="auto"/>
                <w:sz w:val="24"/>
                <w:szCs w:val="24"/>
              </w:rPr>
            </w:pPr>
            <w:r>
              <w:rPr>
                <w:rFonts w:hint="default" w:ascii="Times New Roman" w:hAnsi="Times New Roman" w:eastAsia="仿宋_GB2312" w:cs="Times New Roman"/>
                <w:bCs/>
                <w:color w:val="auto"/>
                <w:sz w:val="24"/>
                <w:szCs w:val="24"/>
              </w:rPr>
              <w:t>23</w:t>
            </w:r>
          </w:p>
        </w:tc>
        <w:tc>
          <w:tcPr>
            <w:tcW w:w="2151" w:type="dxa"/>
            <w:tcBorders>
              <w:top w:val="nil"/>
              <w:left w:val="nil"/>
              <w:bottom w:val="single" w:color="auto" w:sz="4" w:space="0"/>
              <w:right w:val="single" w:color="auto" w:sz="4" w:space="0"/>
            </w:tcBorders>
            <w:vAlign w:val="center"/>
          </w:tcPr>
          <w:p>
            <w:pPr>
              <w:spacing w:beforeLines="0" w:afterLines="0" w:line="360" w:lineRule="exact"/>
              <w:jc w:val="center"/>
              <w:rPr>
                <w:rFonts w:hint="default" w:ascii="Times New Roman" w:hAnsi="Times New Roman" w:eastAsia="仿宋_GB2312" w:cs="Times New Roman"/>
                <w:bCs/>
                <w:color w:val="auto"/>
                <w:sz w:val="24"/>
                <w:szCs w:val="24"/>
              </w:rPr>
            </w:pPr>
            <w:r>
              <w:rPr>
                <w:rFonts w:hint="default" w:ascii="Times New Roman" w:hAnsi="Times New Roman" w:eastAsia="仿宋_GB2312" w:cs="Times New Roman"/>
                <w:bCs/>
                <w:color w:val="auto"/>
                <w:sz w:val="24"/>
                <w:szCs w:val="24"/>
              </w:rPr>
              <w:t>建立</w:t>
            </w:r>
            <w:r>
              <w:rPr>
                <w:rFonts w:hint="eastAsia" w:ascii="Times New Roman" w:hAnsi="Times New Roman" w:cs="Times New Roman"/>
                <w:bCs/>
                <w:color w:val="auto"/>
                <w:sz w:val="24"/>
                <w:szCs w:val="24"/>
                <w:lang w:eastAsia="zh-CN"/>
              </w:rPr>
              <w:t>“</w:t>
            </w:r>
            <w:r>
              <w:rPr>
                <w:rFonts w:hint="default" w:ascii="Times New Roman" w:hAnsi="Times New Roman" w:eastAsia="仿宋_GB2312" w:cs="Times New Roman"/>
                <w:bCs/>
                <w:color w:val="auto"/>
                <w:sz w:val="24"/>
                <w:szCs w:val="24"/>
              </w:rPr>
              <w:t>土地资源和技术控制指标清单制</w:t>
            </w:r>
            <w:r>
              <w:rPr>
                <w:rFonts w:hint="eastAsia" w:ascii="Times New Roman" w:hAnsi="Times New Roman" w:cs="Times New Roman"/>
                <w:bCs/>
                <w:color w:val="auto"/>
                <w:sz w:val="24"/>
                <w:szCs w:val="24"/>
                <w:lang w:eastAsia="zh-CN"/>
              </w:rPr>
              <w:t>”</w:t>
            </w:r>
            <w:r>
              <w:rPr>
                <w:rFonts w:hint="default" w:ascii="Times New Roman" w:hAnsi="Times New Roman" w:eastAsia="仿宋_GB2312" w:cs="Times New Roman"/>
                <w:bCs/>
                <w:color w:val="auto"/>
                <w:sz w:val="24"/>
                <w:szCs w:val="24"/>
              </w:rPr>
              <w:t>制订具体操作办法。</w:t>
            </w:r>
          </w:p>
        </w:tc>
        <w:tc>
          <w:tcPr>
            <w:tcW w:w="11936" w:type="dxa"/>
            <w:tcBorders>
              <w:top w:val="nil"/>
              <w:left w:val="nil"/>
              <w:bottom w:val="single" w:color="auto" w:sz="4" w:space="0"/>
              <w:right w:val="single" w:color="auto" w:sz="4" w:space="0"/>
            </w:tcBorders>
            <w:vAlign w:val="center"/>
          </w:tcPr>
          <w:p>
            <w:pPr>
              <w:spacing w:beforeLines="0" w:afterLines="0" w:line="360" w:lineRule="exact"/>
              <w:jc w:val="left"/>
              <w:rPr>
                <w:rFonts w:hint="default" w:ascii="Times New Roman" w:hAnsi="Times New Roman" w:eastAsia="仿宋_GB2312" w:cs="Times New Roman"/>
                <w:bCs/>
                <w:color w:val="auto"/>
                <w:sz w:val="24"/>
                <w:szCs w:val="24"/>
              </w:rPr>
            </w:pPr>
            <w:r>
              <w:rPr>
                <w:rFonts w:hint="default" w:ascii="Times New Roman" w:hAnsi="Times New Roman" w:eastAsia="仿宋_GB2312" w:cs="Times New Roman"/>
                <w:bCs/>
                <w:color w:val="auto"/>
                <w:sz w:val="24"/>
                <w:szCs w:val="24"/>
              </w:rPr>
              <w:t>土地在出让前，土地储备中心或园区管委会牵头统一开展评估评价工作，汇总技术控制指标和要求：1.组织相关行业主管部门或园区管委会组织开展用地红线范围内地质灾害、地震安全、压覆矿产、气候可行性、水土保持、防洪、考古调查勘探等事项的专业评价或评估工作（园区范围内由园区管委会组织开展），在土地出让前取得统一的土地资源评估指标；对出让土地范围内的文物单位、历史建筑保护、古树名木、危化品安全、地下管线开展现状普查。2.各行业主管部门、公共服务企业应当结合出让土地的普查情况，以及报建或验收环节必须遵循的管理标准，提出</w:t>
            </w:r>
            <w:r>
              <w:rPr>
                <w:rFonts w:hint="eastAsia" w:ascii="Times New Roman" w:hAnsi="Times New Roman" w:cs="Times New Roman"/>
                <w:bCs/>
                <w:color w:val="auto"/>
                <w:sz w:val="24"/>
                <w:szCs w:val="24"/>
                <w:lang w:eastAsia="zh-CN"/>
              </w:rPr>
              <w:t>“</w:t>
            </w:r>
            <w:r>
              <w:rPr>
                <w:rFonts w:hint="default" w:ascii="Times New Roman" w:hAnsi="Times New Roman" w:eastAsia="仿宋_GB2312" w:cs="Times New Roman"/>
                <w:bCs/>
                <w:color w:val="auto"/>
                <w:sz w:val="24"/>
                <w:szCs w:val="24"/>
              </w:rPr>
              <w:t>清单式</w:t>
            </w:r>
            <w:r>
              <w:rPr>
                <w:rFonts w:hint="eastAsia" w:ascii="Times New Roman" w:hAnsi="Times New Roman" w:cs="Times New Roman"/>
                <w:bCs/>
                <w:color w:val="auto"/>
                <w:sz w:val="24"/>
                <w:szCs w:val="24"/>
                <w:lang w:eastAsia="zh-CN"/>
              </w:rPr>
              <w:t>”</w:t>
            </w:r>
            <w:r>
              <w:rPr>
                <w:rFonts w:hint="default" w:ascii="Times New Roman" w:hAnsi="Times New Roman" w:eastAsia="仿宋_GB2312" w:cs="Times New Roman"/>
                <w:bCs/>
                <w:color w:val="auto"/>
                <w:sz w:val="24"/>
                <w:szCs w:val="24"/>
              </w:rPr>
              <w:t>管理要求，包括：用地规划条件、建筑节能、航空、人防工程、配套公共服务设施及市政设施、文物保护、历史建筑保护、古树名木保护、危化品安全、交通（含轨道交通保护及道路设计衔接）等技术设计要点；供水、供电、供气、通讯等行业主管部门或者公共服务企业，需同步提出公共设施连接设计、迁移要点。3.国土规划部门在组织土地出让时，将土地资源和技术控制指标总清单一并交付土地受让单位。各行业主管部门和公共服务企业在项目后续报建或验收环节，不得擅自增加清单外的要求。</w:t>
            </w:r>
          </w:p>
        </w:tc>
        <w:tc>
          <w:tcPr>
            <w:tcW w:w="1605" w:type="dxa"/>
            <w:tcBorders>
              <w:top w:val="nil"/>
              <w:left w:val="nil"/>
              <w:bottom w:val="single" w:color="auto" w:sz="4" w:space="0"/>
              <w:right w:val="single" w:color="auto" w:sz="4" w:space="0"/>
            </w:tcBorders>
            <w:vAlign w:val="center"/>
          </w:tcPr>
          <w:p>
            <w:pPr>
              <w:spacing w:beforeLines="0" w:afterLines="0" w:line="360" w:lineRule="exact"/>
              <w:rPr>
                <w:rFonts w:hint="default" w:ascii="Times New Roman" w:hAnsi="Times New Roman" w:eastAsia="仿宋_GB2312" w:cs="Times New Roman"/>
                <w:bCs/>
                <w:color w:val="auto"/>
                <w:sz w:val="24"/>
                <w:szCs w:val="24"/>
              </w:rPr>
            </w:pPr>
            <w:r>
              <w:rPr>
                <w:rFonts w:hint="default" w:ascii="Times New Roman" w:hAnsi="Times New Roman" w:eastAsia="仿宋_GB2312" w:cs="Times New Roman"/>
                <w:bCs/>
                <w:color w:val="auto"/>
                <w:sz w:val="24"/>
                <w:szCs w:val="24"/>
              </w:rPr>
              <w:t>区国规局、</w:t>
            </w:r>
          </w:p>
          <w:p>
            <w:pPr>
              <w:spacing w:beforeLines="0" w:afterLines="0" w:line="360" w:lineRule="exact"/>
              <w:rPr>
                <w:rFonts w:hint="default" w:ascii="Times New Roman" w:hAnsi="Times New Roman" w:eastAsia="仿宋_GB2312" w:cs="Times New Roman"/>
                <w:bCs/>
                <w:color w:val="auto"/>
                <w:sz w:val="24"/>
                <w:szCs w:val="24"/>
              </w:rPr>
            </w:pPr>
            <w:r>
              <w:rPr>
                <w:rFonts w:hint="default" w:ascii="Times New Roman" w:hAnsi="Times New Roman" w:eastAsia="仿宋_GB2312" w:cs="Times New Roman"/>
                <w:bCs/>
                <w:color w:val="auto"/>
                <w:spacing w:val="-12"/>
                <w:sz w:val="24"/>
                <w:szCs w:val="24"/>
              </w:rPr>
              <w:t>土地储备中心、园区管委会</w:t>
            </w:r>
          </w:p>
        </w:tc>
        <w:tc>
          <w:tcPr>
            <w:tcW w:w="2571" w:type="dxa"/>
            <w:tcBorders>
              <w:top w:val="nil"/>
              <w:left w:val="nil"/>
              <w:bottom w:val="single" w:color="auto" w:sz="4" w:space="0"/>
              <w:right w:val="single" w:color="auto" w:sz="4" w:space="0"/>
            </w:tcBorders>
            <w:vAlign w:val="center"/>
          </w:tcPr>
          <w:p>
            <w:pPr>
              <w:spacing w:beforeLines="0" w:afterLines="0" w:line="360" w:lineRule="exact"/>
              <w:rPr>
                <w:rFonts w:hint="default" w:ascii="Times New Roman" w:hAnsi="Times New Roman" w:eastAsia="仿宋_GB2312" w:cs="Times New Roman"/>
                <w:bCs/>
                <w:color w:val="auto"/>
                <w:sz w:val="24"/>
                <w:szCs w:val="24"/>
              </w:rPr>
            </w:pPr>
            <w:r>
              <w:rPr>
                <w:rFonts w:hint="default" w:ascii="Times New Roman" w:hAnsi="Times New Roman" w:eastAsia="仿宋_GB2312" w:cs="Times New Roman"/>
                <w:bCs/>
                <w:color w:val="auto"/>
                <w:sz w:val="24"/>
                <w:szCs w:val="24"/>
              </w:rPr>
              <w:t>区住建局、区水务局、区文广新局、</w:t>
            </w:r>
          </w:p>
          <w:p>
            <w:pPr>
              <w:spacing w:beforeLines="0" w:afterLines="0" w:line="360" w:lineRule="exact"/>
              <w:rPr>
                <w:rFonts w:hint="default" w:ascii="Times New Roman" w:hAnsi="Times New Roman" w:eastAsia="仿宋_GB2312" w:cs="Times New Roman"/>
                <w:bCs/>
                <w:color w:val="auto"/>
                <w:sz w:val="24"/>
                <w:szCs w:val="24"/>
              </w:rPr>
            </w:pPr>
            <w:r>
              <w:rPr>
                <w:rFonts w:hint="default" w:ascii="Times New Roman" w:hAnsi="Times New Roman" w:eastAsia="仿宋_GB2312" w:cs="Times New Roman"/>
                <w:bCs/>
                <w:color w:val="auto"/>
                <w:sz w:val="24"/>
                <w:szCs w:val="24"/>
              </w:rPr>
              <w:t>区林业和园林局等相关行业主管部门，</w:t>
            </w:r>
          </w:p>
          <w:p>
            <w:pPr>
              <w:spacing w:beforeLines="0" w:afterLines="0" w:line="360" w:lineRule="exact"/>
              <w:rPr>
                <w:rFonts w:hint="default" w:ascii="Times New Roman" w:hAnsi="Times New Roman" w:eastAsia="仿宋_GB2312" w:cs="Times New Roman"/>
                <w:bCs/>
                <w:color w:val="auto"/>
                <w:sz w:val="24"/>
                <w:szCs w:val="24"/>
              </w:rPr>
            </w:pPr>
            <w:r>
              <w:rPr>
                <w:rFonts w:hint="default" w:ascii="Times New Roman" w:hAnsi="Times New Roman" w:eastAsia="仿宋_GB2312" w:cs="Times New Roman"/>
                <w:bCs/>
                <w:color w:val="auto"/>
                <w:spacing w:val="-6"/>
                <w:sz w:val="24"/>
                <w:szCs w:val="24"/>
              </w:rPr>
              <w:t>水电气等公共服务企业</w:t>
            </w:r>
          </w:p>
        </w:tc>
        <w:tc>
          <w:tcPr>
            <w:tcW w:w="1441" w:type="dxa"/>
            <w:tcBorders>
              <w:top w:val="nil"/>
              <w:left w:val="nil"/>
              <w:bottom w:val="single" w:color="auto" w:sz="4" w:space="0"/>
              <w:right w:val="single" w:color="auto" w:sz="4" w:space="0"/>
            </w:tcBorders>
            <w:vAlign w:val="center"/>
          </w:tcPr>
          <w:p>
            <w:pPr>
              <w:spacing w:beforeLines="0" w:afterLines="0" w:line="360" w:lineRule="exact"/>
              <w:jc w:val="center"/>
              <w:rPr>
                <w:rFonts w:hint="default" w:ascii="Times New Roman" w:hAnsi="Times New Roman" w:eastAsia="仿宋_GB2312" w:cs="Times New Roman"/>
                <w:bCs/>
                <w:color w:val="auto"/>
                <w:sz w:val="24"/>
                <w:szCs w:val="24"/>
              </w:rPr>
            </w:pPr>
            <w:r>
              <w:rPr>
                <w:rFonts w:hint="default" w:ascii="Times New Roman" w:hAnsi="Times New Roman" w:eastAsia="仿宋_GB2312" w:cs="Times New Roman"/>
                <w:bCs/>
                <w:color w:val="auto"/>
                <w:sz w:val="24"/>
                <w:szCs w:val="24"/>
              </w:rPr>
              <w:t>2018-11-15</w:t>
            </w:r>
          </w:p>
        </w:tc>
        <w:tc>
          <w:tcPr>
            <w:tcW w:w="947" w:type="dxa"/>
            <w:tcBorders>
              <w:top w:val="nil"/>
              <w:left w:val="nil"/>
              <w:bottom w:val="single" w:color="auto" w:sz="4" w:space="0"/>
              <w:right w:val="single" w:color="auto" w:sz="4" w:space="0"/>
            </w:tcBorders>
            <w:vAlign w:val="center"/>
          </w:tcPr>
          <w:p>
            <w:pPr>
              <w:spacing w:beforeLines="0" w:afterLines="0" w:line="300" w:lineRule="exact"/>
              <w:jc w:val="center"/>
              <w:rPr>
                <w:rFonts w:hint="default" w:ascii="Times New Roman" w:hAnsi="Times New Roman" w:eastAsia="仿宋_GB2312" w:cs="Times New Roman"/>
                <w:bCs/>
                <w:color w:val="auto"/>
                <w:sz w:val="24"/>
                <w:szCs w:val="24"/>
              </w:rPr>
            </w:pPr>
          </w:p>
        </w:tc>
      </w:tr>
      <w:tr>
        <w:tblPrEx>
          <w:tblLayout w:type="fixed"/>
          <w:tblCellMar>
            <w:top w:w="0" w:type="dxa"/>
            <w:left w:w="108" w:type="dxa"/>
            <w:bottom w:w="0" w:type="dxa"/>
            <w:right w:w="108" w:type="dxa"/>
          </w:tblCellMar>
        </w:tblPrEx>
        <w:trPr>
          <w:trHeight w:val="23" w:hRule="atLeast"/>
          <w:jc w:val="center"/>
        </w:trPr>
        <w:tc>
          <w:tcPr>
            <w:tcW w:w="921" w:type="dxa"/>
            <w:tcBorders>
              <w:top w:val="single" w:color="auto" w:sz="4" w:space="0"/>
              <w:left w:val="single" w:color="auto" w:sz="4" w:space="0"/>
              <w:bottom w:val="single" w:color="auto" w:sz="4" w:space="0"/>
              <w:right w:val="single" w:color="auto" w:sz="4" w:space="0"/>
            </w:tcBorders>
            <w:vAlign w:val="center"/>
          </w:tcPr>
          <w:p>
            <w:pPr>
              <w:spacing w:beforeLines="0" w:afterLines="0" w:line="360" w:lineRule="exact"/>
              <w:jc w:val="center"/>
              <w:rPr>
                <w:rFonts w:hint="default" w:ascii="Times New Roman" w:hAnsi="Times New Roman" w:eastAsia="仿宋_GB2312" w:cs="Times New Roman"/>
                <w:bCs/>
                <w:color w:val="auto"/>
                <w:sz w:val="24"/>
                <w:szCs w:val="24"/>
              </w:rPr>
            </w:pPr>
            <w:r>
              <w:rPr>
                <w:rFonts w:hint="default" w:ascii="Times New Roman" w:hAnsi="Times New Roman" w:eastAsia="仿宋_GB2312" w:cs="Times New Roman"/>
                <w:bCs/>
                <w:color w:val="auto"/>
                <w:sz w:val="24"/>
                <w:szCs w:val="24"/>
              </w:rPr>
              <w:t>24</w:t>
            </w:r>
          </w:p>
        </w:tc>
        <w:tc>
          <w:tcPr>
            <w:tcW w:w="2151" w:type="dxa"/>
            <w:tcBorders>
              <w:top w:val="single" w:color="auto" w:sz="4" w:space="0"/>
              <w:left w:val="nil"/>
              <w:bottom w:val="single" w:color="auto" w:sz="4" w:space="0"/>
              <w:right w:val="single" w:color="auto" w:sz="4" w:space="0"/>
            </w:tcBorders>
            <w:vAlign w:val="center"/>
          </w:tcPr>
          <w:p>
            <w:pPr>
              <w:spacing w:beforeLines="0" w:afterLines="0" w:line="360" w:lineRule="exact"/>
              <w:jc w:val="center"/>
              <w:rPr>
                <w:rFonts w:hint="default" w:ascii="Times New Roman" w:hAnsi="Times New Roman" w:eastAsia="仿宋_GB2312" w:cs="Times New Roman"/>
                <w:bCs/>
                <w:color w:val="auto"/>
                <w:sz w:val="24"/>
                <w:szCs w:val="24"/>
              </w:rPr>
            </w:pPr>
            <w:r>
              <w:rPr>
                <w:rFonts w:hint="default" w:ascii="Times New Roman" w:hAnsi="Times New Roman" w:eastAsia="仿宋_GB2312" w:cs="Times New Roman"/>
                <w:bCs/>
                <w:color w:val="auto"/>
                <w:spacing w:val="-6"/>
                <w:sz w:val="24"/>
                <w:szCs w:val="24"/>
              </w:rPr>
              <w:t>用地红线范围内实行</w:t>
            </w:r>
            <w:r>
              <w:rPr>
                <w:rFonts w:hint="eastAsia" w:ascii="Times New Roman" w:hAnsi="Times New Roman" w:cs="Times New Roman"/>
                <w:bCs/>
                <w:color w:val="auto"/>
                <w:spacing w:val="-6"/>
                <w:sz w:val="24"/>
                <w:szCs w:val="24"/>
                <w:lang w:eastAsia="zh-CN"/>
              </w:rPr>
              <w:t>“</w:t>
            </w:r>
            <w:r>
              <w:rPr>
                <w:rFonts w:hint="default" w:ascii="Times New Roman" w:hAnsi="Times New Roman" w:eastAsia="仿宋_GB2312" w:cs="Times New Roman"/>
                <w:bCs/>
                <w:color w:val="auto"/>
                <w:spacing w:val="-6"/>
                <w:sz w:val="24"/>
                <w:szCs w:val="24"/>
              </w:rPr>
              <w:t>豁免制</w:t>
            </w:r>
            <w:r>
              <w:rPr>
                <w:rFonts w:hint="eastAsia" w:ascii="Times New Roman" w:hAnsi="Times New Roman" w:cs="Times New Roman"/>
                <w:bCs/>
                <w:color w:val="auto"/>
                <w:spacing w:val="-6"/>
                <w:sz w:val="24"/>
                <w:szCs w:val="24"/>
                <w:lang w:eastAsia="zh-CN"/>
              </w:rPr>
              <w:t>”</w:t>
            </w:r>
            <w:r>
              <w:rPr>
                <w:rFonts w:hint="default" w:ascii="Times New Roman" w:hAnsi="Times New Roman" w:eastAsia="仿宋_GB2312" w:cs="Times New Roman"/>
                <w:bCs/>
                <w:color w:val="auto"/>
                <w:spacing w:val="-6"/>
                <w:sz w:val="24"/>
                <w:szCs w:val="24"/>
              </w:rPr>
              <w:t>，分别出台相关配套文件或调整办事指南。</w:t>
            </w:r>
          </w:p>
        </w:tc>
        <w:tc>
          <w:tcPr>
            <w:tcW w:w="11936" w:type="dxa"/>
            <w:tcBorders>
              <w:top w:val="single" w:color="auto" w:sz="4" w:space="0"/>
              <w:left w:val="nil"/>
              <w:bottom w:val="single" w:color="auto" w:sz="4" w:space="0"/>
              <w:right w:val="single" w:color="auto" w:sz="4" w:space="0"/>
            </w:tcBorders>
            <w:vAlign w:val="center"/>
          </w:tcPr>
          <w:p>
            <w:pPr>
              <w:spacing w:beforeLines="0" w:afterLines="0" w:line="360" w:lineRule="exact"/>
              <w:jc w:val="left"/>
              <w:rPr>
                <w:rFonts w:hint="default" w:ascii="Times New Roman" w:hAnsi="Times New Roman" w:eastAsia="仿宋_GB2312" w:cs="Times New Roman"/>
                <w:bCs/>
                <w:color w:val="auto"/>
                <w:sz w:val="24"/>
                <w:szCs w:val="24"/>
              </w:rPr>
            </w:pPr>
            <w:r>
              <w:rPr>
                <w:rFonts w:hint="default" w:ascii="Times New Roman" w:hAnsi="Times New Roman" w:eastAsia="仿宋_GB2312" w:cs="Times New Roman"/>
                <w:bCs/>
                <w:color w:val="auto"/>
                <w:sz w:val="24"/>
                <w:szCs w:val="24"/>
              </w:rPr>
              <w:t>企业取得建设用地后，免予办理用地红线范围内供水、排水工程开工审批、移动改建占用公共排水设施的审批、道路挖掘审批、市政设施移动改建审批、临时占用绿地审批、砍伐迁移（古树名木除外）修剪树木审批等手续。涉及需迁移或迁改等工作的，由土地储备中心组织上述行业主管部门或公共服务企业在土地交收前实施完毕。</w:t>
            </w:r>
          </w:p>
        </w:tc>
        <w:tc>
          <w:tcPr>
            <w:tcW w:w="1605" w:type="dxa"/>
            <w:tcBorders>
              <w:top w:val="single" w:color="auto" w:sz="4" w:space="0"/>
              <w:left w:val="nil"/>
              <w:bottom w:val="single" w:color="auto" w:sz="4" w:space="0"/>
              <w:right w:val="single" w:color="auto" w:sz="4" w:space="0"/>
            </w:tcBorders>
            <w:vAlign w:val="center"/>
          </w:tcPr>
          <w:p>
            <w:pPr>
              <w:spacing w:beforeLines="0" w:afterLines="0" w:line="360" w:lineRule="exact"/>
              <w:rPr>
                <w:rFonts w:hint="default" w:ascii="Times New Roman" w:hAnsi="Times New Roman" w:eastAsia="仿宋_GB2312" w:cs="Times New Roman"/>
                <w:bCs/>
                <w:color w:val="auto"/>
                <w:sz w:val="24"/>
                <w:szCs w:val="24"/>
              </w:rPr>
            </w:pPr>
            <w:r>
              <w:rPr>
                <w:rFonts w:hint="default" w:ascii="Times New Roman" w:hAnsi="Times New Roman" w:eastAsia="仿宋_GB2312" w:cs="Times New Roman"/>
                <w:bCs/>
                <w:color w:val="auto"/>
                <w:spacing w:val="-6"/>
                <w:sz w:val="24"/>
                <w:szCs w:val="24"/>
              </w:rPr>
              <w:t>土地储备中心</w:t>
            </w:r>
          </w:p>
        </w:tc>
        <w:tc>
          <w:tcPr>
            <w:tcW w:w="2571" w:type="dxa"/>
            <w:tcBorders>
              <w:top w:val="single" w:color="auto" w:sz="4" w:space="0"/>
              <w:left w:val="nil"/>
              <w:bottom w:val="single" w:color="auto" w:sz="4" w:space="0"/>
              <w:right w:val="single" w:color="auto" w:sz="4" w:space="0"/>
            </w:tcBorders>
            <w:vAlign w:val="center"/>
          </w:tcPr>
          <w:p>
            <w:pPr>
              <w:spacing w:beforeLines="0" w:afterLines="0" w:line="360" w:lineRule="exact"/>
              <w:rPr>
                <w:rFonts w:hint="default" w:ascii="Times New Roman" w:hAnsi="Times New Roman" w:eastAsia="仿宋_GB2312" w:cs="Times New Roman"/>
                <w:bCs/>
                <w:color w:val="auto"/>
                <w:sz w:val="24"/>
                <w:szCs w:val="24"/>
              </w:rPr>
            </w:pPr>
            <w:r>
              <w:rPr>
                <w:rFonts w:hint="default" w:ascii="Times New Roman" w:hAnsi="Times New Roman" w:eastAsia="仿宋_GB2312" w:cs="Times New Roman"/>
                <w:bCs/>
                <w:color w:val="auto"/>
                <w:sz w:val="24"/>
                <w:szCs w:val="24"/>
              </w:rPr>
              <w:t>区水务局、</w:t>
            </w:r>
          </w:p>
          <w:p>
            <w:pPr>
              <w:spacing w:beforeLines="0" w:afterLines="0" w:line="360" w:lineRule="exact"/>
              <w:rPr>
                <w:rFonts w:hint="default" w:ascii="Times New Roman" w:hAnsi="Times New Roman" w:eastAsia="仿宋_GB2312" w:cs="Times New Roman"/>
                <w:bCs/>
                <w:color w:val="auto"/>
                <w:sz w:val="24"/>
                <w:szCs w:val="24"/>
              </w:rPr>
            </w:pPr>
            <w:r>
              <w:rPr>
                <w:rFonts w:hint="default" w:ascii="Times New Roman" w:hAnsi="Times New Roman" w:eastAsia="仿宋_GB2312" w:cs="Times New Roman"/>
                <w:bCs/>
                <w:color w:val="auto"/>
                <w:sz w:val="24"/>
                <w:szCs w:val="24"/>
              </w:rPr>
              <w:t>区林业和园林局、区交通局、</w:t>
            </w:r>
          </w:p>
          <w:p>
            <w:pPr>
              <w:spacing w:beforeLines="0" w:afterLines="0" w:line="360" w:lineRule="exact"/>
              <w:rPr>
                <w:rFonts w:hint="default" w:ascii="Times New Roman" w:hAnsi="Times New Roman" w:eastAsia="仿宋_GB2312" w:cs="Times New Roman"/>
                <w:bCs/>
                <w:color w:val="auto"/>
                <w:sz w:val="24"/>
                <w:szCs w:val="24"/>
              </w:rPr>
            </w:pPr>
            <w:r>
              <w:rPr>
                <w:rFonts w:hint="default" w:ascii="Times New Roman" w:hAnsi="Times New Roman" w:eastAsia="仿宋_GB2312" w:cs="Times New Roman"/>
                <w:bCs/>
                <w:color w:val="auto"/>
                <w:sz w:val="24"/>
                <w:szCs w:val="24"/>
              </w:rPr>
              <w:t>区住建局等行业主管部门</w:t>
            </w:r>
          </w:p>
        </w:tc>
        <w:tc>
          <w:tcPr>
            <w:tcW w:w="1441" w:type="dxa"/>
            <w:tcBorders>
              <w:top w:val="single" w:color="auto" w:sz="4" w:space="0"/>
              <w:left w:val="nil"/>
              <w:bottom w:val="single" w:color="auto" w:sz="4" w:space="0"/>
              <w:right w:val="single" w:color="auto" w:sz="4" w:space="0"/>
            </w:tcBorders>
            <w:vAlign w:val="center"/>
          </w:tcPr>
          <w:p>
            <w:pPr>
              <w:spacing w:beforeLines="0" w:afterLines="0" w:line="360" w:lineRule="exact"/>
              <w:jc w:val="center"/>
              <w:rPr>
                <w:rFonts w:hint="default" w:ascii="Times New Roman" w:hAnsi="Times New Roman" w:eastAsia="仿宋_GB2312" w:cs="Times New Roman"/>
                <w:bCs/>
                <w:color w:val="auto"/>
                <w:sz w:val="24"/>
                <w:szCs w:val="24"/>
              </w:rPr>
            </w:pPr>
            <w:r>
              <w:rPr>
                <w:rFonts w:hint="default" w:ascii="Times New Roman" w:hAnsi="Times New Roman" w:eastAsia="仿宋_GB2312" w:cs="Times New Roman"/>
                <w:bCs/>
                <w:color w:val="auto"/>
                <w:sz w:val="24"/>
                <w:szCs w:val="24"/>
              </w:rPr>
              <w:t>2018-11-15</w:t>
            </w:r>
          </w:p>
        </w:tc>
        <w:tc>
          <w:tcPr>
            <w:tcW w:w="947" w:type="dxa"/>
            <w:tcBorders>
              <w:top w:val="single" w:color="auto" w:sz="4" w:space="0"/>
              <w:left w:val="nil"/>
              <w:bottom w:val="single" w:color="auto" w:sz="4" w:space="0"/>
              <w:right w:val="single" w:color="auto" w:sz="4" w:space="0"/>
            </w:tcBorders>
            <w:vAlign w:val="center"/>
          </w:tcPr>
          <w:p>
            <w:pPr>
              <w:spacing w:beforeLines="0" w:afterLines="0" w:line="300" w:lineRule="exact"/>
              <w:jc w:val="center"/>
              <w:rPr>
                <w:rFonts w:hint="default" w:ascii="Times New Roman" w:hAnsi="Times New Roman" w:eastAsia="仿宋_GB2312" w:cs="Times New Roman"/>
                <w:bCs/>
                <w:color w:val="auto"/>
                <w:sz w:val="24"/>
                <w:szCs w:val="24"/>
              </w:rPr>
            </w:pPr>
          </w:p>
        </w:tc>
      </w:tr>
      <w:tr>
        <w:tblPrEx>
          <w:tblLayout w:type="fixed"/>
          <w:tblCellMar>
            <w:top w:w="0" w:type="dxa"/>
            <w:left w:w="108" w:type="dxa"/>
            <w:bottom w:w="0" w:type="dxa"/>
            <w:right w:w="108" w:type="dxa"/>
          </w:tblCellMar>
        </w:tblPrEx>
        <w:trPr>
          <w:trHeight w:val="23" w:hRule="atLeast"/>
          <w:jc w:val="center"/>
        </w:trPr>
        <w:tc>
          <w:tcPr>
            <w:tcW w:w="921" w:type="dxa"/>
            <w:tcBorders>
              <w:top w:val="nil"/>
              <w:left w:val="single" w:color="auto" w:sz="4" w:space="0"/>
              <w:bottom w:val="single" w:color="auto" w:sz="4" w:space="0"/>
              <w:right w:val="single" w:color="auto" w:sz="4" w:space="0"/>
            </w:tcBorders>
            <w:vAlign w:val="center"/>
          </w:tcPr>
          <w:p>
            <w:pPr>
              <w:spacing w:beforeLines="0" w:afterLines="0" w:line="340" w:lineRule="exact"/>
              <w:jc w:val="center"/>
              <w:rPr>
                <w:rFonts w:hint="default" w:ascii="Times New Roman" w:hAnsi="Times New Roman" w:eastAsia="仿宋_GB2312" w:cs="Times New Roman"/>
                <w:bCs/>
                <w:color w:val="auto"/>
                <w:sz w:val="24"/>
                <w:szCs w:val="24"/>
              </w:rPr>
            </w:pPr>
            <w:r>
              <w:rPr>
                <w:rFonts w:hint="default" w:ascii="Times New Roman" w:hAnsi="Times New Roman" w:eastAsia="仿宋_GB2312" w:cs="Times New Roman"/>
                <w:bCs/>
                <w:color w:val="auto"/>
                <w:sz w:val="24"/>
                <w:szCs w:val="24"/>
              </w:rPr>
              <w:t>25</w:t>
            </w:r>
          </w:p>
        </w:tc>
        <w:tc>
          <w:tcPr>
            <w:tcW w:w="2151" w:type="dxa"/>
            <w:tcBorders>
              <w:top w:val="nil"/>
              <w:left w:val="nil"/>
              <w:bottom w:val="single" w:color="auto" w:sz="4" w:space="0"/>
              <w:right w:val="single" w:color="auto" w:sz="4" w:space="0"/>
            </w:tcBorders>
            <w:vAlign w:val="center"/>
          </w:tcPr>
          <w:p>
            <w:pPr>
              <w:spacing w:beforeLines="0" w:afterLines="0" w:line="340" w:lineRule="exact"/>
              <w:jc w:val="center"/>
              <w:rPr>
                <w:rFonts w:hint="default" w:ascii="Times New Roman" w:hAnsi="Times New Roman" w:eastAsia="仿宋_GB2312" w:cs="Times New Roman"/>
                <w:bCs/>
                <w:color w:val="auto"/>
                <w:sz w:val="24"/>
                <w:szCs w:val="24"/>
              </w:rPr>
            </w:pPr>
            <w:r>
              <w:rPr>
                <w:rFonts w:hint="default" w:ascii="Times New Roman" w:hAnsi="Times New Roman" w:eastAsia="仿宋_GB2312" w:cs="Times New Roman"/>
                <w:bCs/>
                <w:color w:val="auto"/>
                <w:spacing w:val="-11"/>
                <w:sz w:val="24"/>
                <w:szCs w:val="24"/>
              </w:rPr>
              <w:t>优化立项报建手续。</w:t>
            </w:r>
          </w:p>
        </w:tc>
        <w:tc>
          <w:tcPr>
            <w:tcW w:w="11936" w:type="dxa"/>
            <w:tcBorders>
              <w:top w:val="nil"/>
              <w:left w:val="nil"/>
              <w:bottom w:val="single" w:color="auto" w:sz="4" w:space="0"/>
              <w:right w:val="single" w:color="auto" w:sz="4" w:space="0"/>
            </w:tcBorders>
            <w:vAlign w:val="center"/>
          </w:tcPr>
          <w:p>
            <w:pPr>
              <w:spacing w:beforeLines="0" w:afterLines="0" w:line="340" w:lineRule="exact"/>
              <w:jc w:val="left"/>
              <w:rPr>
                <w:rFonts w:hint="default" w:ascii="Times New Roman" w:hAnsi="Times New Roman" w:eastAsia="仿宋_GB2312" w:cs="Times New Roman"/>
                <w:bCs/>
                <w:color w:val="auto"/>
                <w:sz w:val="24"/>
                <w:szCs w:val="24"/>
              </w:rPr>
            </w:pPr>
            <w:r>
              <w:rPr>
                <w:rFonts w:hint="default" w:ascii="Times New Roman" w:hAnsi="Times New Roman" w:eastAsia="仿宋_GB2312" w:cs="Times New Roman"/>
                <w:bCs/>
                <w:color w:val="auto"/>
                <w:sz w:val="24"/>
                <w:szCs w:val="24"/>
              </w:rPr>
              <w:t>固定资产投资项目节能审查、商品房屋建设项目备案、企业投资项目备案（核准）、建设项目环境影响评价由建设单位在开工前并行办理，不作为项目审批或核准条件。</w:t>
            </w:r>
          </w:p>
        </w:tc>
        <w:tc>
          <w:tcPr>
            <w:tcW w:w="1605" w:type="dxa"/>
            <w:tcBorders>
              <w:top w:val="nil"/>
              <w:left w:val="nil"/>
              <w:bottom w:val="single" w:color="auto" w:sz="4" w:space="0"/>
              <w:right w:val="single" w:color="auto" w:sz="4" w:space="0"/>
            </w:tcBorders>
            <w:vAlign w:val="center"/>
          </w:tcPr>
          <w:p>
            <w:pPr>
              <w:spacing w:beforeLines="0" w:afterLines="0" w:line="340" w:lineRule="exact"/>
              <w:rPr>
                <w:rFonts w:hint="default" w:ascii="Times New Roman" w:hAnsi="Times New Roman" w:eastAsia="仿宋_GB2312" w:cs="Times New Roman"/>
                <w:bCs/>
                <w:color w:val="auto"/>
                <w:sz w:val="24"/>
                <w:szCs w:val="24"/>
              </w:rPr>
            </w:pPr>
            <w:r>
              <w:rPr>
                <w:rFonts w:hint="default" w:ascii="Times New Roman" w:hAnsi="Times New Roman" w:eastAsia="仿宋_GB2312" w:cs="Times New Roman"/>
                <w:bCs/>
                <w:color w:val="auto"/>
                <w:sz w:val="24"/>
                <w:szCs w:val="24"/>
              </w:rPr>
              <w:t>区发改局、区环保局</w:t>
            </w:r>
          </w:p>
        </w:tc>
        <w:tc>
          <w:tcPr>
            <w:tcW w:w="2571" w:type="dxa"/>
            <w:tcBorders>
              <w:top w:val="nil"/>
              <w:left w:val="nil"/>
              <w:bottom w:val="single" w:color="auto" w:sz="4" w:space="0"/>
              <w:right w:val="single" w:color="auto" w:sz="4" w:space="0"/>
            </w:tcBorders>
            <w:vAlign w:val="center"/>
          </w:tcPr>
          <w:p>
            <w:pPr>
              <w:spacing w:beforeLines="0" w:afterLines="0" w:line="340" w:lineRule="exact"/>
              <w:rPr>
                <w:rFonts w:hint="default" w:ascii="Times New Roman" w:hAnsi="Times New Roman" w:eastAsia="仿宋_GB2312" w:cs="Times New Roman"/>
                <w:bCs/>
                <w:color w:val="auto"/>
                <w:sz w:val="24"/>
                <w:szCs w:val="24"/>
              </w:rPr>
            </w:pPr>
          </w:p>
        </w:tc>
        <w:tc>
          <w:tcPr>
            <w:tcW w:w="1441" w:type="dxa"/>
            <w:tcBorders>
              <w:top w:val="nil"/>
              <w:left w:val="nil"/>
              <w:bottom w:val="single" w:color="auto" w:sz="4" w:space="0"/>
              <w:right w:val="single" w:color="auto" w:sz="4" w:space="0"/>
            </w:tcBorders>
            <w:vAlign w:val="center"/>
          </w:tcPr>
          <w:p>
            <w:pPr>
              <w:spacing w:beforeLines="0" w:afterLines="0" w:line="360" w:lineRule="exact"/>
              <w:jc w:val="center"/>
              <w:rPr>
                <w:rFonts w:hint="default" w:ascii="Times New Roman" w:hAnsi="Times New Roman" w:eastAsia="仿宋_GB2312" w:cs="Times New Roman"/>
                <w:bCs/>
                <w:color w:val="auto"/>
                <w:sz w:val="24"/>
                <w:szCs w:val="24"/>
              </w:rPr>
            </w:pPr>
            <w:r>
              <w:rPr>
                <w:rFonts w:hint="default" w:ascii="Times New Roman" w:hAnsi="Times New Roman" w:eastAsia="仿宋_GB2312" w:cs="Times New Roman"/>
                <w:bCs/>
                <w:color w:val="auto"/>
                <w:sz w:val="24"/>
                <w:szCs w:val="24"/>
              </w:rPr>
              <w:t>2018-11-15</w:t>
            </w:r>
          </w:p>
        </w:tc>
        <w:tc>
          <w:tcPr>
            <w:tcW w:w="947" w:type="dxa"/>
            <w:tcBorders>
              <w:top w:val="nil"/>
              <w:left w:val="nil"/>
              <w:bottom w:val="single" w:color="auto" w:sz="4" w:space="0"/>
              <w:right w:val="single" w:color="auto" w:sz="4" w:space="0"/>
            </w:tcBorders>
            <w:vAlign w:val="center"/>
          </w:tcPr>
          <w:p>
            <w:pPr>
              <w:spacing w:beforeLines="0" w:afterLines="0" w:line="300" w:lineRule="exact"/>
              <w:jc w:val="center"/>
              <w:rPr>
                <w:rFonts w:hint="default" w:ascii="Times New Roman" w:hAnsi="Times New Roman" w:eastAsia="仿宋_GB2312" w:cs="Times New Roman"/>
                <w:bCs/>
                <w:color w:val="auto"/>
                <w:sz w:val="24"/>
                <w:szCs w:val="24"/>
              </w:rPr>
            </w:pPr>
          </w:p>
        </w:tc>
      </w:tr>
      <w:tr>
        <w:tblPrEx>
          <w:tblLayout w:type="fixed"/>
          <w:tblCellMar>
            <w:top w:w="0" w:type="dxa"/>
            <w:left w:w="108" w:type="dxa"/>
            <w:bottom w:w="0" w:type="dxa"/>
            <w:right w:w="108" w:type="dxa"/>
          </w:tblCellMar>
        </w:tblPrEx>
        <w:trPr>
          <w:trHeight w:val="23" w:hRule="atLeast"/>
          <w:jc w:val="center"/>
        </w:trPr>
        <w:tc>
          <w:tcPr>
            <w:tcW w:w="921" w:type="dxa"/>
            <w:vMerge w:val="restart"/>
            <w:tcBorders>
              <w:top w:val="nil"/>
              <w:left w:val="single" w:color="auto" w:sz="4" w:space="0"/>
              <w:bottom w:val="single" w:color="000000" w:sz="4" w:space="0"/>
              <w:right w:val="single" w:color="auto" w:sz="4" w:space="0"/>
            </w:tcBorders>
            <w:vAlign w:val="center"/>
          </w:tcPr>
          <w:p>
            <w:pPr>
              <w:spacing w:beforeLines="0" w:afterLines="0" w:line="340" w:lineRule="exact"/>
              <w:jc w:val="center"/>
              <w:rPr>
                <w:rFonts w:hint="default" w:ascii="Times New Roman" w:hAnsi="Times New Roman" w:eastAsia="仿宋_GB2312" w:cs="Times New Roman"/>
                <w:bCs/>
                <w:color w:val="auto"/>
                <w:sz w:val="24"/>
                <w:szCs w:val="24"/>
              </w:rPr>
            </w:pPr>
            <w:r>
              <w:rPr>
                <w:rFonts w:hint="default" w:ascii="Times New Roman" w:hAnsi="Times New Roman" w:eastAsia="仿宋_GB2312" w:cs="Times New Roman"/>
                <w:bCs/>
                <w:color w:val="auto"/>
                <w:sz w:val="24"/>
                <w:szCs w:val="24"/>
              </w:rPr>
              <w:t>26</w:t>
            </w:r>
          </w:p>
        </w:tc>
        <w:tc>
          <w:tcPr>
            <w:tcW w:w="2151" w:type="dxa"/>
            <w:vMerge w:val="restart"/>
            <w:tcBorders>
              <w:top w:val="nil"/>
              <w:left w:val="single" w:color="auto" w:sz="4" w:space="0"/>
              <w:bottom w:val="single" w:color="000000" w:sz="4" w:space="0"/>
              <w:right w:val="single" w:color="auto" w:sz="4" w:space="0"/>
            </w:tcBorders>
            <w:vAlign w:val="center"/>
          </w:tcPr>
          <w:p>
            <w:pPr>
              <w:spacing w:beforeLines="0" w:afterLines="0" w:line="340" w:lineRule="exact"/>
              <w:jc w:val="center"/>
              <w:rPr>
                <w:rFonts w:hint="default" w:ascii="Times New Roman" w:hAnsi="Times New Roman" w:eastAsia="仿宋_GB2312" w:cs="Times New Roman"/>
                <w:bCs/>
                <w:color w:val="auto"/>
                <w:sz w:val="24"/>
                <w:szCs w:val="24"/>
              </w:rPr>
            </w:pPr>
            <w:r>
              <w:rPr>
                <w:rFonts w:hint="default" w:ascii="Times New Roman" w:hAnsi="Times New Roman" w:eastAsia="仿宋_GB2312" w:cs="Times New Roman"/>
                <w:bCs/>
                <w:color w:val="auto"/>
                <w:sz w:val="24"/>
                <w:szCs w:val="24"/>
              </w:rPr>
              <w:t>技术评审社会化，推行建筑师负责制，分别制订设计方案审查和施工图设计文件审查具体操作办法。</w:t>
            </w:r>
          </w:p>
        </w:tc>
        <w:tc>
          <w:tcPr>
            <w:tcW w:w="11936" w:type="dxa"/>
            <w:tcBorders>
              <w:top w:val="nil"/>
              <w:left w:val="nil"/>
              <w:bottom w:val="single" w:color="auto" w:sz="4" w:space="0"/>
              <w:right w:val="single" w:color="auto" w:sz="4" w:space="0"/>
            </w:tcBorders>
            <w:vAlign w:val="center"/>
          </w:tcPr>
          <w:p>
            <w:pPr>
              <w:spacing w:beforeLines="0" w:afterLines="0" w:line="340" w:lineRule="exact"/>
              <w:jc w:val="left"/>
              <w:rPr>
                <w:rFonts w:hint="default" w:ascii="Times New Roman" w:hAnsi="Times New Roman" w:eastAsia="仿宋_GB2312" w:cs="Times New Roman"/>
                <w:bCs/>
                <w:color w:val="auto"/>
                <w:sz w:val="24"/>
                <w:szCs w:val="24"/>
              </w:rPr>
            </w:pPr>
            <w:r>
              <w:rPr>
                <w:rFonts w:hint="default" w:ascii="Times New Roman" w:hAnsi="Times New Roman" w:eastAsia="仿宋_GB2312" w:cs="Times New Roman"/>
                <w:bCs/>
                <w:color w:val="auto"/>
                <w:sz w:val="24"/>
                <w:szCs w:val="24"/>
              </w:rPr>
              <w:t>各行业主管部门应根据项目设计深度，明确规划、建筑节能、绿色建筑、消防、人防、水务、交通、环保、卫生等相关设计指标要求，政府部门不再直接介入技术审查工作，大幅压减审批时限。政府部门不再组织社会投资项目大中型建设项目初步设计审查、建筑节能设计审查结果备案，改由建设单位自行组织技术审查，强化建设单位质量主体责任。</w:t>
            </w:r>
          </w:p>
        </w:tc>
        <w:tc>
          <w:tcPr>
            <w:tcW w:w="1605" w:type="dxa"/>
            <w:tcBorders>
              <w:top w:val="nil"/>
              <w:left w:val="nil"/>
              <w:bottom w:val="single" w:color="auto" w:sz="4" w:space="0"/>
              <w:right w:val="single" w:color="auto" w:sz="4" w:space="0"/>
            </w:tcBorders>
            <w:vAlign w:val="center"/>
          </w:tcPr>
          <w:p>
            <w:pPr>
              <w:spacing w:beforeLines="0" w:afterLines="0" w:line="340" w:lineRule="exact"/>
              <w:rPr>
                <w:rFonts w:hint="default" w:ascii="Times New Roman" w:hAnsi="Times New Roman" w:eastAsia="仿宋_GB2312" w:cs="Times New Roman"/>
                <w:bCs/>
                <w:color w:val="auto"/>
                <w:sz w:val="24"/>
                <w:szCs w:val="24"/>
              </w:rPr>
            </w:pPr>
            <w:r>
              <w:rPr>
                <w:rFonts w:hint="default" w:ascii="Times New Roman" w:hAnsi="Times New Roman" w:eastAsia="仿宋_GB2312" w:cs="Times New Roman"/>
                <w:bCs/>
                <w:color w:val="auto"/>
                <w:sz w:val="24"/>
                <w:szCs w:val="24"/>
              </w:rPr>
              <w:t>区住建局、区国规局</w:t>
            </w:r>
          </w:p>
        </w:tc>
        <w:tc>
          <w:tcPr>
            <w:tcW w:w="2571" w:type="dxa"/>
            <w:tcBorders>
              <w:top w:val="nil"/>
              <w:left w:val="nil"/>
              <w:bottom w:val="single" w:color="auto" w:sz="4" w:space="0"/>
              <w:right w:val="single" w:color="auto" w:sz="4" w:space="0"/>
            </w:tcBorders>
            <w:vAlign w:val="center"/>
          </w:tcPr>
          <w:p>
            <w:pPr>
              <w:spacing w:beforeLines="0" w:afterLines="0" w:line="340" w:lineRule="exact"/>
              <w:rPr>
                <w:rFonts w:hint="default" w:ascii="Times New Roman" w:hAnsi="Times New Roman" w:eastAsia="仿宋_GB2312" w:cs="Times New Roman"/>
                <w:bCs/>
                <w:color w:val="auto"/>
                <w:sz w:val="24"/>
                <w:szCs w:val="24"/>
              </w:rPr>
            </w:pPr>
            <w:r>
              <w:rPr>
                <w:rFonts w:hint="default" w:ascii="Times New Roman" w:hAnsi="Times New Roman" w:eastAsia="仿宋_GB2312" w:cs="Times New Roman"/>
                <w:bCs/>
                <w:color w:val="auto"/>
                <w:sz w:val="24"/>
                <w:szCs w:val="24"/>
              </w:rPr>
              <w:t>区发改局、区财政局、区公安局消防大队、区民防办、区水务局、区交通局、区环保局、区卫计局等相关行业主管部门</w:t>
            </w:r>
          </w:p>
        </w:tc>
        <w:tc>
          <w:tcPr>
            <w:tcW w:w="1441" w:type="dxa"/>
            <w:tcBorders>
              <w:top w:val="nil"/>
              <w:left w:val="nil"/>
              <w:bottom w:val="single" w:color="auto" w:sz="4" w:space="0"/>
              <w:right w:val="single" w:color="auto" w:sz="4" w:space="0"/>
            </w:tcBorders>
            <w:vAlign w:val="center"/>
          </w:tcPr>
          <w:p>
            <w:pPr>
              <w:spacing w:beforeLines="0" w:afterLines="0" w:line="300" w:lineRule="exact"/>
              <w:jc w:val="center"/>
              <w:rPr>
                <w:rFonts w:hint="default" w:ascii="Times New Roman" w:hAnsi="Times New Roman" w:eastAsia="仿宋_GB2312" w:cs="Times New Roman"/>
                <w:bCs/>
                <w:color w:val="auto"/>
                <w:sz w:val="24"/>
                <w:szCs w:val="24"/>
              </w:rPr>
            </w:pPr>
            <w:r>
              <w:rPr>
                <w:rFonts w:hint="default" w:ascii="Times New Roman" w:hAnsi="Times New Roman" w:eastAsia="仿宋_GB2312" w:cs="Times New Roman"/>
                <w:bCs/>
                <w:color w:val="auto"/>
                <w:sz w:val="24"/>
                <w:szCs w:val="24"/>
              </w:rPr>
              <w:t>2018-11-15</w:t>
            </w:r>
          </w:p>
        </w:tc>
        <w:tc>
          <w:tcPr>
            <w:tcW w:w="947" w:type="dxa"/>
            <w:tcBorders>
              <w:top w:val="nil"/>
              <w:left w:val="nil"/>
              <w:bottom w:val="single" w:color="auto" w:sz="4" w:space="0"/>
              <w:right w:val="single" w:color="auto" w:sz="4" w:space="0"/>
            </w:tcBorders>
            <w:vAlign w:val="center"/>
          </w:tcPr>
          <w:p>
            <w:pPr>
              <w:spacing w:beforeLines="0" w:afterLines="0" w:line="300" w:lineRule="exact"/>
              <w:jc w:val="center"/>
              <w:rPr>
                <w:rFonts w:hint="default" w:ascii="Times New Roman" w:hAnsi="Times New Roman" w:eastAsia="仿宋_GB2312" w:cs="Times New Roman"/>
                <w:bCs/>
                <w:color w:val="auto"/>
                <w:sz w:val="24"/>
                <w:szCs w:val="24"/>
              </w:rPr>
            </w:pPr>
          </w:p>
        </w:tc>
      </w:tr>
      <w:tr>
        <w:tblPrEx>
          <w:tblLayout w:type="fixed"/>
          <w:tblCellMar>
            <w:top w:w="0" w:type="dxa"/>
            <w:left w:w="108" w:type="dxa"/>
            <w:bottom w:w="0" w:type="dxa"/>
            <w:right w:w="108" w:type="dxa"/>
          </w:tblCellMar>
        </w:tblPrEx>
        <w:trPr>
          <w:trHeight w:val="23" w:hRule="atLeast"/>
          <w:jc w:val="center"/>
        </w:trPr>
        <w:tc>
          <w:tcPr>
            <w:tcW w:w="921" w:type="dxa"/>
            <w:vMerge w:val="continue"/>
            <w:tcBorders>
              <w:top w:val="nil"/>
              <w:left w:val="single" w:color="auto" w:sz="4" w:space="0"/>
              <w:bottom w:val="single" w:color="000000" w:sz="4" w:space="0"/>
              <w:right w:val="single" w:color="auto" w:sz="4" w:space="0"/>
            </w:tcBorders>
            <w:vAlign w:val="center"/>
          </w:tcPr>
          <w:p>
            <w:pPr>
              <w:spacing w:beforeLines="0" w:afterLines="0" w:line="340" w:lineRule="exact"/>
              <w:jc w:val="center"/>
              <w:rPr>
                <w:rFonts w:hint="default" w:ascii="Times New Roman" w:hAnsi="Times New Roman" w:eastAsia="仿宋_GB2312" w:cs="Times New Roman"/>
                <w:bCs/>
                <w:color w:val="auto"/>
                <w:sz w:val="24"/>
                <w:szCs w:val="24"/>
              </w:rPr>
            </w:pPr>
          </w:p>
        </w:tc>
        <w:tc>
          <w:tcPr>
            <w:tcW w:w="2151" w:type="dxa"/>
            <w:vMerge w:val="continue"/>
            <w:tcBorders>
              <w:top w:val="nil"/>
              <w:left w:val="single" w:color="auto" w:sz="4" w:space="0"/>
              <w:bottom w:val="single" w:color="000000" w:sz="4" w:space="0"/>
              <w:right w:val="single" w:color="auto" w:sz="4" w:space="0"/>
            </w:tcBorders>
            <w:vAlign w:val="center"/>
          </w:tcPr>
          <w:p>
            <w:pPr>
              <w:spacing w:beforeLines="0" w:afterLines="0" w:line="340" w:lineRule="exact"/>
              <w:jc w:val="center"/>
              <w:rPr>
                <w:rFonts w:hint="default" w:ascii="Times New Roman" w:hAnsi="Times New Roman" w:eastAsia="仿宋_GB2312" w:cs="Times New Roman"/>
                <w:bCs/>
                <w:color w:val="auto"/>
                <w:sz w:val="24"/>
                <w:szCs w:val="24"/>
              </w:rPr>
            </w:pPr>
          </w:p>
        </w:tc>
        <w:tc>
          <w:tcPr>
            <w:tcW w:w="11936" w:type="dxa"/>
            <w:tcBorders>
              <w:top w:val="nil"/>
              <w:left w:val="nil"/>
              <w:bottom w:val="single" w:color="auto" w:sz="4" w:space="0"/>
              <w:right w:val="single" w:color="auto" w:sz="4" w:space="0"/>
            </w:tcBorders>
            <w:vAlign w:val="center"/>
          </w:tcPr>
          <w:p>
            <w:pPr>
              <w:spacing w:beforeLines="0" w:afterLines="0" w:line="340" w:lineRule="exact"/>
              <w:jc w:val="left"/>
              <w:rPr>
                <w:rFonts w:hint="default" w:ascii="Times New Roman" w:hAnsi="Times New Roman" w:eastAsia="仿宋_GB2312" w:cs="Times New Roman"/>
                <w:bCs/>
                <w:color w:val="auto"/>
                <w:sz w:val="24"/>
                <w:szCs w:val="24"/>
              </w:rPr>
            </w:pPr>
            <w:r>
              <w:rPr>
                <w:rFonts w:hint="default" w:ascii="Times New Roman" w:hAnsi="Times New Roman" w:eastAsia="仿宋_GB2312" w:cs="Times New Roman"/>
                <w:bCs/>
                <w:color w:val="auto"/>
                <w:sz w:val="24"/>
                <w:szCs w:val="24"/>
              </w:rPr>
              <w:t>推行建筑师负责制和BIM（建筑信息模型）技术应用相结合的建筑设计管理模式，推进建设工程精细化管理。</w:t>
            </w:r>
          </w:p>
        </w:tc>
        <w:tc>
          <w:tcPr>
            <w:tcW w:w="1605" w:type="dxa"/>
            <w:tcBorders>
              <w:top w:val="nil"/>
              <w:left w:val="nil"/>
              <w:bottom w:val="single" w:color="auto" w:sz="4" w:space="0"/>
              <w:right w:val="single" w:color="auto" w:sz="4" w:space="0"/>
            </w:tcBorders>
            <w:vAlign w:val="center"/>
          </w:tcPr>
          <w:p>
            <w:pPr>
              <w:spacing w:beforeLines="0" w:afterLines="0" w:line="340" w:lineRule="exact"/>
              <w:rPr>
                <w:rFonts w:hint="default" w:ascii="Times New Roman" w:hAnsi="Times New Roman" w:eastAsia="仿宋_GB2312" w:cs="Times New Roman"/>
                <w:bCs/>
                <w:color w:val="auto"/>
                <w:sz w:val="24"/>
                <w:szCs w:val="24"/>
              </w:rPr>
            </w:pPr>
            <w:r>
              <w:rPr>
                <w:rFonts w:hint="default" w:ascii="Times New Roman" w:hAnsi="Times New Roman" w:eastAsia="仿宋_GB2312" w:cs="Times New Roman"/>
                <w:bCs/>
                <w:color w:val="auto"/>
                <w:sz w:val="24"/>
                <w:szCs w:val="24"/>
              </w:rPr>
              <w:t>区国规局、区住建局</w:t>
            </w:r>
          </w:p>
        </w:tc>
        <w:tc>
          <w:tcPr>
            <w:tcW w:w="2571" w:type="dxa"/>
            <w:tcBorders>
              <w:top w:val="nil"/>
              <w:left w:val="nil"/>
              <w:bottom w:val="single" w:color="auto" w:sz="4" w:space="0"/>
              <w:right w:val="single" w:color="auto" w:sz="4" w:space="0"/>
            </w:tcBorders>
            <w:vAlign w:val="center"/>
          </w:tcPr>
          <w:p>
            <w:pPr>
              <w:spacing w:beforeLines="0" w:afterLines="0" w:line="340" w:lineRule="exact"/>
              <w:rPr>
                <w:rFonts w:hint="default" w:ascii="Times New Roman" w:hAnsi="Times New Roman" w:eastAsia="仿宋_GB2312" w:cs="Times New Roman"/>
                <w:bCs/>
                <w:color w:val="auto"/>
                <w:sz w:val="24"/>
                <w:szCs w:val="24"/>
              </w:rPr>
            </w:pPr>
          </w:p>
        </w:tc>
        <w:tc>
          <w:tcPr>
            <w:tcW w:w="1441" w:type="dxa"/>
            <w:tcBorders>
              <w:top w:val="nil"/>
              <w:left w:val="nil"/>
              <w:bottom w:val="single" w:color="auto" w:sz="4" w:space="0"/>
              <w:right w:val="single" w:color="auto" w:sz="4" w:space="0"/>
            </w:tcBorders>
            <w:vAlign w:val="center"/>
          </w:tcPr>
          <w:p>
            <w:pPr>
              <w:spacing w:beforeLines="0" w:afterLines="0" w:line="300" w:lineRule="exact"/>
              <w:jc w:val="center"/>
              <w:rPr>
                <w:rFonts w:hint="default" w:ascii="Times New Roman" w:hAnsi="Times New Roman" w:eastAsia="仿宋_GB2312" w:cs="Times New Roman"/>
                <w:bCs/>
                <w:color w:val="auto"/>
                <w:sz w:val="24"/>
                <w:szCs w:val="24"/>
              </w:rPr>
            </w:pPr>
            <w:r>
              <w:rPr>
                <w:rFonts w:hint="default" w:ascii="Times New Roman" w:hAnsi="Times New Roman" w:eastAsia="仿宋_GB2312" w:cs="Times New Roman"/>
                <w:bCs/>
                <w:color w:val="auto"/>
                <w:sz w:val="24"/>
                <w:szCs w:val="24"/>
              </w:rPr>
              <w:t>2019-1-15</w:t>
            </w:r>
          </w:p>
        </w:tc>
        <w:tc>
          <w:tcPr>
            <w:tcW w:w="947" w:type="dxa"/>
            <w:tcBorders>
              <w:top w:val="nil"/>
              <w:left w:val="nil"/>
              <w:bottom w:val="single" w:color="auto" w:sz="4" w:space="0"/>
              <w:right w:val="single" w:color="auto" w:sz="4" w:space="0"/>
            </w:tcBorders>
            <w:vAlign w:val="center"/>
          </w:tcPr>
          <w:p>
            <w:pPr>
              <w:spacing w:beforeLines="0" w:afterLines="0" w:line="300" w:lineRule="exact"/>
              <w:jc w:val="center"/>
              <w:rPr>
                <w:rFonts w:hint="default" w:ascii="Times New Roman" w:hAnsi="Times New Roman" w:eastAsia="仿宋_GB2312" w:cs="Times New Roman"/>
                <w:bCs/>
                <w:color w:val="auto"/>
                <w:sz w:val="24"/>
                <w:szCs w:val="24"/>
              </w:rPr>
            </w:pPr>
          </w:p>
        </w:tc>
      </w:tr>
      <w:tr>
        <w:tblPrEx>
          <w:tblLayout w:type="fixed"/>
          <w:tblCellMar>
            <w:top w:w="0" w:type="dxa"/>
            <w:left w:w="108" w:type="dxa"/>
            <w:bottom w:w="0" w:type="dxa"/>
            <w:right w:w="108" w:type="dxa"/>
          </w:tblCellMar>
        </w:tblPrEx>
        <w:trPr>
          <w:trHeight w:val="23" w:hRule="atLeast"/>
          <w:jc w:val="center"/>
        </w:trPr>
        <w:tc>
          <w:tcPr>
            <w:tcW w:w="921" w:type="dxa"/>
            <w:vMerge w:val="continue"/>
            <w:tcBorders>
              <w:top w:val="nil"/>
              <w:left w:val="single" w:color="auto" w:sz="4" w:space="0"/>
              <w:bottom w:val="single" w:color="auto" w:sz="4" w:space="0"/>
              <w:right w:val="single" w:color="auto" w:sz="4" w:space="0"/>
            </w:tcBorders>
            <w:vAlign w:val="center"/>
          </w:tcPr>
          <w:p>
            <w:pPr>
              <w:spacing w:beforeLines="0" w:afterLines="0" w:line="340" w:lineRule="exact"/>
              <w:jc w:val="center"/>
              <w:rPr>
                <w:rFonts w:hint="default" w:ascii="Times New Roman" w:hAnsi="Times New Roman" w:eastAsia="仿宋_GB2312" w:cs="Times New Roman"/>
                <w:bCs/>
                <w:color w:val="auto"/>
                <w:sz w:val="24"/>
                <w:szCs w:val="24"/>
              </w:rPr>
            </w:pPr>
          </w:p>
        </w:tc>
        <w:tc>
          <w:tcPr>
            <w:tcW w:w="2151" w:type="dxa"/>
            <w:vMerge w:val="continue"/>
            <w:tcBorders>
              <w:top w:val="nil"/>
              <w:left w:val="single" w:color="auto" w:sz="4" w:space="0"/>
              <w:bottom w:val="single" w:color="auto" w:sz="4" w:space="0"/>
              <w:right w:val="single" w:color="auto" w:sz="4" w:space="0"/>
            </w:tcBorders>
            <w:vAlign w:val="center"/>
          </w:tcPr>
          <w:p>
            <w:pPr>
              <w:spacing w:beforeLines="0" w:afterLines="0" w:line="340" w:lineRule="exact"/>
              <w:jc w:val="center"/>
              <w:rPr>
                <w:rFonts w:hint="default" w:ascii="Times New Roman" w:hAnsi="Times New Roman" w:eastAsia="仿宋_GB2312" w:cs="Times New Roman"/>
                <w:bCs/>
                <w:color w:val="auto"/>
                <w:sz w:val="24"/>
                <w:szCs w:val="24"/>
              </w:rPr>
            </w:pPr>
          </w:p>
        </w:tc>
        <w:tc>
          <w:tcPr>
            <w:tcW w:w="11936" w:type="dxa"/>
            <w:tcBorders>
              <w:top w:val="nil"/>
              <w:left w:val="nil"/>
              <w:bottom w:val="single" w:color="auto" w:sz="4" w:space="0"/>
              <w:right w:val="single" w:color="auto" w:sz="4" w:space="0"/>
            </w:tcBorders>
            <w:vAlign w:val="center"/>
          </w:tcPr>
          <w:p>
            <w:pPr>
              <w:spacing w:beforeLines="0" w:afterLines="0" w:line="340" w:lineRule="exact"/>
              <w:jc w:val="left"/>
              <w:rPr>
                <w:rFonts w:hint="default" w:ascii="Times New Roman" w:hAnsi="Times New Roman" w:eastAsia="仿宋_GB2312" w:cs="Times New Roman"/>
                <w:bCs/>
                <w:color w:val="auto"/>
                <w:sz w:val="24"/>
                <w:szCs w:val="24"/>
              </w:rPr>
            </w:pPr>
            <w:r>
              <w:rPr>
                <w:rFonts w:hint="default" w:ascii="Times New Roman" w:hAnsi="Times New Roman" w:eastAsia="仿宋_GB2312" w:cs="Times New Roman"/>
                <w:bCs/>
                <w:color w:val="auto"/>
                <w:sz w:val="24"/>
                <w:szCs w:val="24"/>
              </w:rPr>
              <w:t>对位于城市重要地段、重要景观地区的建筑项目，依据地区城市设计成果，由建设单位在规划专家库中选择专家或地区规划师按标准自行组织评审。需进行超限高层建筑工程抗震设防审批的特殊项目，由建设单位在方案设计阶段报市建设行政管理部门组织技术审查。</w:t>
            </w:r>
          </w:p>
        </w:tc>
        <w:tc>
          <w:tcPr>
            <w:tcW w:w="1605" w:type="dxa"/>
            <w:tcBorders>
              <w:top w:val="nil"/>
              <w:left w:val="nil"/>
              <w:bottom w:val="single" w:color="auto" w:sz="4" w:space="0"/>
              <w:right w:val="single" w:color="auto" w:sz="4" w:space="0"/>
            </w:tcBorders>
            <w:vAlign w:val="center"/>
          </w:tcPr>
          <w:p>
            <w:pPr>
              <w:spacing w:beforeLines="0" w:afterLines="0" w:line="340" w:lineRule="exact"/>
              <w:rPr>
                <w:rFonts w:hint="default" w:ascii="Times New Roman" w:hAnsi="Times New Roman" w:eastAsia="仿宋_GB2312" w:cs="Times New Roman"/>
                <w:bCs/>
                <w:color w:val="auto"/>
                <w:sz w:val="24"/>
                <w:szCs w:val="24"/>
              </w:rPr>
            </w:pPr>
            <w:r>
              <w:rPr>
                <w:rFonts w:hint="default" w:ascii="Times New Roman" w:hAnsi="Times New Roman" w:eastAsia="仿宋_GB2312" w:cs="Times New Roman"/>
                <w:bCs/>
                <w:color w:val="auto"/>
                <w:sz w:val="24"/>
                <w:szCs w:val="24"/>
              </w:rPr>
              <w:t>区国规局、区住建局</w:t>
            </w:r>
          </w:p>
        </w:tc>
        <w:tc>
          <w:tcPr>
            <w:tcW w:w="2571" w:type="dxa"/>
            <w:tcBorders>
              <w:top w:val="nil"/>
              <w:left w:val="nil"/>
              <w:bottom w:val="single" w:color="auto" w:sz="4" w:space="0"/>
              <w:right w:val="single" w:color="auto" w:sz="4" w:space="0"/>
            </w:tcBorders>
            <w:vAlign w:val="center"/>
          </w:tcPr>
          <w:p>
            <w:pPr>
              <w:spacing w:beforeLines="0" w:afterLines="0" w:line="340" w:lineRule="exact"/>
              <w:rPr>
                <w:rFonts w:hint="default" w:ascii="Times New Roman" w:hAnsi="Times New Roman" w:eastAsia="仿宋_GB2312" w:cs="Times New Roman"/>
                <w:bCs/>
                <w:color w:val="auto"/>
                <w:sz w:val="24"/>
                <w:szCs w:val="24"/>
              </w:rPr>
            </w:pPr>
          </w:p>
        </w:tc>
        <w:tc>
          <w:tcPr>
            <w:tcW w:w="1441" w:type="dxa"/>
            <w:tcBorders>
              <w:top w:val="nil"/>
              <w:left w:val="nil"/>
              <w:bottom w:val="single" w:color="auto" w:sz="4" w:space="0"/>
              <w:right w:val="single" w:color="auto" w:sz="4" w:space="0"/>
            </w:tcBorders>
            <w:vAlign w:val="center"/>
          </w:tcPr>
          <w:p>
            <w:pPr>
              <w:spacing w:beforeLines="0" w:afterLines="0" w:line="300" w:lineRule="exact"/>
              <w:jc w:val="center"/>
              <w:rPr>
                <w:rFonts w:hint="default" w:ascii="Times New Roman" w:hAnsi="Times New Roman" w:eastAsia="仿宋_GB2312" w:cs="Times New Roman"/>
                <w:bCs/>
                <w:color w:val="auto"/>
                <w:sz w:val="24"/>
                <w:szCs w:val="24"/>
              </w:rPr>
            </w:pPr>
            <w:r>
              <w:rPr>
                <w:rFonts w:hint="default" w:ascii="Times New Roman" w:hAnsi="Times New Roman" w:eastAsia="仿宋_GB2312" w:cs="Times New Roman"/>
                <w:bCs/>
                <w:color w:val="auto"/>
                <w:sz w:val="24"/>
                <w:szCs w:val="24"/>
              </w:rPr>
              <w:t>2018-11-15</w:t>
            </w:r>
          </w:p>
        </w:tc>
        <w:tc>
          <w:tcPr>
            <w:tcW w:w="947" w:type="dxa"/>
            <w:tcBorders>
              <w:top w:val="nil"/>
              <w:left w:val="nil"/>
              <w:bottom w:val="single" w:color="auto" w:sz="4" w:space="0"/>
              <w:right w:val="single" w:color="auto" w:sz="4" w:space="0"/>
            </w:tcBorders>
            <w:vAlign w:val="center"/>
          </w:tcPr>
          <w:p>
            <w:pPr>
              <w:spacing w:beforeLines="0" w:afterLines="0" w:line="300" w:lineRule="exact"/>
              <w:jc w:val="center"/>
              <w:rPr>
                <w:rFonts w:hint="default" w:ascii="Times New Roman" w:hAnsi="Times New Roman" w:eastAsia="仿宋_GB2312" w:cs="Times New Roman"/>
                <w:bCs/>
                <w:color w:val="auto"/>
                <w:sz w:val="24"/>
                <w:szCs w:val="24"/>
              </w:rPr>
            </w:pPr>
          </w:p>
        </w:tc>
      </w:tr>
      <w:tr>
        <w:tblPrEx>
          <w:tblLayout w:type="fixed"/>
          <w:tblCellMar>
            <w:top w:w="0" w:type="dxa"/>
            <w:left w:w="108" w:type="dxa"/>
            <w:bottom w:w="0" w:type="dxa"/>
            <w:right w:w="108" w:type="dxa"/>
          </w:tblCellMar>
        </w:tblPrEx>
        <w:trPr>
          <w:trHeight w:val="23" w:hRule="atLeast"/>
          <w:jc w:val="center"/>
        </w:trPr>
        <w:tc>
          <w:tcPr>
            <w:tcW w:w="921" w:type="dxa"/>
            <w:vMerge w:val="restart"/>
            <w:tcBorders>
              <w:top w:val="single" w:color="auto" w:sz="4" w:space="0"/>
              <w:left w:val="single" w:color="auto" w:sz="4" w:space="0"/>
              <w:bottom w:val="single" w:color="000000" w:sz="4" w:space="0"/>
              <w:right w:val="single" w:color="auto" w:sz="4" w:space="0"/>
            </w:tcBorders>
            <w:vAlign w:val="center"/>
          </w:tcPr>
          <w:p>
            <w:pPr>
              <w:spacing w:beforeLines="0" w:afterLines="0" w:line="340" w:lineRule="exact"/>
              <w:jc w:val="center"/>
              <w:rPr>
                <w:rFonts w:hint="default" w:ascii="Times New Roman" w:hAnsi="Times New Roman" w:eastAsia="仿宋_GB2312" w:cs="Times New Roman"/>
                <w:bCs/>
                <w:color w:val="auto"/>
                <w:sz w:val="24"/>
                <w:szCs w:val="24"/>
              </w:rPr>
            </w:pPr>
            <w:r>
              <w:rPr>
                <w:rFonts w:hint="default" w:ascii="Times New Roman" w:hAnsi="Times New Roman" w:eastAsia="仿宋_GB2312" w:cs="Times New Roman"/>
                <w:bCs/>
                <w:color w:val="auto"/>
                <w:sz w:val="24"/>
                <w:szCs w:val="24"/>
              </w:rPr>
              <w:t>27</w:t>
            </w:r>
          </w:p>
        </w:tc>
        <w:tc>
          <w:tcPr>
            <w:tcW w:w="2151" w:type="dxa"/>
            <w:vMerge w:val="restart"/>
            <w:tcBorders>
              <w:top w:val="single" w:color="auto" w:sz="4" w:space="0"/>
              <w:left w:val="single" w:color="auto" w:sz="4" w:space="0"/>
              <w:bottom w:val="single" w:color="000000" w:sz="4" w:space="0"/>
              <w:right w:val="single" w:color="auto" w:sz="4" w:space="0"/>
            </w:tcBorders>
            <w:vAlign w:val="center"/>
          </w:tcPr>
          <w:p>
            <w:pPr>
              <w:spacing w:beforeLines="0" w:afterLines="0" w:line="340" w:lineRule="exact"/>
              <w:jc w:val="center"/>
              <w:rPr>
                <w:rFonts w:hint="default" w:ascii="Times New Roman" w:hAnsi="Times New Roman" w:eastAsia="仿宋_GB2312" w:cs="Times New Roman"/>
                <w:bCs/>
                <w:color w:val="auto"/>
                <w:sz w:val="24"/>
                <w:szCs w:val="24"/>
              </w:rPr>
            </w:pPr>
            <w:r>
              <w:rPr>
                <w:rFonts w:hint="default" w:ascii="Times New Roman" w:hAnsi="Times New Roman" w:eastAsia="仿宋_GB2312" w:cs="Times New Roman"/>
                <w:bCs/>
                <w:color w:val="auto"/>
                <w:spacing w:val="0"/>
                <w:sz w:val="24"/>
                <w:szCs w:val="24"/>
              </w:rPr>
              <w:t>降低设计方案批复门槛，出台相关配套文件或调整办事指南。</w:t>
            </w:r>
          </w:p>
        </w:tc>
        <w:tc>
          <w:tcPr>
            <w:tcW w:w="11936" w:type="dxa"/>
            <w:tcBorders>
              <w:top w:val="single" w:color="auto" w:sz="4" w:space="0"/>
              <w:left w:val="nil"/>
              <w:bottom w:val="single" w:color="auto" w:sz="4" w:space="0"/>
              <w:right w:val="single" w:color="auto" w:sz="4" w:space="0"/>
            </w:tcBorders>
            <w:vAlign w:val="center"/>
          </w:tcPr>
          <w:p>
            <w:pPr>
              <w:spacing w:beforeLines="0" w:afterLines="0" w:line="340" w:lineRule="exact"/>
              <w:jc w:val="left"/>
              <w:rPr>
                <w:rFonts w:hint="default" w:ascii="Times New Roman" w:hAnsi="Times New Roman" w:eastAsia="仿宋_GB2312" w:cs="Times New Roman"/>
                <w:bCs/>
                <w:color w:val="auto"/>
                <w:sz w:val="24"/>
                <w:szCs w:val="24"/>
              </w:rPr>
            </w:pPr>
            <w:r>
              <w:rPr>
                <w:rFonts w:hint="default" w:ascii="Times New Roman" w:hAnsi="Times New Roman" w:eastAsia="仿宋_GB2312" w:cs="Times New Roman"/>
                <w:bCs/>
                <w:color w:val="auto"/>
                <w:sz w:val="24"/>
                <w:szCs w:val="24"/>
              </w:rPr>
              <w:t>降低设计方案批复门槛。建设工程规划许可证核发时一并进行设计方案审查，设计方案审查征询环节由发证部门统一征询交通（含轨道交通保护及道路设计衔接）、人防等部门意见。其他部门意见按需征询，各部门对设计方案进行复核，限时答复。</w:t>
            </w:r>
          </w:p>
        </w:tc>
        <w:tc>
          <w:tcPr>
            <w:tcW w:w="1605" w:type="dxa"/>
            <w:tcBorders>
              <w:top w:val="single" w:color="auto" w:sz="4" w:space="0"/>
              <w:left w:val="nil"/>
              <w:bottom w:val="single" w:color="auto" w:sz="4" w:space="0"/>
              <w:right w:val="single" w:color="auto" w:sz="4" w:space="0"/>
            </w:tcBorders>
            <w:vAlign w:val="center"/>
          </w:tcPr>
          <w:p>
            <w:pPr>
              <w:spacing w:beforeLines="0" w:afterLines="0" w:line="340" w:lineRule="exact"/>
              <w:rPr>
                <w:rFonts w:hint="default" w:ascii="Times New Roman" w:hAnsi="Times New Roman" w:eastAsia="仿宋_GB2312" w:cs="Times New Roman"/>
                <w:bCs/>
                <w:color w:val="auto"/>
                <w:sz w:val="24"/>
                <w:szCs w:val="24"/>
              </w:rPr>
            </w:pPr>
            <w:r>
              <w:rPr>
                <w:rFonts w:hint="default" w:ascii="Times New Roman" w:hAnsi="Times New Roman" w:eastAsia="仿宋_GB2312" w:cs="Times New Roman"/>
                <w:bCs/>
                <w:color w:val="auto"/>
                <w:sz w:val="24"/>
                <w:szCs w:val="24"/>
              </w:rPr>
              <w:t>区国规局</w:t>
            </w:r>
          </w:p>
        </w:tc>
        <w:tc>
          <w:tcPr>
            <w:tcW w:w="2571" w:type="dxa"/>
            <w:tcBorders>
              <w:top w:val="single" w:color="auto" w:sz="4" w:space="0"/>
              <w:left w:val="nil"/>
              <w:bottom w:val="single" w:color="auto" w:sz="4" w:space="0"/>
              <w:right w:val="single" w:color="auto" w:sz="4" w:space="0"/>
            </w:tcBorders>
            <w:vAlign w:val="center"/>
          </w:tcPr>
          <w:p>
            <w:pPr>
              <w:spacing w:beforeLines="0" w:afterLines="0" w:line="340" w:lineRule="exact"/>
              <w:rPr>
                <w:rFonts w:hint="default" w:ascii="Times New Roman" w:hAnsi="Times New Roman" w:eastAsia="仿宋_GB2312" w:cs="Times New Roman"/>
                <w:bCs/>
                <w:color w:val="auto"/>
                <w:sz w:val="24"/>
                <w:szCs w:val="24"/>
              </w:rPr>
            </w:pPr>
            <w:r>
              <w:rPr>
                <w:rFonts w:hint="default" w:ascii="Times New Roman" w:hAnsi="Times New Roman" w:eastAsia="仿宋_GB2312" w:cs="Times New Roman"/>
                <w:bCs/>
                <w:color w:val="auto"/>
                <w:sz w:val="24"/>
                <w:szCs w:val="24"/>
              </w:rPr>
              <w:t>区住建局、区民防办、区交通局等行业主管部门</w:t>
            </w:r>
          </w:p>
        </w:tc>
        <w:tc>
          <w:tcPr>
            <w:tcW w:w="1441" w:type="dxa"/>
            <w:tcBorders>
              <w:top w:val="single" w:color="auto" w:sz="4" w:space="0"/>
              <w:left w:val="nil"/>
              <w:bottom w:val="single" w:color="auto" w:sz="4" w:space="0"/>
              <w:right w:val="single" w:color="auto" w:sz="4" w:space="0"/>
            </w:tcBorders>
            <w:vAlign w:val="center"/>
          </w:tcPr>
          <w:p>
            <w:pPr>
              <w:spacing w:beforeLines="0" w:afterLines="0" w:line="300" w:lineRule="exact"/>
              <w:jc w:val="center"/>
              <w:rPr>
                <w:rFonts w:hint="default" w:ascii="Times New Roman" w:hAnsi="Times New Roman" w:eastAsia="仿宋_GB2312" w:cs="Times New Roman"/>
                <w:bCs/>
                <w:color w:val="auto"/>
                <w:sz w:val="24"/>
                <w:szCs w:val="24"/>
              </w:rPr>
            </w:pPr>
            <w:r>
              <w:rPr>
                <w:rFonts w:hint="default" w:ascii="Times New Roman" w:hAnsi="Times New Roman" w:eastAsia="仿宋_GB2312" w:cs="Times New Roman"/>
                <w:bCs/>
                <w:color w:val="auto"/>
                <w:sz w:val="24"/>
                <w:szCs w:val="24"/>
              </w:rPr>
              <w:t>2018-11-15</w:t>
            </w:r>
          </w:p>
        </w:tc>
        <w:tc>
          <w:tcPr>
            <w:tcW w:w="947" w:type="dxa"/>
            <w:tcBorders>
              <w:top w:val="single" w:color="auto" w:sz="4" w:space="0"/>
              <w:left w:val="nil"/>
              <w:bottom w:val="single" w:color="auto" w:sz="4" w:space="0"/>
              <w:right w:val="single" w:color="auto" w:sz="4" w:space="0"/>
            </w:tcBorders>
            <w:vAlign w:val="center"/>
          </w:tcPr>
          <w:p>
            <w:pPr>
              <w:spacing w:beforeLines="0" w:afterLines="0" w:line="300" w:lineRule="exact"/>
              <w:jc w:val="center"/>
              <w:rPr>
                <w:rFonts w:hint="default" w:ascii="Times New Roman" w:hAnsi="Times New Roman" w:eastAsia="仿宋_GB2312" w:cs="Times New Roman"/>
                <w:bCs/>
                <w:color w:val="auto"/>
                <w:sz w:val="24"/>
                <w:szCs w:val="24"/>
              </w:rPr>
            </w:pPr>
          </w:p>
        </w:tc>
      </w:tr>
      <w:tr>
        <w:tblPrEx>
          <w:tblLayout w:type="fixed"/>
          <w:tblCellMar>
            <w:top w:w="0" w:type="dxa"/>
            <w:left w:w="108" w:type="dxa"/>
            <w:bottom w:w="0" w:type="dxa"/>
            <w:right w:w="108" w:type="dxa"/>
          </w:tblCellMar>
        </w:tblPrEx>
        <w:trPr>
          <w:trHeight w:val="23" w:hRule="atLeast"/>
          <w:jc w:val="center"/>
        </w:trPr>
        <w:tc>
          <w:tcPr>
            <w:tcW w:w="921" w:type="dxa"/>
            <w:vMerge w:val="continue"/>
            <w:tcBorders>
              <w:top w:val="nil"/>
              <w:left w:val="single" w:color="auto" w:sz="4" w:space="0"/>
              <w:bottom w:val="single" w:color="000000" w:sz="4" w:space="0"/>
              <w:right w:val="single" w:color="auto" w:sz="4" w:space="0"/>
            </w:tcBorders>
            <w:vAlign w:val="center"/>
          </w:tcPr>
          <w:p>
            <w:pPr>
              <w:spacing w:beforeLines="0" w:afterLines="0" w:line="340" w:lineRule="exact"/>
              <w:jc w:val="center"/>
              <w:rPr>
                <w:rFonts w:hint="default" w:ascii="Times New Roman" w:hAnsi="Times New Roman" w:eastAsia="仿宋_GB2312" w:cs="Times New Roman"/>
                <w:bCs/>
                <w:color w:val="auto"/>
                <w:sz w:val="24"/>
                <w:szCs w:val="24"/>
              </w:rPr>
            </w:pPr>
          </w:p>
        </w:tc>
        <w:tc>
          <w:tcPr>
            <w:tcW w:w="2151" w:type="dxa"/>
            <w:vMerge w:val="continue"/>
            <w:tcBorders>
              <w:top w:val="nil"/>
              <w:left w:val="single" w:color="auto" w:sz="4" w:space="0"/>
              <w:bottom w:val="single" w:color="000000" w:sz="4" w:space="0"/>
              <w:right w:val="single" w:color="auto" w:sz="4" w:space="0"/>
            </w:tcBorders>
            <w:vAlign w:val="center"/>
          </w:tcPr>
          <w:p>
            <w:pPr>
              <w:spacing w:beforeLines="0" w:afterLines="0" w:line="340" w:lineRule="exact"/>
              <w:jc w:val="center"/>
              <w:rPr>
                <w:rFonts w:hint="default" w:ascii="Times New Roman" w:hAnsi="Times New Roman" w:eastAsia="仿宋_GB2312" w:cs="Times New Roman"/>
                <w:bCs/>
                <w:color w:val="auto"/>
                <w:sz w:val="24"/>
                <w:szCs w:val="24"/>
              </w:rPr>
            </w:pPr>
          </w:p>
        </w:tc>
        <w:tc>
          <w:tcPr>
            <w:tcW w:w="11936" w:type="dxa"/>
            <w:tcBorders>
              <w:top w:val="nil"/>
              <w:left w:val="nil"/>
              <w:bottom w:val="single" w:color="auto" w:sz="4" w:space="0"/>
              <w:right w:val="single" w:color="auto" w:sz="4" w:space="0"/>
            </w:tcBorders>
            <w:vAlign w:val="center"/>
          </w:tcPr>
          <w:p>
            <w:pPr>
              <w:spacing w:beforeLines="0" w:afterLines="0" w:line="340" w:lineRule="exact"/>
              <w:jc w:val="left"/>
              <w:rPr>
                <w:rFonts w:hint="default" w:ascii="Times New Roman" w:hAnsi="Times New Roman" w:eastAsia="仿宋_GB2312" w:cs="Times New Roman"/>
                <w:bCs/>
                <w:color w:val="auto"/>
                <w:sz w:val="24"/>
                <w:szCs w:val="24"/>
              </w:rPr>
            </w:pPr>
            <w:r>
              <w:rPr>
                <w:rFonts w:hint="default" w:ascii="Times New Roman" w:hAnsi="Times New Roman" w:eastAsia="仿宋_GB2312" w:cs="Times New Roman"/>
                <w:bCs/>
                <w:color w:val="auto"/>
                <w:sz w:val="24"/>
                <w:szCs w:val="24"/>
              </w:rPr>
              <w:t>对于已核发规划条件的建设项目，建设单位在编制方案过程中，根据实际功能布局进行深化，确需对规划条件中的建筑密度进行调整的，在不增加计算容积率建筑面积，符合城市设计、交通场地设计、建筑间距退让、绿地率等技术条件的前提下，经国土规划部门论证审议明确可按调整思路推进的，直接办理设计方案审查并同步推进控制性详细规划修正方案。</w:t>
            </w:r>
          </w:p>
        </w:tc>
        <w:tc>
          <w:tcPr>
            <w:tcW w:w="1605" w:type="dxa"/>
            <w:tcBorders>
              <w:top w:val="nil"/>
              <w:left w:val="nil"/>
              <w:bottom w:val="single" w:color="auto" w:sz="4" w:space="0"/>
              <w:right w:val="single" w:color="auto" w:sz="4" w:space="0"/>
            </w:tcBorders>
            <w:vAlign w:val="center"/>
          </w:tcPr>
          <w:p>
            <w:pPr>
              <w:spacing w:beforeLines="0" w:afterLines="0" w:line="340" w:lineRule="exact"/>
              <w:rPr>
                <w:rFonts w:hint="default" w:ascii="Times New Roman" w:hAnsi="Times New Roman" w:eastAsia="仿宋_GB2312" w:cs="Times New Roman"/>
                <w:bCs/>
                <w:color w:val="auto"/>
                <w:sz w:val="24"/>
                <w:szCs w:val="24"/>
              </w:rPr>
            </w:pPr>
            <w:r>
              <w:rPr>
                <w:rFonts w:hint="default" w:ascii="Times New Roman" w:hAnsi="Times New Roman" w:eastAsia="仿宋_GB2312" w:cs="Times New Roman"/>
                <w:bCs/>
                <w:color w:val="auto"/>
                <w:sz w:val="24"/>
                <w:szCs w:val="24"/>
              </w:rPr>
              <w:t>区国规局</w:t>
            </w:r>
          </w:p>
        </w:tc>
        <w:tc>
          <w:tcPr>
            <w:tcW w:w="2571" w:type="dxa"/>
            <w:tcBorders>
              <w:top w:val="nil"/>
              <w:left w:val="nil"/>
              <w:bottom w:val="single" w:color="auto" w:sz="4" w:space="0"/>
              <w:right w:val="single" w:color="auto" w:sz="4" w:space="0"/>
            </w:tcBorders>
            <w:vAlign w:val="center"/>
          </w:tcPr>
          <w:p>
            <w:pPr>
              <w:spacing w:beforeLines="0" w:afterLines="0" w:line="340" w:lineRule="exact"/>
              <w:rPr>
                <w:rFonts w:hint="default" w:ascii="Times New Roman" w:hAnsi="Times New Roman" w:eastAsia="仿宋_GB2312" w:cs="Times New Roman"/>
                <w:bCs/>
                <w:color w:val="auto"/>
                <w:sz w:val="24"/>
                <w:szCs w:val="24"/>
              </w:rPr>
            </w:pPr>
            <w:r>
              <w:rPr>
                <w:rFonts w:hint="default" w:ascii="Times New Roman" w:hAnsi="Times New Roman" w:eastAsia="仿宋_GB2312" w:cs="Times New Roman"/>
                <w:bCs/>
                <w:color w:val="auto"/>
                <w:sz w:val="24"/>
                <w:szCs w:val="24"/>
              </w:rPr>
              <w:t>　</w:t>
            </w:r>
          </w:p>
        </w:tc>
        <w:tc>
          <w:tcPr>
            <w:tcW w:w="1441" w:type="dxa"/>
            <w:tcBorders>
              <w:top w:val="nil"/>
              <w:left w:val="nil"/>
              <w:bottom w:val="single" w:color="auto" w:sz="4" w:space="0"/>
              <w:right w:val="single" w:color="auto" w:sz="4" w:space="0"/>
            </w:tcBorders>
            <w:vAlign w:val="center"/>
          </w:tcPr>
          <w:p>
            <w:pPr>
              <w:spacing w:beforeLines="0" w:afterLines="0" w:line="300" w:lineRule="exact"/>
              <w:jc w:val="center"/>
              <w:rPr>
                <w:rFonts w:hint="default" w:ascii="Times New Roman" w:hAnsi="Times New Roman" w:eastAsia="仿宋_GB2312" w:cs="Times New Roman"/>
                <w:bCs/>
                <w:color w:val="auto"/>
                <w:sz w:val="24"/>
                <w:szCs w:val="24"/>
              </w:rPr>
            </w:pPr>
            <w:r>
              <w:rPr>
                <w:rFonts w:hint="default" w:ascii="Times New Roman" w:hAnsi="Times New Roman" w:eastAsia="仿宋_GB2312" w:cs="Times New Roman"/>
                <w:bCs/>
                <w:color w:val="auto"/>
                <w:sz w:val="24"/>
                <w:szCs w:val="24"/>
              </w:rPr>
              <w:t>2018-11-15</w:t>
            </w:r>
          </w:p>
        </w:tc>
        <w:tc>
          <w:tcPr>
            <w:tcW w:w="947" w:type="dxa"/>
            <w:tcBorders>
              <w:top w:val="nil"/>
              <w:left w:val="nil"/>
              <w:bottom w:val="single" w:color="auto" w:sz="4" w:space="0"/>
              <w:right w:val="single" w:color="auto" w:sz="4" w:space="0"/>
            </w:tcBorders>
            <w:vAlign w:val="center"/>
          </w:tcPr>
          <w:p>
            <w:pPr>
              <w:spacing w:beforeLines="0" w:afterLines="0" w:line="300" w:lineRule="exact"/>
              <w:jc w:val="center"/>
              <w:rPr>
                <w:rFonts w:hint="default" w:ascii="Times New Roman" w:hAnsi="Times New Roman" w:eastAsia="仿宋_GB2312" w:cs="Times New Roman"/>
                <w:bCs/>
                <w:color w:val="auto"/>
                <w:sz w:val="24"/>
                <w:szCs w:val="24"/>
              </w:rPr>
            </w:pPr>
          </w:p>
        </w:tc>
      </w:tr>
      <w:tr>
        <w:tblPrEx>
          <w:tblLayout w:type="fixed"/>
          <w:tblCellMar>
            <w:top w:w="0" w:type="dxa"/>
            <w:left w:w="108" w:type="dxa"/>
            <w:bottom w:w="0" w:type="dxa"/>
            <w:right w:w="108" w:type="dxa"/>
          </w:tblCellMar>
        </w:tblPrEx>
        <w:trPr>
          <w:trHeight w:val="23" w:hRule="atLeast"/>
          <w:jc w:val="center"/>
        </w:trPr>
        <w:tc>
          <w:tcPr>
            <w:tcW w:w="921" w:type="dxa"/>
            <w:vMerge w:val="continue"/>
            <w:tcBorders>
              <w:top w:val="nil"/>
              <w:left w:val="single" w:color="auto" w:sz="4" w:space="0"/>
              <w:bottom w:val="single" w:color="000000" w:sz="4" w:space="0"/>
              <w:right w:val="single" w:color="auto" w:sz="4" w:space="0"/>
            </w:tcBorders>
            <w:vAlign w:val="center"/>
          </w:tcPr>
          <w:p>
            <w:pPr>
              <w:spacing w:beforeLines="0" w:afterLines="0" w:line="340" w:lineRule="exact"/>
              <w:jc w:val="center"/>
              <w:rPr>
                <w:rFonts w:hint="default" w:ascii="Times New Roman" w:hAnsi="Times New Roman" w:eastAsia="仿宋_GB2312" w:cs="Times New Roman"/>
                <w:bCs/>
                <w:color w:val="auto"/>
                <w:sz w:val="24"/>
                <w:szCs w:val="24"/>
              </w:rPr>
            </w:pPr>
          </w:p>
        </w:tc>
        <w:tc>
          <w:tcPr>
            <w:tcW w:w="2151" w:type="dxa"/>
            <w:vMerge w:val="continue"/>
            <w:tcBorders>
              <w:top w:val="nil"/>
              <w:left w:val="single" w:color="auto" w:sz="4" w:space="0"/>
              <w:bottom w:val="single" w:color="000000" w:sz="4" w:space="0"/>
              <w:right w:val="single" w:color="auto" w:sz="4" w:space="0"/>
            </w:tcBorders>
            <w:vAlign w:val="center"/>
          </w:tcPr>
          <w:p>
            <w:pPr>
              <w:spacing w:beforeLines="0" w:afterLines="0" w:line="340" w:lineRule="exact"/>
              <w:jc w:val="center"/>
              <w:rPr>
                <w:rFonts w:hint="default" w:ascii="Times New Roman" w:hAnsi="Times New Roman" w:eastAsia="仿宋_GB2312" w:cs="Times New Roman"/>
                <w:bCs/>
                <w:color w:val="auto"/>
                <w:sz w:val="24"/>
                <w:szCs w:val="24"/>
              </w:rPr>
            </w:pPr>
          </w:p>
        </w:tc>
        <w:tc>
          <w:tcPr>
            <w:tcW w:w="11936" w:type="dxa"/>
            <w:tcBorders>
              <w:top w:val="nil"/>
              <w:left w:val="nil"/>
              <w:bottom w:val="single" w:color="auto" w:sz="4" w:space="0"/>
              <w:right w:val="single" w:color="auto" w:sz="4" w:space="0"/>
            </w:tcBorders>
            <w:vAlign w:val="center"/>
          </w:tcPr>
          <w:p>
            <w:pPr>
              <w:spacing w:beforeLines="0" w:afterLines="0" w:line="340" w:lineRule="exact"/>
              <w:jc w:val="left"/>
              <w:rPr>
                <w:rFonts w:hint="default" w:ascii="Times New Roman" w:hAnsi="Times New Roman" w:eastAsia="仿宋_GB2312" w:cs="Times New Roman"/>
                <w:bCs/>
                <w:color w:val="auto"/>
                <w:sz w:val="24"/>
                <w:szCs w:val="24"/>
              </w:rPr>
            </w:pPr>
            <w:r>
              <w:rPr>
                <w:rFonts w:hint="default" w:ascii="Times New Roman" w:hAnsi="Times New Roman" w:eastAsia="仿宋_GB2312" w:cs="Times New Roman"/>
                <w:bCs/>
                <w:color w:val="auto"/>
                <w:sz w:val="24"/>
                <w:szCs w:val="24"/>
              </w:rPr>
              <w:t>建立模拟审批机制，设计方案审查和建设工程规划许可审查环节可以提前开展，符合要求的出具预批复文件，待资料齐全后更换正式批复文件。建设单位可凭预批复文件提前办理其他部门审批手续。</w:t>
            </w:r>
          </w:p>
        </w:tc>
        <w:tc>
          <w:tcPr>
            <w:tcW w:w="1605" w:type="dxa"/>
            <w:tcBorders>
              <w:top w:val="nil"/>
              <w:left w:val="nil"/>
              <w:bottom w:val="single" w:color="auto" w:sz="4" w:space="0"/>
              <w:right w:val="single" w:color="auto" w:sz="4" w:space="0"/>
            </w:tcBorders>
            <w:vAlign w:val="center"/>
          </w:tcPr>
          <w:p>
            <w:pPr>
              <w:spacing w:beforeLines="0" w:afterLines="0" w:line="340" w:lineRule="exact"/>
              <w:rPr>
                <w:rFonts w:hint="default" w:ascii="Times New Roman" w:hAnsi="Times New Roman" w:eastAsia="仿宋_GB2312" w:cs="Times New Roman"/>
                <w:bCs/>
                <w:color w:val="auto"/>
                <w:sz w:val="24"/>
                <w:szCs w:val="24"/>
              </w:rPr>
            </w:pPr>
            <w:r>
              <w:rPr>
                <w:rFonts w:hint="default" w:ascii="Times New Roman" w:hAnsi="Times New Roman" w:eastAsia="仿宋_GB2312" w:cs="Times New Roman"/>
                <w:bCs/>
                <w:color w:val="auto"/>
                <w:sz w:val="24"/>
                <w:szCs w:val="24"/>
              </w:rPr>
              <w:t>区国规局</w:t>
            </w:r>
          </w:p>
        </w:tc>
        <w:tc>
          <w:tcPr>
            <w:tcW w:w="2571" w:type="dxa"/>
            <w:tcBorders>
              <w:top w:val="nil"/>
              <w:left w:val="nil"/>
              <w:bottom w:val="single" w:color="auto" w:sz="4" w:space="0"/>
              <w:right w:val="single" w:color="auto" w:sz="4" w:space="0"/>
            </w:tcBorders>
            <w:vAlign w:val="center"/>
          </w:tcPr>
          <w:p>
            <w:pPr>
              <w:spacing w:beforeLines="0" w:afterLines="0" w:line="340" w:lineRule="exact"/>
              <w:rPr>
                <w:rFonts w:hint="default" w:ascii="Times New Roman" w:hAnsi="Times New Roman" w:eastAsia="仿宋_GB2312" w:cs="Times New Roman"/>
                <w:bCs/>
                <w:color w:val="auto"/>
                <w:sz w:val="24"/>
                <w:szCs w:val="24"/>
              </w:rPr>
            </w:pPr>
            <w:r>
              <w:rPr>
                <w:rFonts w:hint="default" w:ascii="Times New Roman" w:hAnsi="Times New Roman" w:eastAsia="仿宋_GB2312" w:cs="Times New Roman"/>
                <w:bCs/>
                <w:color w:val="auto"/>
                <w:sz w:val="24"/>
                <w:szCs w:val="24"/>
              </w:rPr>
              <w:t>区住建局、区公安局、区民防办等行业主管部门</w:t>
            </w:r>
          </w:p>
        </w:tc>
        <w:tc>
          <w:tcPr>
            <w:tcW w:w="1441" w:type="dxa"/>
            <w:tcBorders>
              <w:top w:val="nil"/>
              <w:left w:val="nil"/>
              <w:bottom w:val="single" w:color="auto" w:sz="4" w:space="0"/>
              <w:right w:val="single" w:color="auto" w:sz="4" w:space="0"/>
            </w:tcBorders>
            <w:vAlign w:val="center"/>
          </w:tcPr>
          <w:p>
            <w:pPr>
              <w:spacing w:beforeLines="0" w:afterLines="0" w:line="300" w:lineRule="exact"/>
              <w:jc w:val="center"/>
              <w:rPr>
                <w:rFonts w:hint="default" w:ascii="Times New Roman" w:hAnsi="Times New Roman" w:eastAsia="仿宋_GB2312" w:cs="Times New Roman"/>
                <w:bCs/>
                <w:color w:val="auto"/>
                <w:sz w:val="24"/>
                <w:szCs w:val="24"/>
              </w:rPr>
            </w:pPr>
            <w:r>
              <w:rPr>
                <w:rFonts w:hint="default" w:ascii="Times New Roman" w:hAnsi="Times New Roman" w:eastAsia="仿宋_GB2312" w:cs="Times New Roman"/>
                <w:bCs/>
                <w:color w:val="auto"/>
                <w:sz w:val="24"/>
                <w:szCs w:val="24"/>
              </w:rPr>
              <w:t>2018-11-15</w:t>
            </w:r>
          </w:p>
        </w:tc>
        <w:tc>
          <w:tcPr>
            <w:tcW w:w="947" w:type="dxa"/>
            <w:tcBorders>
              <w:top w:val="nil"/>
              <w:left w:val="nil"/>
              <w:bottom w:val="single" w:color="auto" w:sz="4" w:space="0"/>
              <w:right w:val="single" w:color="auto" w:sz="4" w:space="0"/>
            </w:tcBorders>
            <w:vAlign w:val="center"/>
          </w:tcPr>
          <w:p>
            <w:pPr>
              <w:spacing w:beforeLines="0" w:afterLines="0" w:line="300" w:lineRule="exact"/>
              <w:jc w:val="center"/>
              <w:rPr>
                <w:rFonts w:hint="default" w:ascii="Times New Roman" w:hAnsi="Times New Roman" w:eastAsia="仿宋_GB2312" w:cs="Times New Roman"/>
                <w:bCs/>
                <w:color w:val="auto"/>
                <w:sz w:val="24"/>
                <w:szCs w:val="24"/>
              </w:rPr>
            </w:pPr>
          </w:p>
        </w:tc>
      </w:tr>
      <w:tr>
        <w:tblPrEx>
          <w:tblLayout w:type="fixed"/>
          <w:tblCellMar>
            <w:top w:w="0" w:type="dxa"/>
            <w:left w:w="108" w:type="dxa"/>
            <w:bottom w:w="0" w:type="dxa"/>
            <w:right w:w="108" w:type="dxa"/>
          </w:tblCellMar>
        </w:tblPrEx>
        <w:trPr>
          <w:trHeight w:val="23" w:hRule="atLeast"/>
          <w:jc w:val="center"/>
        </w:trPr>
        <w:tc>
          <w:tcPr>
            <w:tcW w:w="921" w:type="dxa"/>
            <w:tcBorders>
              <w:top w:val="nil"/>
              <w:left w:val="single" w:color="auto" w:sz="4" w:space="0"/>
              <w:bottom w:val="single" w:color="auto" w:sz="4" w:space="0"/>
              <w:right w:val="single" w:color="auto" w:sz="4" w:space="0"/>
            </w:tcBorders>
            <w:vAlign w:val="center"/>
          </w:tcPr>
          <w:p>
            <w:pPr>
              <w:spacing w:beforeLines="0" w:afterLines="0" w:line="340" w:lineRule="exact"/>
              <w:jc w:val="center"/>
              <w:rPr>
                <w:rFonts w:hint="default" w:ascii="Times New Roman" w:hAnsi="Times New Roman" w:eastAsia="仿宋_GB2312" w:cs="Times New Roman"/>
                <w:bCs/>
                <w:color w:val="auto"/>
                <w:sz w:val="24"/>
                <w:szCs w:val="24"/>
              </w:rPr>
            </w:pPr>
            <w:r>
              <w:rPr>
                <w:rFonts w:hint="default" w:ascii="Times New Roman" w:hAnsi="Times New Roman" w:eastAsia="仿宋_GB2312" w:cs="Times New Roman"/>
                <w:bCs/>
                <w:color w:val="auto"/>
                <w:sz w:val="24"/>
                <w:szCs w:val="24"/>
              </w:rPr>
              <w:t>28</w:t>
            </w:r>
          </w:p>
        </w:tc>
        <w:tc>
          <w:tcPr>
            <w:tcW w:w="2151" w:type="dxa"/>
            <w:tcBorders>
              <w:top w:val="nil"/>
              <w:left w:val="nil"/>
              <w:bottom w:val="single" w:color="auto" w:sz="4" w:space="0"/>
              <w:right w:val="single" w:color="auto" w:sz="4" w:space="0"/>
            </w:tcBorders>
            <w:vAlign w:val="center"/>
          </w:tcPr>
          <w:p>
            <w:pPr>
              <w:spacing w:beforeLines="0" w:afterLines="0" w:line="340" w:lineRule="exact"/>
              <w:jc w:val="center"/>
              <w:rPr>
                <w:rFonts w:hint="default" w:ascii="Times New Roman" w:hAnsi="Times New Roman" w:eastAsia="仿宋_GB2312" w:cs="Times New Roman"/>
                <w:bCs/>
                <w:color w:val="auto"/>
                <w:sz w:val="24"/>
                <w:szCs w:val="24"/>
              </w:rPr>
            </w:pPr>
            <w:r>
              <w:rPr>
                <w:rFonts w:hint="default" w:ascii="Times New Roman" w:hAnsi="Times New Roman" w:eastAsia="仿宋_GB2312" w:cs="Times New Roman"/>
                <w:bCs/>
                <w:color w:val="auto"/>
                <w:sz w:val="24"/>
                <w:szCs w:val="24"/>
              </w:rPr>
              <w:t>推行带方案出让用地制度，分类办理规划审批，调整相关办事指南。</w:t>
            </w:r>
          </w:p>
        </w:tc>
        <w:tc>
          <w:tcPr>
            <w:tcW w:w="11936" w:type="dxa"/>
            <w:tcBorders>
              <w:top w:val="nil"/>
              <w:left w:val="nil"/>
              <w:bottom w:val="single" w:color="auto" w:sz="4" w:space="0"/>
              <w:right w:val="single" w:color="auto" w:sz="4" w:space="0"/>
            </w:tcBorders>
            <w:vAlign w:val="center"/>
          </w:tcPr>
          <w:p>
            <w:pPr>
              <w:spacing w:beforeLines="0" w:afterLines="0" w:line="340" w:lineRule="exact"/>
              <w:jc w:val="left"/>
              <w:rPr>
                <w:rFonts w:hint="default" w:ascii="Times New Roman" w:hAnsi="Times New Roman" w:eastAsia="仿宋_GB2312" w:cs="Times New Roman"/>
                <w:bCs/>
                <w:color w:val="auto"/>
                <w:sz w:val="24"/>
                <w:szCs w:val="24"/>
              </w:rPr>
            </w:pPr>
            <w:r>
              <w:rPr>
                <w:rFonts w:hint="default" w:ascii="Times New Roman" w:hAnsi="Times New Roman" w:eastAsia="仿宋_GB2312" w:cs="Times New Roman"/>
                <w:bCs/>
                <w:color w:val="auto"/>
                <w:sz w:val="24"/>
                <w:szCs w:val="24"/>
              </w:rPr>
              <w:t>1.对于规划明确的产业区块范围内带方案出让用地的工业项目，取消设计方案审查环节，可直接申领建设工程规划许可证，审批时间压缩为2个工作日。</w:t>
            </w:r>
          </w:p>
          <w:p>
            <w:pPr>
              <w:spacing w:beforeLines="0" w:afterLines="0" w:line="340" w:lineRule="exact"/>
              <w:jc w:val="left"/>
              <w:rPr>
                <w:rFonts w:hint="default" w:ascii="Times New Roman" w:hAnsi="Times New Roman" w:eastAsia="仿宋_GB2312" w:cs="Times New Roman"/>
                <w:bCs/>
                <w:color w:val="auto"/>
                <w:sz w:val="24"/>
                <w:szCs w:val="24"/>
              </w:rPr>
            </w:pPr>
            <w:r>
              <w:rPr>
                <w:rFonts w:hint="default" w:ascii="Times New Roman" w:hAnsi="Times New Roman" w:eastAsia="仿宋_GB2312" w:cs="Times New Roman"/>
                <w:bCs/>
                <w:color w:val="auto"/>
                <w:sz w:val="24"/>
                <w:szCs w:val="24"/>
              </w:rPr>
              <w:t>2.不带方案出让用地的产业区块范围内的工业项目，设计方案审批时间压缩为2个工作日。</w:t>
            </w:r>
          </w:p>
          <w:p>
            <w:pPr>
              <w:spacing w:beforeLines="0" w:afterLines="0" w:line="340" w:lineRule="exact"/>
              <w:jc w:val="left"/>
              <w:rPr>
                <w:rFonts w:hint="default" w:ascii="Times New Roman" w:hAnsi="Times New Roman" w:eastAsia="仿宋_GB2312" w:cs="Times New Roman"/>
                <w:bCs/>
                <w:color w:val="auto"/>
                <w:sz w:val="24"/>
                <w:szCs w:val="24"/>
              </w:rPr>
            </w:pPr>
            <w:r>
              <w:rPr>
                <w:rFonts w:hint="default" w:ascii="Times New Roman" w:hAnsi="Times New Roman" w:eastAsia="仿宋_GB2312" w:cs="Times New Roman"/>
                <w:bCs/>
                <w:color w:val="auto"/>
                <w:sz w:val="24"/>
                <w:szCs w:val="24"/>
              </w:rPr>
              <w:t>3.一般项目的设计方案审查时间压缩为10个工作日（含征询意见时间），建设工程规划许可阶段的审批时间压缩为4个工作日。</w:t>
            </w:r>
          </w:p>
          <w:p>
            <w:pPr>
              <w:spacing w:beforeLines="0" w:afterLines="0" w:line="340" w:lineRule="exact"/>
              <w:jc w:val="left"/>
              <w:rPr>
                <w:rFonts w:hint="default" w:ascii="Times New Roman" w:hAnsi="Times New Roman" w:eastAsia="仿宋_GB2312" w:cs="Times New Roman"/>
                <w:bCs/>
                <w:color w:val="auto"/>
                <w:sz w:val="24"/>
                <w:szCs w:val="24"/>
              </w:rPr>
            </w:pPr>
            <w:r>
              <w:rPr>
                <w:rFonts w:hint="default" w:ascii="Times New Roman" w:hAnsi="Times New Roman" w:eastAsia="仿宋_GB2312" w:cs="Times New Roman"/>
                <w:bCs/>
                <w:color w:val="auto"/>
                <w:sz w:val="24"/>
                <w:szCs w:val="24"/>
              </w:rPr>
              <w:t>4.可建用地面积小于10000平方米或单幢的中小型建设项目，免于单独批复设计方案，直接办理建设工程规划许可证。加建、改建、扩建项目可同步办理设计方案审查和建设工程规划许可证审查。</w:t>
            </w:r>
          </w:p>
        </w:tc>
        <w:tc>
          <w:tcPr>
            <w:tcW w:w="1605" w:type="dxa"/>
            <w:tcBorders>
              <w:top w:val="nil"/>
              <w:left w:val="nil"/>
              <w:bottom w:val="single" w:color="auto" w:sz="4" w:space="0"/>
              <w:right w:val="single" w:color="auto" w:sz="4" w:space="0"/>
            </w:tcBorders>
            <w:vAlign w:val="center"/>
          </w:tcPr>
          <w:p>
            <w:pPr>
              <w:spacing w:beforeLines="0" w:afterLines="0" w:line="340" w:lineRule="exact"/>
              <w:rPr>
                <w:rFonts w:hint="default" w:ascii="Times New Roman" w:hAnsi="Times New Roman" w:eastAsia="仿宋_GB2312" w:cs="Times New Roman"/>
                <w:bCs/>
                <w:color w:val="auto"/>
                <w:sz w:val="24"/>
                <w:szCs w:val="24"/>
              </w:rPr>
            </w:pPr>
            <w:r>
              <w:rPr>
                <w:rFonts w:hint="default" w:ascii="Times New Roman" w:hAnsi="Times New Roman" w:eastAsia="仿宋_GB2312" w:cs="Times New Roman"/>
                <w:bCs/>
                <w:color w:val="auto"/>
                <w:sz w:val="24"/>
                <w:szCs w:val="24"/>
              </w:rPr>
              <w:t>区国规局</w:t>
            </w:r>
          </w:p>
        </w:tc>
        <w:tc>
          <w:tcPr>
            <w:tcW w:w="2571" w:type="dxa"/>
            <w:tcBorders>
              <w:top w:val="nil"/>
              <w:left w:val="nil"/>
              <w:bottom w:val="single" w:color="auto" w:sz="4" w:space="0"/>
              <w:right w:val="single" w:color="auto" w:sz="4" w:space="0"/>
            </w:tcBorders>
            <w:vAlign w:val="center"/>
          </w:tcPr>
          <w:p>
            <w:pPr>
              <w:spacing w:beforeLines="0" w:afterLines="0" w:line="340" w:lineRule="exact"/>
              <w:rPr>
                <w:rFonts w:hint="default" w:ascii="Times New Roman" w:hAnsi="Times New Roman" w:eastAsia="仿宋_GB2312" w:cs="Times New Roman"/>
                <w:bCs/>
                <w:color w:val="auto"/>
                <w:sz w:val="24"/>
                <w:szCs w:val="24"/>
              </w:rPr>
            </w:pPr>
            <w:r>
              <w:rPr>
                <w:rFonts w:hint="default" w:ascii="Times New Roman" w:hAnsi="Times New Roman" w:eastAsia="仿宋_GB2312" w:cs="Times New Roman"/>
                <w:bCs/>
                <w:color w:val="auto"/>
                <w:sz w:val="24"/>
                <w:szCs w:val="24"/>
              </w:rPr>
              <w:t>　</w:t>
            </w:r>
          </w:p>
        </w:tc>
        <w:tc>
          <w:tcPr>
            <w:tcW w:w="1441" w:type="dxa"/>
            <w:tcBorders>
              <w:top w:val="nil"/>
              <w:left w:val="nil"/>
              <w:bottom w:val="single" w:color="auto" w:sz="4" w:space="0"/>
              <w:right w:val="single" w:color="auto" w:sz="4" w:space="0"/>
            </w:tcBorders>
            <w:vAlign w:val="center"/>
          </w:tcPr>
          <w:p>
            <w:pPr>
              <w:spacing w:beforeLines="0" w:afterLines="0" w:line="300" w:lineRule="exact"/>
              <w:jc w:val="center"/>
              <w:rPr>
                <w:rFonts w:hint="default" w:ascii="Times New Roman" w:hAnsi="Times New Roman" w:eastAsia="仿宋_GB2312" w:cs="Times New Roman"/>
                <w:bCs/>
                <w:color w:val="auto"/>
                <w:sz w:val="24"/>
                <w:szCs w:val="24"/>
              </w:rPr>
            </w:pPr>
            <w:r>
              <w:rPr>
                <w:rFonts w:hint="default" w:ascii="Times New Roman" w:hAnsi="Times New Roman" w:eastAsia="仿宋_GB2312" w:cs="Times New Roman"/>
                <w:bCs/>
                <w:color w:val="auto"/>
                <w:sz w:val="24"/>
                <w:szCs w:val="24"/>
              </w:rPr>
              <w:t>2018-11-15</w:t>
            </w:r>
          </w:p>
        </w:tc>
        <w:tc>
          <w:tcPr>
            <w:tcW w:w="947" w:type="dxa"/>
            <w:tcBorders>
              <w:top w:val="nil"/>
              <w:left w:val="nil"/>
              <w:bottom w:val="single" w:color="auto" w:sz="4" w:space="0"/>
              <w:right w:val="single" w:color="auto" w:sz="4" w:space="0"/>
            </w:tcBorders>
            <w:vAlign w:val="center"/>
          </w:tcPr>
          <w:p>
            <w:pPr>
              <w:spacing w:beforeLines="0" w:afterLines="0" w:line="300" w:lineRule="exact"/>
              <w:jc w:val="center"/>
              <w:rPr>
                <w:rFonts w:hint="default" w:ascii="Times New Roman" w:hAnsi="Times New Roman" w:eastAsia="仿宋_GB2312" w:cs="Times New Roman"/>
                <w:bCs/>
                <w:color w:val="auto"/>
                <w:sz w:val="24"/>
                <w:szCs w:val="24"/>
              </w:rPr>
            </w:pPr>
          </w:p>
        </w:tc>
      </w:tr>
      <w:tr>
        <w:tblPrEx>
          <w:tblLayout w:type="fixed"/>
          <w:tblCellMar>
            <w:top w:w="0" w:type="dxa"/>
            <w:left w:w="108" w:type="dxa"/>
            <w:bottom w:w="0" w:type="dxa"/>
            <w:right w:w="108" w:type="dxa"/>
          </w:tblCellMar>
        </w:tblPrEx>
        <w:trPr>
          <w:trHeight w:val="23" w:hRule="atLeast"/>
          <w:jc w:val="center"/>
        </w:trPr>
        <w:tc>
          <w:tcPr>
            <w:tcW w:w="921" w:type="dxa"/>
            <w:tcBorders>
              <w:top w:val="single" w:color="auto" w:sz="4" w:space="0"/>
              <w:left w:val="single" w:color="auto" w:sz="4" w:space="0"/>
              <w:bottom w:val="single" w:color="auto" w:sz="4" w:space="0"/>
              <w:right w:val="single" w:color="auto" w:sz="4" w:space="0"/>
            </w:tcBorders>
            <w:vAlign w:val="center"/>
          </w:tcPr>
          <w:p>
            <w:pPr>
              <w:spacing w:beforeLines="0" w:afterLines="0" w:line="340" w:lineRule="exact"/>
              <w:jc w:val="center"/>
              <w:rPr>
                <w:rFonts w:hint="default" w:ascii="Times New Roman" w:hAnsi="Times New Roman" w:eastAsia="仿宋_GB2312" w:cs="Times New Roman"/>
                <w:bCs/>
                <w:color w:val="auto"/>
                <w:sz w:val="24"/>
                <w:szCs w:val="24"/>
              </w:rPr>
            </w:pPr>
            <w:r>
              <w:rPr>
                <w:rFonts w:hint="default" w:ascii="Times New Roman" w:hAnsi="Times New Roman" w:eastAsia="仿宋_GB2312" w:cs="Times New Roman"/>
                <w:bCs/>
                <w:color w:val="auto"/>
                <w:sz w:val="24"/>
                <w:szCs w:val="24"/>
              </w:rPr>
              <w:t>29</w:t>
            </w:r>
          </w:p>
        </w:tc>
        <w:tc>
          <w:tcPr>
            <w:tcW w:w="2151" w:type="dxa"/>
            <w:tcBorders>
              <w:top w:val="single" w:color="auto" w:sz="4" w:space="0"/>
              <w:left w:val="single" w:color="auto" w:sz="4" w:space="0"/>
              <w:bottom w:val="single" w:color="auto" w:sz="4" w:space="0"/>
              <w:right w:val="single" w:color="auto" w:sz="4" w:space="0"/>
            </w:tcBorders>
            <w:vAlign w:val="center"/>
          </w:tcPr>
          <w:p>
            <w:pPr>
              <w:spacing w:beforeLines="0" w:afterLines="0" w:line="340" w:lineRule="exact"/>
              <w:jc w:val="center"/>
              <w:rPr>
                <w:rFonts w:hint="default" w:ascii="Times New Roman" w:hAnsi="Times New Roman" w:eastAsia="仿宋_GB2312" w:cs="Times New Roman"/>
                <w:bCs/>
                <w:color w:val="auto"/>
                <w:sz w:val="24"/>
                <w:szCs w:val="24"/>
              </w:rPr>
            </w:pPr>
            <w:r>
              <w:rPr>
                <w:rFonts w:hint="default" w:ascii="Times New Roman" w:hAnsi="Times New Roman" w:eastAsia="仿宋_GB2312" w:cs="Times New Roman"/>
                <w:bCs/>
                <w:color w:val="auto"/>
                <w:sz w:val="24"/>
                <w:szCs w:val="24"/>
              </w:rPr>
              <w:t>简化重点特殊产业项目或开发区域施工许可手续。</w:t>
            </w:r>
          </w:p>
        </w:tc>
        <w:tc>
          <w:tcPr>
            <w:tcW w:w="11936" w:type="dxa"/>
            <w:tcBorders>
              <w:top w:val="single" w:color="auto" w:sz="4" w:space="0"/>
              <w:left w:val="single" w:color="auto" w:sz="4" w:space="0"/>
              <w:bottom w:val="single" w:color="auto" w:sz="4" w:space="0"/>
              <w:right w:val="single" w:color="auto" w:sz="4" w:space="0"/>
            </w:tcBorders>
            <w:vAlign w:val="center"/>
          </w:tcPr>
          <w:p>
            <w:pPr>
              <w:spacing w:beforeLines="0" w:afterLines="0" w:line="340" w:lineRule="exact"/>
              <w:jc w:val="left"/>
              <w:rPr>
                <w:rFonts w:hint="default" w:ascii="Times New Roman" w:hAnsi="Times New Roman" w:eastAsia="仿宋_GB2312" w:cs="Times New Roman"/>
                <w:bCs/>
                <w:color w:val="auto"/>
                <w:sz w:val="24"/>
                <w:szCs w:val="24"/>
              </w:rPr>
            </w:pPr>
            <w:r>
              <w:rPr>
                <w:rFonts w:hint="default" w:ascii="Times New Roman" w:hAnsi="Times New Roman" w:eastAsia="仿宋_GB2312" w:cs="Times New Roman"/>
                <w:bCs/>
                <w:color w:val="auto"/>
                <w:sz w:val="24"/>
                <w:szCs w:val="24"/>
              </w:rPr>
              <w:t>简化IAB（新一代信息技术、人工智能、生物医药）和NEM（新能源、新材料）产业项目、重点产业园区、特色小镇等开发区域施工许可手续。在区域用地和规划稳定、环境影响评价已完成，满足质量安全监督必要条件的前提下，即可办理施工许可。</w:t>
            </w:r>
          </w:p>
        </w:tc>
        <w:tc>
          <w:tcPr>
            <w:tcW w:w="1605" w:type="dxa"/>
            <w:tcBorders>
              <w:top w:val="single" w:color="auto" w:sz="4" w:space="0"/>
              <w:left w:val="single" w:color="auto" w:sz="4" w:space="0"/>
              <w:bottom w:val="single" w:color="auto" w:sz="4" w:space="0"/>
              <w:right w:val="single" w:color="auto" w:sz="4" w:space="0"/>
            </w:tcBorders>
            <w:vAlign w:val="center"/>
          </w:tcPr>
          <w:p>
            <w:pPr>
              <w:spacing w:beforeLines="0" w:afterLines="0" w:line="340" w:lineRule="exact"/>
              <w:rPr>
                <w:rFonts w:hint="default" w:ascii="Times New Roman" w:hAnsi="Times New Roman" w:eastAsia="仿宋_GB2312" w:cs="Times New Roman"/>
                <w:bCs/>
                <w:color w:val="auto"/>
                <w:sz w:val="24"/>
                <w:szCs w:val="24"/>
              </w:rPr>
            </w:pPr>
            <w:r>
              <w:rPr>
                <w:rFonts w:hint="default" w:ascii="Times New Roman" w:hAnsi="Times New Roman" w:eastAsia="仿宋_GB2312" w:cs="Times New Roman"/>
                <w:bCs/>
                <w:color w:val="auto"/>
                <w:sz w:val="24"/>
                <w:szCs w:val="24"/>
              </w:rPr>
              <w:t>区住建局</w:t>
            </w:r>
          </w:p>
        </w:tc>
        <w:tc>
          <w:tcPr>
            <w:tcW w:w="2571" w:type="dxa"/>
            <w:tcBorders>
              <w:top w:val="single" w:color="auto" w:sz="4" w:space="0"/>
              <w:left w:val="single" w:color="auto" w:sz="4" w:space="0"/>
              <w:bottom w:val="single" w:color="auto" w:sz="4" w:space="0"/>
              <w:right w:val="single" w:color="auto" w:sz="4" w:space="0"/>
            </w:tcBorders>
            <w:vAlign w:val="center"/>
          </w:tcPr>
          <w:p>
            <w:pPr>
              <w:spacing w:beforeLines="0" w:afterLines="0" w:line="340" w:lineRule="exact"/>
              <w:rPr>
                <w:rFonts w:hint="default" w:ascii="Times New Roman" w:hAnsi="Times New Roman" w:eastAsia="仿宋_GB2312" w:cs="Times New Roman"/>
                <w:bCs/>
                <w:color w:val="auto"/>
                <w:sz w:val="24"/>
                <w:szCs w:val="24"/>
              </w:rPr>
            </w:pPr>
            <w:r>
              <w:rPr>
                <w:rFonts w:hint="default" w:ascii="Times New Roman" w:hAnsi="Times New Roman" w:eastAsia="仿宋_GB2312" w:cs="Times New Roman"/>
                <w:bCs/>
                <w:color w:val="auto"/>
                <w:sz w:val="24"/>
                <w:szCs w:val="24"/>
              </w:rPr>
              <w:t>区国规局、区环保局等相关行业主管部门</w:t>
            </w:r>
          </w:p>
        </w:tc>
        <w:tc>
          <w:tcPr>
            <w:tcW w:w="1441" w:type="dxa"/>
            <w:tcBorders>
              <w:top w:val="single" w:color="auto" w:sz="4" w:space="0"/>
              <w:left w:val="single" w:color="auto" w:sz="4" w:space="0"/>
              <w:bottom w:val="single" w:color="auto" w:sz="4" w:space="0"/>
              <w:right w:val="single" w:color="auto" w:sz="4" w:space="0"/>
            </w:tcBorders>
            <w:vAlign w:val="center"/>
          </w:tcPr>
          <w:p>
            <w:pPr>
              <w:spacing w:beforeLines="0" w:afterLines="0" w:line="300" w:lineRule="exact"/>
              <w:jc w:val="center"/>
              <w:rPr>
                <w:rFonts w:hint="default" w:ascii="Times New Roman" w:hAnsi="Times New Roman" w:eastAsia="仿宋_GB2312" w:cs="Times New Roman"/>
                <w:bCs/>
                <w:color w:val="auto"/>
                <w:sz w:val="24"/>
                <w:szCs w:val="24"/>
              </w:rPr>
            </w:pPr>
            <w:r>
              <w:rPr>
                <w:rFonts w:hint="default" w:ascii="Times New Roman" w:hAnsi="Times New Roman" w:eastAsia="仿宋_GB2312" w:cs="Times New Roman"/>
                <w:bCs/>
                <w:color w:val="auto"/>
                <w:sz w:val="24"/>
                <w:szCs w:val="24"/>
              </w:rPr>
              <w:t>2019-1-15</w:t>
            </w:r>
          </w:p>
        </w:tc>
        <w:tc>
          <w:tcPr>
            <w:tcW w:w="947" w:type="dxa"/>
            <w:tcBorders>
              <w:top w:val="single" w:color="auto" w:sz="4" w:space="0"/>
              <w:left w:val="nil"/>
              <w:bottom w:val="single" w:color="auto" w:sz="4" w:space="0"/>
              <w:right w:val="single" w:color="auto" w:sz="4" w:space="0"/>
            </w:tcBorders>
            <w:vAlign w:val="center"/>
          </w:tcPr>
          <w:p>
            <w:pPr>
              <w:spacing w:beforeLines="0" w:afterLines="0" w:line="300" w:lineRule="exact"/>
              <w:jc w:val="center"/>
              <w:rPr>
                <w:rFonts w:hint="default" w:ascii="Times New Roman" w:hAnsi="Times New Roman" w:eastAsia="仿宋_GB2312" w:cs="Times New Roman"/>
                <w:bCs/>
                <w:color w:val="auto"/>
                <w:sz w:val="24"/>
                <w:szCs w:val="24"/>
              </w:rPr>
            </w:pPr>
          </w:p>
        </w:tc>
      </w:tr>
      <w:tr>
        <w:tblPrEx>
          <w:tblLayout w:type="fixed"/>
          <w:tblCellMar>
            <w:top w:w="0" w:type="dxa"/>
            <w:left w:w="108" w:type="dxa"/>
            <w:bottom w:w="0" w:type="dxa"/>
            <w:right w:w="108" w:type="dxa"/>
          </w:tblCellMar>
        </w:tblPrEx>
        <w:trPr>
          <w:trHeight w:val="23" w:hRule="atLeast"/>
          <w:jc w:val="center"/>
        </w:trPr>
        <w:tc>
          <w:tcPr>
            <w:tcW w:w="921" w:type="dxa"/>
            <w:tcBorders>
              <w:top w:val="single" w:color="auto" w:sz="4" w:space="0"/>
              <w:left w:val="single" w:color="auto" w:sz="4" w:space="0"/>
              <w:bottom w:val="single" w:color="auto" w:sz="4" w:space="0"/>
              <w:right w:val="single" w:color="auto" w:sz="4" w:space="0"/>
            </w:tcBorders>
            <w:vAlign w:val="center"/>
          </w:tcPr>
          <w:p>
            <w:pPr>
              <w:spacing w:beforeLines="0" w:afterLines="0" w:line="340" w:lineRule="exact"/>
              <w:jc w:val="center"/>
              <w:rPr>
                <w:rFonts w:hint="default" w:ascii="Times New Roman" w:hAnsi="Times New Roman" w:eastAsia="仿宋_GB2312" w:cs="Times New Roman"/>
                <w:bCs/>
                <w:color w:val="auto"/>
                <w:sz w:val="24"/>
                <w:szCs w:val="24"/>
              </w:rPr>
            </w:pPr>
            <w:r>
              <w:rPr>
                <w:rFonts w:hint="default" w:ascii="Times New Roman" w:hAnsi="Times New Roman" w:eastAsia="仿宋_GB2312" w:cs="Times New Roman"/>
                <w:bCs/>
                <w:color w:val="auto"/>
                <w:sz w:val="24"/>
                <w:szCs w:val="24"/>
              </w:rPr>
              <w:t>30</w:t>
            </w:r>
          </w:p>
        </w:tc>
        <w:tc>
          <w:tcPr>
            <w:tcW w:w="2151" w:type="dxa"/>
            <w:tcBorders>
              <w:top w:val="single" w:color="auto" w:sz="4" w:space="0"/>
              <w:left w:val="single" w:color="auto" w:sz="4" w:space="0"/>
              <w:bottom w:val="single" w:color="auto" w:sz="4" w:space="0"/>
              <w:right w:val="single" w:color="auto" w:sz="4" w:space="0"/>
            </w:tcBorders>
            <w:vAlign w:val="center"/>
          </w:tcPr>
          <w:p>
            <w:pPr>
              <w:spacing w:beforeLines="0" w:afterLines="0" w:line="340" w:lineRule="exact"/>
              <w:jc w:val="center"/>
              <w:rPr>
                <w:rFonts w:hint="default" w:ascii="Times New Roman" w:hAnsi="Times New Roman" w:eastAsia="仿宋_GB2312" w:cs="Times New Roman"/>
                <w:bCs/>
                <w:color w:val="auto"/>
                <w:sz w:val="24"/>
                <w:szCs w:val="24"/>
              </w:rPr>
            </w:pPr>
            <w:r>
              <w:rPr>
                <w:rFonts w:hint="default" w:ascii="Times New Roman" w:hAnsi="Times New Roman" w:eastAsia="仿宋_GB2312" w:cs="Times New Roman"/>
                <w:bCs/>
                <w:color w:val="auto"/>
                <w:sz w:val="24"/>
                <w:szCs w:val="24"/>
              </w:rPr>
              <w:t>建立联合验收机制，制订具体操作办法。</w:t>
            </w:r>
          </w:p>
        </w:tc>
        <w:tc>
          <w:tcPr>
            <w:tcW w:w="11936" w:type="dxa"/>
            <w:tcBorders>
              <w:top w:val="single" w:color="auto" w:sz="4" w:space="0"/>
              <w:left w:val="single" w:color="auto" w:sz="4" w:space="0"/>
              <w:bottom w:val="single" w:color="auto" w:sz="4" w:space="0"/>
              <w:right w:val="single" w:color="auto" w:sz="4" w:space="0"/>
            </w:tcBorders>
            <w:vAlign w:val="center"/>
          </w:tcPr>
          <w:p>
            <w:pPr>
              <w:spacing w:beforeLines="0" w:afterLines="0" w:line="340" w:lineRule="exact"/>
              <w:jc w:val="left"/>
              <w:rPr>
                <w:rFonts w:hint="default" w:ascii="Times New Roman" w:hAnsi="Times New Roman" w:eastAsia="仿宋_GB2312" w:cs="Times New Roman"/>
                <w:bCs/>
                <w:color w:val="auto"/>
                <w:sz w:val="24"/>
                <w:szCs w:val="24"/>
              </w:rPr>
            </w:pPr>
            <w:r>
              <w:rPr>
                <w:rFonts w:hint="default" w:ascii="Times New Roman" w:hAnsi="Times New Roman" w:eastAsia="仿宋_GB2312" w:cs="Times New Roman"/>
                <w:bCs/>
                <w:color w:val="auto"/>
                <w:sz w:val="24"/>
                <w:szCs w:val="24"/>
              </w:rPr>
              <w:t>1.强化建设单位主体责任，由建设单位依法组织工程质量竣工验收，以及环保、人防、卫生防疫、光纤到户通讯配套、水土保持设施等验收，由建设单位出具验收报告。2.建设单位在统一平台上传工程项目验收报告，提出联合验收申请，提交一套验收图纸、一套申报材料。规划、消防、质量监督、建设、环保、人防、卫生等相关行业主管部门实行统一平台办理，信息共享，同步审核，限时办结。各相关行业主管部门或单位可根据需要组织开展现场验收踏勘，在受理后10个工作日内在平台上统一出具验收意见。在工程质量竣工验收及各专项验收核实合格、备案全部通过后，由市、区政务服务中心向建设单位统一送达验收结果文件。</w:t>
            </w:r>
          </w:p>
        </w:tc>
        <w:tc>
          <w:tcPr>
            <w:tcW w:w="1605" w:type="dxa"/>
            <w:tcBorders>
              <w:top w:val="single" w:color="auto" w:sz="4" w:space="0"/>
              <w:left w:val="single" w:color="auto" w:sz="4" w:space="0"/>
              <w:bottom w:val="single" w:color="auto" w:sz="4" w:space="0"/>
              <w:right w:val="single" w:color="auto" w:sz="4" w:space="0"/>
            </w:tcBorders>
            <w:vAlign w:val="center"/>
          </w:tcPr>
          <w:p>
            <w:pPr>
              <w:spacing w:beforeLines="0" w:afterLines="0" w:line="340" w:lineRule="exact"/>
              <w:rPr>
                <w:rFonts w:hint="default" w:ascii="Times New Roman" w:hAnsi="Times New Roman" w:eastAsia="仿宋_GB2312" w:cs="Times New Roman"/>
                <w:bCs/>
                <w:color w:val="auto"/>
                <w:sz w:val="24"/>
                <w:szCs w:val="24"/>
              </w:rPr>
            </w:pPr>
            <w:r>
              <w:rPr>
                <w:rFonts w:hint="default" w:ascii="Times New Roman" w:hAnsi="Times New Roman" w:eastAsia="仿宋_GB2312" w:cs="Times New Roman"/>
                <w:bCs/>
                <w:color w:val="auto"/>
                <w:sz w:val="24"/>
                <w:szCs w:val="24"/>
              </w:rPr>
              <w:t>区住建局</w:t>
            </w:r>
          </w:p>
        </w:tc>
        <w:tc>
          <w:tcPr>
            <w:tcW w:w="2571" w:type="dxa"/>
            <w:tcBorders>
              <w:top w:val="single" w:color="auto" w:sz="4" w:space="0"/>
              <w:left w:val="single" w:color="auto" w:sz="4" w:space="0"/>
              <w:bottom w:val="single" w:color="auto" w:sz="4" w:space="0"/>
              <w:right w:val="single" w:color="auto" w:sz="4" w:space="0"/>
            </w:tcBorders>
            <w:vAlign w:val="center"/>
          </w:tcPr>
          <w:p>
            <w:pPr>
              <w:spacing w:beforeLines="0" w:afterLines="0" w:line="340" w:lineRule="exact"/>
              <w:rPr>
                <w:rFonts w:hint="default" w:ascii="Times New Roman" w:hAnsi="Times New Roman" w:eastAsia="仿宋_GB2312" w:cs="Times New Roman"/>
                <w:bCs/>
                <w:color w:val="auto"/>
                <w:sz w:val="24"/>
                <w:szCs w:val="24"/>
              </w:rPr>
            </w:pPr>
            <w:r>
              <w:rPr>
                <w:rFonts w:hint="default" w:ascii="Times New Roman" w:hAnsi="Times New Roman" w:eastAsia="仿宋_GB2312" w:cs="Times New Roman"/>
                <w:bCs/>
                <w:color w:val="auto"/>
                <w:sz w:val="24"/>
                <w:szCs w:val="24"/>
              </w:rPr>
              <w:t>区政务办、区国规局、区环保局、</w:t>
            </w:r>
          </w:p>
          <w:p>
            <w:pPr>
              <w:spacing w:beforeLines="0" w:afterLines="0" w:line="340" w:lineRule="exact"/>
              <w:rPr>
                <w:rFonts w:hint="default" w:ascii="Times New Roman" w:hAnsi="Times New Roman" w:eastAsia="仿宋_GB2312" w:cs="Times New Roman"/>
                <w:bCs/>
                <w:color w:val="auto"/>
                <w:sz w:val="24"/>
                <w:szCs w:val="24"/>
              </w:rPr>
            </w:pPr>
            <w:r>
              <w:rPr>
                <w:rFonts w:hint="default" w:ascii="Times New Roman" w:hAnsi="Times New Roman" w:eastAsia="仿宋_GB2312" w:cs="Times New Roman"/>
                <w:bCs/>
                <w:color w:val="auto"/>
                <w:sz w:val="24"/>
                <w:szCs w:val="24"/>
              </w:rPr>
              <w:t>区公安局消防大队、区民防办、区水务局、区卫计局等相关行业主管部门</w:t>
            </w:r>
          </w:p>
        </w:tc>
        <w:tc>
          <w:tcPr>
            <w:tcW w:w="1441" w:type="dxa"/>
            <w:tcBorders>
              <w:top w:val="single" w:color="auto" w:sz="4" w:space="0"/>
              <w:left w:val="single" w:color="auto" w:sz="4" w:space="0"/>
              <w:bottom w:val="single" w:color="auto" w:sz="4" w:space="0"/>
              <w:right w:val="single" w:color="auto" w:sz="4" w:space="0"/>
            </w:tcBorders>
            <w:vAlign w:val="center"/>
          </w:tcPr>
          <w:p>
            <w:pPr>
              <w:spacing w:beforeLines="0" w:afterLines="0" w:line="300" w:lineRule="exact"/>
              <w:jc w:val="center"/>
              <w:rPr>
                <w:rFonts w:hint="default" w:ascii="Times New Roman" w:hAnsi="Times New Roman" w:eastAsia="仿宋_GB2312" w:cs="Times New Roman"/>
                <w:bCs/>
                <w:color w:val="auto"/>
                <w:sz w:val="24"/>
                <w:szCs w:val="24"/>
              </w:rPr>
            </w:pPr>
            <w:r>
              <w:rPr>
                <w:rFonts w:hint="default" w:ascii="Times New Roman" w:hAnsi="Times New Roman" w:eastAsia="仿宋_GB2312" w:cs="Times New Roman"/>
                <w:bCs/>
                <w:color w:val="auto"/>
                <w:sz w:val="24"/>
                <w:szCs w:val="24"/>
              </w:rPr>
              <w:t>2018-10-15</w:t>
            </w:r>
          </w:p>
        </w:tc>
        <w:tc>
          <w:tcPr>
            <w:tcW w:w="947" w:type="dxa"/>
            <w:tcBorders>
              <w:top w:val="single" w:color="auto" w:sz="4" w:space="0"/>
              <w:left w:val="nil"/>
              <w:right w:val="single" w:color="auto" w:sz="4" w:space="0"/>
            </w:tcBorders>
            <w:vAlign w:val="center"/>
          </w:tcPr>
          <w:p>
            <w:pPr>
              <w:spacing w:beforeLines="0" w:afterLines="0" w:line="300" w:lineRule="exact"/>
              <w:jc w:val="center"/>
              <w:rPr>
                <w:rFonts w:hint="default" w:ascii="Times New Roman" w:hAnsi="Times New Roman" w:eastAsia="仿宋_GB2312" w:cs="Times New Roman"/>
                <w:bCs/>
                <w:color w:val="auto"/>
                <w:sz w:val="24"/>
                <w:szCs w:val="24"/>
              </w:rPr>
            </w:pPr>
          </w:p>
        </w:tc>
      </w:tr>
      <w:tr>
        <w:tblPrEx>
          <w:tblLayout w:type="fixed"/>
          <w:tblCellMar>
            <w:top w:w="0" w:type="dxa"/>
            <w:left w:w="108" w:type="dxa"/>
            <w:bottom w:w="0" w:type="dxa"/>
            <w:right w:w="108" w:type="dxa"/>
          </w:tblCellMar>
        </w:tblPrEx>
        <w:trPr>
          <w:trHeight w:val="23" w:hRule="atLeast"/>
          <w:jc w:val="center"/>
        </w:trPr>
        <w:tc>
          <w:tcPr>
            <w:tcW w:w="921" w:type="dxa"/>
            <w:vMerge w:val="restart"/>
            <w:tcBorders>
              <w:top w:val="single" w:color="auto" w:sz="4" w:space="0"/>
              <w:left w:val="single" w:color="auto" w:sz="4" w:space="0"/>
              <w:bottom w:val="single" w:color="auto" w:sz="4" w:space="0"/>
              <w:right w:val="single" w:color="auto" w:sz="4" w:space="0"/>
            </w:tcBorders>
            <w:vAlign w:val="center"/>
          </w:tcPr>
          <w:p>
            <w:pPr>
              <w:spacing w:beforeLines="0" w:afterLines="0" w:line="300" w:lineRule="exact"/>
              <w:jc w:val="center"/>
              <w:rPr>
                <w:rFonts w:hint="default" w:ascii="Times New Roman" w:hAnsi="Times New Roman" w:eastAsia="仿宋_GB2312" w:cs="Times New Roman"/>
                <w:bCs/>
                <w:color w:val="auto"/>
                <w:sz w:val="24"/>
                <w:szCs w:val="24"/>
              </w:rPr>
            </w:pPr>
            <w:r>
              <w:rPr>
                <w:rFonts w:hint="default" w:ascii="Times New Roman" w:hAnsi="Times New Roman" w:eastAsia="仿宋_GB2312" w:cs="Times New Roman"/>
                <w:bCs/>
                <w:color w:val="auto"/>
                <w:sz w:val="24"/>
                <w:szCs w:val="24"/>
              </w:rPr>
              <w:t>31</w:t>
            </w:r>
          </w:p>
        </w:tc>
        <w:tc>
          <w:tcPr>
            <w:tcW w:w="2151" w:type="dxa"/>
            <w:vMerge w:val="restart"/>
            <w:tcBorders>
              <w:top w:val="single" w:color="auto" w:sz="4" w:space="0"/>
              <w:left w:val="single" w:color="auto" w:sz="4" w:space="0"/>
              <w:bottom w:val="single" w:color="auto" w:sz="4" w:space="0"/>
              <w:right w:val="single" w:color="auto" w:sz="4" w:space="0"/>
            </w:tcBorders>
            <w:vAlign w:val="center"/>
          </w:tcPr>
          <w:p>
            <w:pPr>
              <w:spacing w:beforeLines="0" w:afterLines="0" w:line="300" w:lineRule="exact"/>
              <w:jc w:val="center"/>
              <w:rPr>
                <w:rFonts w:hint="default" w:ascii="Times New Roman" w:hAnsi="Times New Roman" w:eastAsia="仿宋_GB2312" w:cs="Times New Roman"/>
                <w:bCs/>
                <w:color w:val="auto"/>
                <w:sz w:val="24"/>
                <w:szCs w:val="24"/>
              </w:rPr>
            </w:pPr>
            <w:r>
              <w:rPr>
                <w:rFonts w:hint="default" w:ascii="Times New Roman" w:hAnsi="Times New Roman" w:eastAsia="仿宋_GB2312" w:cs="Times New Roman"/>
                <w:bCs/>
                <w:color w:val="auto"/>
                <w:sz w:val="24"/>
                <w:szCs w:val="24"/>
              </w:rPr>
              <w:t>调整审批时序，优化市政公用服务报装，调整相关办事指引。</w:t>
            </w:r>
          </w:p>
        </w:tc>
        <w:tc>
          <w:tcPr>
            <w:tcW w:w="11936" w:type="dxa"/>
            <w:tcBorders>
              <w:top w:val="single" w:color="auto" w:sz="4" w:space="0"/>
              <w:left w:val="single" w:color="auto" w:sz="4" w:space="0"/>
              <w:bottom w:val="single" w:color="auto" w:sz="4" w:space="0"/>
              <w:right w:val="single" w:color="auto" w:sz="4" w:space="0"/>
            </w:tcBorders>
            <w:vAlign w:val="center"/>
          </w:tcPr>
          <w:p>
            <w:pPr>
              <w:spacing w:beforeLines="0" w:afterLines="0" w:line="300" w:lineRule="exact"/>
              <w:jc w:val="left"/>
              <w:rPr>
                <w:rFonts w:hint="default" w:ascii="Times New Roman" w:hAnsi="Times New Roman" w:eastAsia="仿宋_GB2312" w:cs="Times New Roman"/>
                <w:bCs/>
                <w:color w:val="auto"/>
                <w:sz w:val="24"/>
                <w:szCs w:val="24"/>
              </w:rPr>
            </w:pPr>
            <w:r>
              <w:rPr>
                <w:rFonts w:hint="default" w:ascii="Times New Roman" w:hAnsi="Times New Roman" w:eastAsia="仿宋_GB2312" w:cs="Times New Roman"/>
                <w:bCs/>
                <w:color w:val="auto"/>
                <w:sz w:val="24"/>
                <w:szCs w:val="24"/>
              </w:rPr>
              <w:t>供水、供电、燃气、热力、排水、通信等市政公用基础设施迁改、连接设计要求在土地出让前明确，用地红线范围内免予审批，报装提前到施工许可证核发前办理，在工程施工阶段同步完成相关设施建设，竣工验收后直接办理接入事宜。</w:t>
            </w:r>
          </w:p>
        </w:tc>
        <w:tc>
          <w:tcPr>
            <w:tcW w:w="1605" w:type="dxa"/>
            <w:tcBorders>
              <w:top w:val="single" w:color="auto" w:sz="4" w:space="0"/>
              <w:left w:val="single" w:color="auto" w:sz="4" w:space="0"/>
              <w:bottom w:val="single" w:color="auto" w:sz="4" w:space="0"/>
              <w:right w:val="single" w:color="auto" w:sz="4" w:space="0"/>
            </w:tcBorders>
            <w:vAlign w:val="center"/>
          </w:tcPr>
          <w:p>
            <w:pPr>
              <w:spacing w:beforeLines="0" w:afterLines="0" w:line="300" w:lineRule="exact"/>
              <w:rPr>
                <w:rFonts w:hint="default" w:ascii="Times New Roman" w:hAnsi="Times New Roman" w:eastAsia="仿宋_GB2312" w:cs="Times New Roman"/>
                <w:bCs/>
                <w:color w:val="auto"/>
                <w:sz w:val="24"/>
                <w:szCs w:val="24"/>
              </w:rPr>
            </w:pPr>
            <w:r>
              <w:rPr>
                <w:rFonts w:hint="default" w:ascii="Times New Roman" w:hAnsi="Times New Roman" w:eastAsia="仿宋_GB2312" w:cs="Times New Roman"/>
                <w:bCs/>
                <w:color w:val="auto"/>
                <w:sz w:val="24"/>
                <w:szCs w:val="24"/>
              </w:rPr>
              <w:t>供水、供电、燃气、通信等公共服务企业</w:t>
            </w:r>
          </w:p>
        </w:tc>
        <w:tc>
          <w:tcPr>
            <w:tcW w:w="2571" w:type="dxa"/>
            <w:tcBorders>
              <w:top w:val="single" w:color="auto" w:sz="4" w:space="0"/>
              <w:left w:val="single" w:color="auto" w:sz="4" w:space="0"/>
              <w:bottom w:val="single" w:color="auto" w:sz="4" w:space="0"/>
              <w:right w:val="single" w:color="auto" w:sz="4" w:space="0"/>
            </w:tcBorders>
            <w:vAlign w:val="center"/>
          </w:tcPr>
          <w:p>
            <w:pPr>
              <w:spacing w:beforeLines="0" w:afterLines="0" w:line="300" w:lineRule="exact"/>
              <w:rPr>
                <w:rFonts w:hint="default" w:ascii="Times New Roman" w:hAnsi="Times New Roman" w:eastAsia="仿宋_GB2312" w:cs="Times New Roman"/>
                <w:bCs/>
                <w:color w:val="auto"/>
                <w:sz w:val="24"/>
                <w:szCs w:val="24"/>
              </w:rPr>
            </w:pPr>
            <w:r>
              <w:rPr>
                <w:rFonts w:hint="default" w:ascii="Times New Roman" w:hAnsi="Times New Roman" w:eastAsia="仿宋_GB2312" w:cs="Times New Roman"/>
                <w:bCs/>
                <w:color w:val="auto"/>
                <w:sz w:val="24"/>
                <w:szCs w:val="24"/>
              </w:rPr>
              <w:t>区国规局、区住建局、区城管局等相关行业主管部门</w:t>
            </w:r>
          </w:p>
        </w:tc>
        <w:tc>
          <w:tcPr>
            <w:tcW w:w="1441" w:type="dxa"/>
            <w:tcBorders>
              <w:top w:val="single" w:color="auto" w:sz="4" w:space="0"/>
              <w:left w:val="single" w:color="auto" w:sz="4" w:space="0"/>
              <w:bottom w:val="single" w:color="auto" w:sz="4" w:space="0"/>
              <w:right w:val="single" w:color="auto" w:sz="4" w:space="0"/>
            </w:tcBorders>
            <w:vAlign w:val="center"/>
          </w:tcPr>
          <w:p>
            <w:pPr>
              <w:spacing w:beforeLines="0" w:afterLines="0" w:line="300" w:lineRule="exact"/>
              <w:jc w:val="center"/>
              <w:rPr>
                <w:rFonts w:hint="default" w:ascii="Times New Roman" w:hAnsi="Times New Roman" w:eastAsia="仿宋_GB2312" w:cs="Times New Roman"/>
                <w:bCs/>
                <w:color w:val="auto"/>
                <w:sz w:val="24"/>
                <w:szCs w:val="24"/>
              </w:rPr>
            </w:pPr>
            <w:r>
              <w:rPr>
                <w:rFonts w:hint="default" w:ascii="Times New Roman" w:hAnsi="Times New Roman" w:eastAsia="仿宋_GB2312" w:cs="Times New Roman"/>
                <w:bCs/>
                <w:color w:val="auto"/>
                <w:sz w:val="24"/>
                <w:szCs w:val="24"/>
              </w:rPr>
              <w:t>2018-11-15</w:t>
            </w:r>
          </w:p>
        </w:tc>
        <w:tc>
          <w:tcPr>
            <w:tcW w:w="947" w:type="dxa"/>
            <w:tcBorders>
              <w:left w:val="nil"/>
              <w:bottom w:val="single" w:color="auto" w:sz="4" w:space="0"/>
              <w:right w:val="single" w:color="auto" w:sz="4" w:space="0"/>
            </w:tcBorders>
            <w:vAlign w:val="center"/>
          </w:tcPr>
          <w:p>
            <w:pPr>
              <w:spacing w:beforeLines="0" w:afterLines="0" w:line="300" w:lineRule="exact"/>
              <w:jc w:val="center"/>
              <w:rPr>
                <w:rFonts w:hint="default" w:ascii="Times New Roman" w:hAnsi="Times New Roman" w:eastAsia="仿宋_GB2312" w:cs="Times New Roman"/>
                <w:bCs/>
                <w:color w:val="auto"/>
                <w:sz w:val="24"/>
                <w:szCs w:val="24"/>
              </w:rPr>
            </w:pPr>
          </w:p>
        </w:tc>
      </w:tr>
      <w:tr>
        <w:tblPrEx>
          <w:tblLayout w:type="fixed"/>
          <w:tblCellMar>
            <w:top w:w="0" w:type="dxa"/>
            <w:left w:w="108" w:type="dxa"/>
            <w:bottom w:w="0" w:type="dxa"/>
            <w:right w:w="108" w:type="dxa"/>
          </w:tblCellMar>
        </w:tblPrEx>
        <w:trPr>
          <w:trHeight w:val="23" w:hRule="atLeast"/>
          <w:jc w:val="center"/>
        </w:trPr>
        <w:tc>
          <w:tcPr>
            <w:tcW w:w="921" w:type="dxa"/>
            <w:vMerge w:val="continue"/>
            <w:tcBorders>
              <w:top w:val="single" w:color="auto" w:sz="4" w:space="0"/>
              <w:left w:val="single" w:color="auto" w:sz="4" w:space="0"/>
              <w:bottom w:val="single" w:color="auto" w:sz="4" w:space="0"/>
              <w:right w:val="single" w:color="auto" w:sz="4" w:space="0"/>
            </w:tcBorders>
            <w:vAlign w:val="center"/>
          </w:tcPr>
          <w:p>
            <w:pPr>
              <w:spacing w:beforeLines="0" w:afterLines="0" w:line="300" w:lineRule="exact"/>
              <w:jc w:val="center"/>
              <w:rPr>
                <w:rFonts w:hint="default" w:ascii="Times New Roman" w:hAnsi="Times New Roman" w:eastAsia="仿宋_GB2312" w:cs="Times New Roman"/>
                <w:bCs/>
                <w:color w:val="auto"/>
                <w:sz w:val="24"/>
                <w:szCs w:val="24"/>
              </w:rPr>
            </w:pPr>
          </w:p>
        </w:tc>
        <w:tc>
          <w:tcPr>
            <w:tcW w:w="2151" w:type="dxa"/>
            <w:vMerge w:val="continue"/>
            <w:tcBorders>
              <w:top w:val="single" w:color="auto" w:sz="4" w:space="0"/>
              <w:left w:val="single" w:color="auto" w:sz="4" w:space="0"/>
              <w:bottom w:val="single" w:color="auto" w:sz="4" w:space="0"/>
              <w:right w:val="single" w:color="auto" w:sz="4" w:space="0"/>
            </w:tcBorders>
            <w:vAlign w:val="center"/>
          </w:tcPr>
          <w:p>
            <w:pPr>
              <w:spacing w:beforeLines="0" w:afterLines="0" w:line="300" w:lineRule="exact"/>
              <w:jc w:val="center"/>
              <w:rPr>
                <w:rFonts w:hint="default" w:ascii="Times New Roman" w:hAnsi="Times New Roman" w:eastAsia="仿宋_GB2312" w:cs="Times New Roman"/>
                <w:bCs/>
                <w:color w:val="auto"/>
                <w:sz w:val="24"/>
                <w:szCs w:val="24"/>
              </w:rPr>
            </w:pPr>
          </w:p>
        </w:tc>
        <w:tc>
          <w:tcPr>
            <w:tcW w:w="11936" w:type="dxa"/>
            <w:tcBorders>
              <w:top w:val="single" w:color="auto" w:sz="4" w:space="0"/>
              <w:left w:val="single" w:color="auto" w:sz="4" w:space="0"/>
              <w:bottom w:val="single" w:color="auto" w:sz="4" w:space="0"/>
              <w:right w:val="single" w:color="auto" w:sz="4" w:space="0"/>
            </w:tcBorders>
            <w:vAlign w:val="center"/>
          </w:tcPr>
          <w:p>
            <w:pPr>
              <w:spacing w:beforeLines="0" w:afterLines="0" w:line="300" w:lineRule="exact"/>
              <w:jc w:val="left"/>
              <w:rPr>
                <w:rFonts w:hint="default" w:ascii="Times New Roman" w:hAnsi="Times New Roman" w:eastAsia="仿宋_GB2312" w:cs="Times New Roman"/>
                <w:bCs/>
                <w:color w:val="auto"/>
                <w:sz w:val="24"/>
                <w:szCs w:val="24"/>
              </w:rPr>
            </w:pPr>
            <w:r>
              <w:rPr>
                <w:rFonts w:hint="default" w:ascii="Times New Roman" w:hAnsi="Times New Roman" w:eastAsia="仿宋_GB2312" w:cs="Times New Roman"/>
                <w:bCs/>
                <w:color w:val="auto"/>
                <w:sz w:val="24"/>
                <w:szCs w:val="24"/>
              </w:rPr>
              <w:t>工程施工过程中涉及占用、迁改市政基础设施、排水设施、道路、公路、绿地的审批，由建设单位按需提出申请，各行业主管部门通过全市统一审批监管平台并联审批，限时办结。健全管线管理综合统筹协调工作机制，强化各管线行业主管部门管理责任，协同推进项目管线敷设工作，积极探索新型管理模式。</w:t>
            </w:r>
          </w:p>
        </w:tc>
        <w:tc>
          <w:tcPr>
            <w:tcW w:w="1605" w:type="dxa"/>
            <w:tcBorders>
              <w:top w:val="single" w:color="auto" w:sz="4" w:space="0"/>
              <w:left w:val="single" w:color="auto" w:sz="4" w:space="0"/>
              <w:bottom w:val="single" w:color="auto" w:sz="4" w:space="0"/>
              <w:right w:val="single" w:color="auto" w:sz="4" w:space="0"/>
            </w:tcBorders>
            <w:vAlign w:val="center"/>
          </w:tcPr>
          <w:p>
            <w:pPr>
              <w:spacing w:beforeLines="0" w:afterLines="0" w:line="300" w:lineRule="exact"/>
              <w:rPr>
                <w:rFonts w:hint="default" w:ascii="Times New Roman" w:hAnsi="Times New Roman" w:eastAsia="仿宋_GB2312" w:cs="Times New Roman"/>
                <w:bCs/>
                <w:color w:val="auto"/>
                <w:sz w:val="24"/>
                <w:szCs w:val="24"/>
              </w:rPr>
            </w:pPr>
            <w:r>
              <w:rPr>
                <w:rFonts w:hint="default" w:ascii="Times New Roman" w:hAnsi="Times New Roman" w:eastAsia="仿宋_GB2312" w:cs="Times New Roman"/>
                <w:bCs/>
                <w:color w:val="auto"/>
                <w:sz w:val="24"/>
                <w:szCs w:val="24"/>
              </w:rPr>
              <w:t>区住建局、区交通局、区水务局、区林业和园林局等相关行业主管部门，供水、供电、燃气、通信等管线公共服务企业</w:t>
            </w:r>
          </w:p>
        </w:tc>
        <w:tc>
          <w:tcPr>
            <w:tcW w:w="2571" w:type="dxa"/>
            <w:tcBorders>
              <w:top w:val="single" w:color="auto" w:sz="4" w:space="0"/>
              <w:left w:val="single" w:color="auto" w:sz="4" w:space="0"/>
              <w:bottom w:val="single" w:color="auto" w:sz="4" w:space="0"/>
              <w:right w:val="single" w:color="auto" w:sz="4" w:space="0"/>
            </w:tcBorders>
            <w:vAlign w:val="center"/>
          </w:tcPr>
          <w:p>
            <w:pPr>
              <w:spacing w:beforeLines="0" w:afterLines="0" w:line="300" w:lineRule="exact"/>
              <w:rPr>
                <w:rFonts w:hint="default" w:ascii="Times New Roman" w:hAnsi="Times New Roman" w:eastAsia="仿宋_GB2312" w:cs="Times New Roman"/>
                <w:bCs/>
                <w:color w:val="auto"/>
                <w:sz w:val="24"/>
                <w:szCs w:val="24"/>
              </w:rPr>
            </w:pPr>
            <w:r>
              <w:rPr>
                <w:rFonts w:hint="default" w:ascii="Times New Roman" w:hAnsi="Times New Roman" w:eastAsia="仿宋_GB2312" w:cs="Times New Roman"/>
                <w:bCs/>
                <w:color w:val="auto"/>
                <w:sz w:val="24"/>
                <w:szCs w:val="24"/>
              </w:rPr>
              <w:t>　</w:t>
            </w:r>
          </w:p>
        </w:tc>
        <w:tc>
          <w:tcPr>
            <w:tcW w:w="1441" w:type="dxa"/>
            <w:tcBorders>
              <w:top w:val="single" w:color="auto" w:sz="4" w:space="0"/>
              <w:left w:val="single" w:color="auto" w:sz="4" w:space="0"/>
              <w:bottom w:val="single" w:color="auto" w:sz="4" w:space="0"/>
              <w:right w:val="single" w:color="auto" w:sz="4" w:space="0"/>
            </w:tcBorders>
            <w:vAlign w:val="center"/>
          </w:tcPr>
          <w:p>
            <w:pPr>
              <w:spacing w:beforeLines="0" w:afterLines="0" w:line="300" w:lineRule="exact"/>
              <w:jc w:val="center"/>
              <w:rPr>
                <w:rFonts w:hint="default" w:ascii="Times New Roman" w:hAnsi="Times New Roman" w:eastAsia="仿宋_GB2312" w:cs="Times New Roman"/>
                <w:bCs/>
                <w:color w:val="auto"/>
                <w:sz w:val="24"/>
                <w:szCs w:val="24"/>
              </w:rPr>
            </w:pPr>
            <w:r>
              <w:rPr>
                <w:rFonts w:hint="default" w:ascii="Times New Roman" w:hAnsi="Times New Roman" w:eastAsia="仿宋_GB2312" w:cs="Times New Roman"/>
                <w:bCs/>
                <w:color w:val="auto"/>
                <w:sz w:val="24"/>
                <w:szCs w:val="24"/>
              </w:rPr>
              <w:t>2018-10-15</w:t>
            </w:r>
          </w:p>
        </w:tc>
        <w:tc>
          <w:tcPr>
            <w:tcW w:w="947" w:type="dxa"/>
            <w:tcBorders>
              <w:top w:val="nil"/>
              <w:left w:val="nil"/>
              <w:bottom w:val="single" w:color="auto" w:sz="4" w:space="0"/>
              <w:right w:val="single" w:color="auto" w:sz="4" w:space="0"/>
            </w:tcBorders>
            <w:vAlign w:val="center"/>
          </w:tcPr>
          <w:p>
            <w:pPr>
              <w:spacing w:beforeLines="0" w:afterLines="0" w:line="300" w:lineRule="exact"/>
              <w:jc w:val="center"/>
              <w:rPr>
                <w:rFonts w:hint="default" w:ascii="Times New Roman" w:hAnsi="Times New Roman" w:eastAsia="仿宋_GB2312" w:cs="Times New Roman"/>
                <w:bCs/>
                <w:color w:val="auto"/>
                <w:sz w:val="24"/>
                <w:szCs w:val="24"/>
              </w:rPr>
            </w:pPr>
          </w:p>
        </w:tc>
      </w:tr>
    </w:tbl>
    <w:p>
      <w:pPr>
        <w:snapToGrid w:val="0"/>
        <w:spacing w:line="640" w:lineRule="exact"/>
        <w:rPr>
          <w:rFonts w:hint="default" w:ascii="Times New Roman" w:hAnsi="Times New Roman" w:eastAsia="黑体" w:cs="Times New Roman"/>
          <w:sz w:val="32"/>
          <w:szCs w:val="32"/>
        </w:rPr>
      </w:pPr>
    </w:p>
    <w:p>
      <w:pPr>
        <w:snapToGrid w:val="0"/>
        <w:spacing w:line="640" w:lineRule="exact"/>
        <w:rPr>
          <w:rFonts w:hint="default" w:ascii="Times New Roman" w:hAnsi="Times New Roman" w:eastAsia="黑体" w:cs="Times New Roman"/>
          <w:sz w:val="32"/>
          <w:szCs w:val="32"/>
        </w:rPr>
      </w:pPr>
    </w:p>
    <w:p>
      <w:pPr>
        <w:snapToGrid w:val="0"/>
        <w:spacing w:line="640" w:lineRule="exact"/>
        <w:rPr>
          <w:rFonts w:hint="default" w:ascii="Times New Roman" w:hAnsi="Times New Roman" w:eastAsia="黑体" w:cs="Times New Roman"/>
          <w:sz w:val="32"/>
          <w:szCs w:val="32"/>
        </w:rPr>
      </w:pPr>
    </w:p>
    <w:p>
      <w:pPr>
        <w:snapToGrid w:val="0"/>
        <w:spacing w:line="640" w:lineRule="exact"/>
        <w:rPr>
          <w:rFonts w:hint="default" w:ascii="Times New Roman" w:hAnsi="Times New Roman" w:eastAsia="黑体" w:cs="Times New Roman"/>
          <w:sz w:val="32"/>
          <w:szCs w:val="32"/>
        </w:rPr>
      </w:pPr>
    </w:p>
    <w:p>
      <w:pPr>
        <w:snapToGrid w:val="0"/>
        <w:spacing w:line="640" w:lineRule="exact"/>
        <w:rPr>
          <w:rFonts w:hint="default" w:ascii="Times New Roman" w:hAnsi="Times New Roman" w:eastAsia="黑体" w:cs="Times New Roman"/>
          <w:sz w:val="32"/>
          <w:szCs w:val="32"/>
        </w:rPr>
      </w:pPr>
    </w:p>
    <w:p>
      <w:pPr>
        <w:snapToGrid w:val="0"/>
        <w:spacing w:line="640" w:lineRule="exact"/>
        <w:rPr>
          <w:rFonts w:hint="default" w:ascii="Times New Roman" w:hAnsi="Times New Roman" w:eastAsia="黑体" w:cs="Times New Roman"/>
          <w:sz w:val="32"/>
          <w:szCs w:val="32"/>
        </w:rPr>
      </w:pPr>
    </w:p>
    <w:p>
      <w:pPr>
        <w:snapToGrid w:val="0"/>
        <w:spacing w:line="640" w:lineRule="exact"/>
        <w:rPr>
          <w:rFonts w:hint="default" w:ascii="Times New Roman" w:hAnsi="Times New Roman" w:eastAsia="黑体" w:cs="Times New Roman"/>
          <w:sz w:val="32"/>
          <w:szCs w:val="32"/>
        </w:rPr>
      </w:pPr>
    </w:p>
    <w:p/>
    <w:sectPr>
      <w:pgSz w:w="23757" w:h="16783"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0E78CF"/>
    <w:rsid w:val="380E78CF"/>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从化区科工商信局</Company>
  <Pages>1</Pages>
  <Words>0</Words>
  <Characters>0</Characters>
  <Lines>0</Lines>
  <Paragraphs>0</Paragraphs>
  <ScaleCrop>false</ScaleCrop>
  <LinksUpToDate>false</LinksUpToDate>
  <CharactersWithSpaces>0</CharactersWithSpaces>
  <Application>WPS Office_10.8.0.5950_F1E327BC-269C-435d-A152-05C5408002CA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2018-11-08T02:17:00Z</dcterms:created>
  <dc:creator>办公室主任测试</dc:creator>
  <cp:lastModifiedBy>办公室主任测试</cp:lastModifiedBy>
  <dcterms:modified xsi:type="dcterms:W3CDTF">2018-11-08T02:18:53Z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2052-10.8.0.5950</vt:lpwstr>
  </property>
</Properties>
</file>