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0" w:afterAutospacing="0" w:line="575" w:lineRule="atLeast"/>
        <w:ind w:firstLine="0"/>
        <w:jc w:val="both"/>
        <w:outlineLvl w:val="9"/>
        <w:rPr>
          <w:rFonts w:ascii="Times New Roman" w:hAnsi="Times New Roman"/>
          <w:color w:val="000000"/>
          <w:sz w:val="21"/>
          <w:szCs w:val="21"/>
        </w:rPr>
      </w:pPr>
      <w:r>
        <w:rPr>
          <w:rFonts w:hint="eastAsia" w:ascii="黑体" w:hAnsi="黑体" w:eastAsia="黑体" w:cs="黑体"/>
          <w:color w:val="000000"/>
          <w:sz w:val="32"/>
          <w:szCs w:val="32"/>
        </w:rPr>
        <w:t>附件</w:t>
      </w:r>
    </w:p>
    <w:p>
      <w:pPr>
        <w:pStyle w:val="3"/>
        <w:widowControl/>
        <w:spacing w:beforeLines="0" w:beforeAutospacing="0" w:afterLines="0" w:afterAutospacing="0" w:line="760" w:lineRule="exact"/>
        <w:ind w:firstLine="0"/>
        <w:jc w:val="center"/>
        <w:rPr>
          <w:rFonts w:hint="eastAsia" w:ascii="方正小标宋简体" w:hAnsi="方正小标宋简体" w:eastAsia="方正小标宋简体" w:cs="方正小标宋简体"/>
          <w:color w:val="000000"/>
          <w:sz w:val="21"/>
          <w:szCs w:val="21"/>
        </w:rPr>
      </w:pPr>
      <w:r>
        <w:rPr>
          <w:rFonts w:hint="eastAsia" w:ascii="方正小标宋简体" w:hAnsi="方正小标宋简体" w:eastAsia="方正小标宋简体" w:cs="方正小标宋简体"/>
          <w:color w:val="000000"/>
          <w:sz w:val="44"/>
          <w:szCs w:val="44"/>
        </w:rPr>
        <w:t>重点工作任务分工表</w:t>
      </w:r>
    </w:p>
    <w:tbl>
      <w:tblPr>
        <w:tblStyle w:val="9"/>
        <w:tblW w:w="9942" w:type="dxa"/>
        <w:jc w:val="center"/>
        <w:tblInd w:w="0" w:type="dxa"/>
        <w:tblLayout w:type="fixed"/>
        <w:tblCellMar>
          <w:top w:w="15" w:type="dxa"/>
          <w:left w:w="15" w:type="dxa"/>
          <w:bottom w:w="15" w:type="dxa"/>
          <w:right w:w="15" w:type="dxa"/>
        </w:tblCellMar>
      </w:tblPr>
      <w:tblGrid>
        <w:gridCol w:w="822"/>
        <w:gridCol w:w="4796"/>
        <w:gridCol w:w="1785"/>
        <w:gridCol w:w="2539"/>
      </w:tblGrid>
      <w:tr>
        <w:tblPrEx>
          <w:tblLayout w:type="fixed"/>
          <w:tblCellMar>
            <w:top w:w="15" w:type="dxa"/>
            <w:left w:w="15" w:type="dxa"/>
            <w:bottom w:w="15" w:type="dxa"/>
            <w:right w:w="15" w:type="dxa"/>
          </w:tblCellMar>
        </w:tblPrEx>
        <w:trPr>
          <w:trHeight w:val="510" w:hRule="atLeast"/>
          <w:jc w:val="center"/>
        </w:trPr>
        <w:tc>
          <w:tcPr>
            <w:tcW w:w="8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eastAsia" w:ascii="黑体" w:hAnsi="黑体" w:eastAsia="黑体" w:cs="黑体"/>
                <w:sz w:val="24"/>
                <w:szCs w:val="24"/>
              </w:rPr>
            </w:pPr>
            <w:r>
              <w:rPr>
                <w:rFonts w:hint="eastAsia" w:ascii="黑体" w:hAnsi="黑体" w:eastAsia="黑体" w:cs="黑体"/>
                <w:b w:val="0"/>
                <w:color w:val="000000"/>
                <w:sz w:val="24"/>
                <w:szCs w:val="24"/>
              </w:rPr>
              <w:t>序号</w:t>
            </w:r>
          </w:p>
        </w:tc>
        <w:tc>
          <w:tcPr>
            <w:tcW w:w="47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eastAsia" w:ascii="黑体" w:hAnsi="黑体" w:eastAsia="黑体" w:cs="黑体"/>
                <w:sz w:val="24"/>
                <w:szCs w:val="24"/>
              </w:rPr>
            </w:pPr>
            <w:r>
              <w:rPr>
                <w:rFonts w:hint="eastAsia" w:ascii="黑体" w:hAnsi="黑体" w:eastAsia="黑体" w:cs="黑体"/>
                <w:b w:val="0"/>
                <w:color w:val="000000"/>
                <w:sz w:val="24"/>
                <w:szCs w:val="24"/>
              </w:rPr>
              <w:t>重点工作</w:t>
            </w:r>
          </w:p>
        </w:tc>
        <w:tc>
          <w:tcPr>
            <w:tcW w:w="1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eastAsia" w:ascii="黑体" w:hAnsi="黑体" w:eastAsia="黑体" w:cs="黑体"/>
                <w:sz w:val="24"/>
                <w:szCs w:val="24"/>
              </w:rPr>
            </w:pPr>
            <w:r>
              <w:rPr>
                <w:rFonts w:hint="eastAsia" w:ascii="黑体" w:hAnsi="黑体" w:eastAsia="黑体" w:cs="黑体"/>
                <w:b w:val="0"/>
                <w:color w:val="000000"/>
                <w:sz w:val="24"/>
                <w:szCs w:val="24"/>
              </w:rPr>
              <w:t>牵头单位</w:t>
            </w:r>
          </w:p>
        </w:tc>
        <w:tc>
          <w:tcPr>
            <w:tcW w:w="25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eastAsia" w:ascii="黑体" w:hAnsi="黑体" w:eastAsia="黑体" w:cs="黑体"/>
                <w:sz w:val="24"/>
                <w:szCs w:val="24"/>
              </w:rPr>
            </w:pPr>
            <w:r>
              <w:rPr>
                <w:rFonts w:hint="eastAsia" w:ascii="黑体" w:hAnsi="黑体" w:eastAsia="黑体" w:cs="黑体"/>
                <w:b w:val="0"/>
                <w:color w:val="000000"/>
                <w:sz w:val="24"/>
                <w:szCs w:val="24"/>
              </w:rPr>
              <w:t>配合单位</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配强地方金融监管力量，充实金融工作部门力量，在监管类金融业态、防范化解金融风险工作上形成市、区、镇街联动，合力打造共建共治共享格局。</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区编办，各镇</w:t>
            </w:r>
            <w:r>
              <w:rPr>
                <w:rFonts w:hint="default" w:ascii="Times New Roman" w:hAnsi="Times New Roman" w:cs="Times New Roman"/>
                <w:sz w:val="24"/>
                <w:szCs w:val="24"/>
                <w:lang w:eastAsia="zh-CN"/>
              </w:rPr>
              <w:t>（</w:t>
            </w:r>
            <w:r>
              <w:rPr>
                <w:rFonts w:hint="default" w:ascii="Times New Roman" w:hAnsi="Times New Roman" w:eastAsia="仿宋_GB2312" w:cs="Times New Roman"/>
                <w:sz w:val="24"/>
                <w:szCs w:val="24"/>
              </w:rPr>
              <w:t>街</w:t>
            </w:r>
            <w:r>
              <w:rPr>
                <w:rFonts w:hint="default" w:ascii="Times New Roman" w:hAnsi="Times New Roman" w:cs="Times New Roman"/>
                <w:sz w:val="24"/>
                <w:szCs w:val="24"/>
                <w:lang w:eastAsia="zh-CN"/>
              </w:rPr>
              <w:t>）</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对建立非法集资举报奖励制度、防范化解地方金融风险等工作加强资金支持。</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强化区金融稳定发展工作协调机制，建立地方金融协同监管、共同防控风险工作机制，共享监管技术手段和相关数据信息，形成监管合力。</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r>
              <w:rPr>
                <w:rFonts w:hint="default" w:ascii="Times New Roman" w:hAnsi="Times New Roman" w:cs="Times New Roman"/>
                <w:sz w:val="24"/>
                <w:szCs w:val="24"/>
                <w:lang w:eastAsia="zh-CN"/>
              </w:rPr>
              <w:t>中国</w:t>
            </w:r>
            <w:r>
              <w:rPr>
                <w:rFonts w:hint="default" w:ascii="Times New Roman" w:hAnsi="Times New Roman" w:eastAsia="仿宋_GB2312" w:cs="Times New Roman"/>
                <w:sz w:val="24"/>
                <w:szCs w:val="24"/>
              </w:rPr>
              <w:t>人民银行从化支</w:t>
            </w:r>
            <w:bookmarkStart w:id="0" w:name="_GoBack"/>
            <w:bookmarkEnd w:id="0"/>
            <w:r>
              <w:rPr>
                <w:rFonts w:hint="default" w:ascii="Times New Roman" w:hAnsi="Times New Roman" w:eastAsia="仿宋_GB2312" w:cs="Times New Roman"/>
                <w:sz w:val="24"/>
                <w:szCs w:val="24"/>
              </w:rPr>
              <w:t>行</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区金融稳定发展工作协调小组、区处置非法集资领导小组各成员单位</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广州市的统一部署下，研究制定类金融业态监管规则和制度，健全地方金融监管体系，尽快将各类类金融业态纳入我区地方金融监管。监管规则和制度暂未明确的，做好风险排查、清理规范等相关工作，清理一批、保留一批、准入一批。指导类金融机构接入广州金融风险监测防控中心。</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区科工商信局、</w:t>
            </w:r>
            <w:r>
              <w:rPr>
                <w:rFonts w:hint="default" w:ascii="Times New Roman" w:hAnsi="Times New Roman" w:cs="Times New Roman"/>
                <w:sz w:val="24"/>
                <w:szCs w:val="24"/>
                <w:lang w:eastAsia="zh-CN"/>
              </w:rPr>
              <w:t>区</w:t>
            </w:r>
            <w:r>
              <w:rPr>
                <w:rFonts w:hint="default" w:ascii="Times New Roman" w:hAnsi="Times New Roman" w:eastAsia="仿宋_GB2312" w:cs="Times New Roman"/>
                <w:sz w:val="24"/>
                <w:szCs w:val="24"/>
              </w:rPr>
              <w:t>市场</w:t>
            </w:r>
            <w:r>
              <w:rPr>
                <w:rFonts w:hint="default" w:ascii="Times New Roman" w:hAnsi="Times New Roman" w:cs="Times New Roman"/>
                <w:sz w:val="24"/>
                <w:szCs w:val="24"/>
                <w:lang w:eastAsia="zh-CN"/>
              </w:rPr>
              <w:t>质量</w:t>
            </w:r>
            <w:r>
              <w:rPr>
                <w:rFonts w:hint="default" w:ascii="Times New Roman" w:hAnsi="Times New Roman" w:eastAsia="仿宋_GB2312" w:cs="Times New Roman"/>
                <w:sz w:val="24"/>
                <w:szCs w:val="24"/>
              </w:rPr>
              <w:t>监管局、</w:t>
            </w:r>
            <w:r>
              <w:rPr>
                <w:rFonts w:hint="default" w:ascii="Times New Roman" w:hAnsi="Times New Roman" w:cs="Times New Roman"/>
                <w:sz w:val="24"/>
                <w:szCs w:val="24"/>
                <w:lang w:eastAsia="zh-CN"/>
              </w:rPr>
              <w:t>区</w:t>
            </w:r>
            <w:r>
              <w:rPr>
                <w:rFonts w:hint="default" w:ascii="Times New Roman" w:hAnsi="Times New Roman" w:eastAsia="仿宋_GB2312" w:cs="Times New Roman"/>
                <w:sz w:val="24"/>
                <w:szCs w:val="24"/>
              </w:rPr>
              <w:t>法制办，</w:t>
            </w:r>
            <w:r>
              <w:rPr>
                <w:rFonts w:hint="default" w:ascii="Times New Roman" w:hAnsi="Times New Roman" w:cs="Times New Roman"/>
                <w:sz w:val="24"/>
                <w:szCs w:val="24"/>
                <w:lang w:eastAsia="zh-CN"/>
              </w:rPr>
              <w:t>各镇（街）</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建立地方金融风险、非法集资活动监测预警信息报送、处理和反馈工作机制，做到发现风险及时提示和处置。</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区金融稳定发展工作协调小组、区处置非法集资领导小组各成员单位</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推进首席风险官制度建设，推进我区类金融机构设置风险管理部门和岗位，培育和吸引金融风险管理专业人才。</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区人社局、区科工商信局，相关镇</w:t>
            </w:r>
            <w:r>
              <w:rPr>
                <w:rFonts w:hint="default" w:ascii="Times New Roman" w:hAnsi="Times New Roman" w:cs="Times New Roman"/>
                <w:sz w:val="24"/>
                <w:szCs w:val="24"/>
                <w:lang w:eastAsia="zh-CN"/>
              </w:rPr>
              <w:t>（</w:t>
            </w:r>
            <w:r>
              <w:rPr>
                <w:rFonts w:hint="default" w:ascii="Times New Roman" w:hAnsi="Times New Roman" w:eastAsia="仿宋_GB2312" w:cs="Times New Roman"/>
                <w:sz w:val="24"/>
                <w:szCs w:val="24"/>
              </w:rPr>
              <w:t>街</w:t>
            </w:r>
            <w:r>
              <w:rPr>
                <w:rFonts w:hint="default" w:ascii="Times New Roman" w:hAnsi="Times New Roman" w:cs="Times New Roman"/>
                <w:sz w:val="24"/>
                <w:szCs w:val="24"/>
                <w:lang w:eastAsia="zh-CN"/>
              </w:rPr>
              <w:t>）</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建立非法集资案件会商和案情通报、联合惩戒等工作机制，做好研判定性、打早打小，对非法集资活动形成高压震慑，依法做好大案要案处置工作。</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区处置非法集资领导小组各成员单位</w:t>
            </w:r>
          </w:p>
        </w:tc>
      </w:tr>
      <w:tr>
        <w:tblPrEx>
          <w:tblLayout w:type="fixed"/>
          <w:tblCellMar>
            <w:top w:w="15" w:type="dxa"/>
            <w:left w:w="15" w:type="dxa"/>
            <w:bottom w:w="15" w:type="dxa"/>
            <w:right w:w="15" w:type="dxa"/>
          </w:tblCellMar>
        </w:tblPrEx>
        <w:trPr>
          <w:trHeight w:val="23" w:hRule="atLeast"/>
          <w:jc w:val="center"/>
        </w:trPr>
        <w:tc>
          <w:tcPr>
            <w:tcW w:w="82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47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加强社会公众的非法集资和金融理财知识教育，提高社会公众对违法违规金融活动的识别能力和防范意识。</w:t>
            </w:r>
          </w:p>
        </w:tc>
        <w:tc>
          <w:tcPr>
            <w:tcW w:w="1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区财政局</w:t>
            </w:r>
          </w:p>
        </w:tc>
        <w:tc>
          <w:tcPr>
            <w:tcW w:w="25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val="0"/>
              <w:spacing w:beforeLines="0" w:beforeAutospacing="0" w:afterLines="0" w:afterAutospacing="0" w:line="27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区委宣传部，区教育局，</w:t>
            </w:r>
            <w:r>
              <w:rPr>
                <w:rFonts w:hint="default" w:ascii="Times New Roman" w:hAnsi="Times New Roman" w:cs="Times New Roman"/>
                <w:sz w:val="24"/>
                <w:szCs w:val="24"/>
                <w:lang w:eastAsia="zh-CN"/>
              </w:rPr>
              <w:t>各镇（街）</w:t>
            </w:r>
          </w:p>
        </w:tc>
      </w:tr>
    </w:tbl>
    <w:p>
      <w:pPr>
        <w:spacing w:beforeLines="0" w:afterLines="0" w:line="40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90F1D"/>
    <w:rsid w:val="47C90F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after="150"/>
      <w:jc w:val="left"/>
    </w:pPr>
    <w:rPr>
      <w:rFonts w:ascii="Calibri" w:hAnsi="Calibri"/>
      <w:kern w:val="0"/>
      <w:sz w:val="24"/>
    </w:rPr>
  </w:style>
  <w:style w:type="paragraph" w:customStyle="1" w:styleId="5">
    <w:name w:val="_Style 17"/>
    <w:basedOn w:val="6"/>
    <w:link w:val="4"/>
    <w:qFormat/>
    <w:uiPriority w:val="0"/>
    <w:pPr>
      <w:adjustRightInd w:val="0"/>
      <w:snapToGrid w:val="0"/>
      <w:spacing w:line="520" w:lineRule="exact"/>
      <w:ind w:firstLine="200" w:firstLineChars="200"/>
      <w:jc w:val="left"/>
      <w:textAlignment w:val="baseline"/>
    </w:pPr>
  </w:style>
  <w:style w:type="paragraph" w:customStyle="1" w:styleId="6">
    <w:name w:val="标题 2 New"/>
    <w:basedOn w:val="7"/>
    <w:next w:val="7"/>
    <w:qFormat/>
    <w:uiPriority w:val="0"/>
    <w:pPr>
      <w:keepNext/>
      <w:keepLines/>
      <w:spacing w:before="260" w:beforeLines="0" w:after="260" w:afterLines="0" w:line="413" w:lineRule="auto"/>
      <w:outlineLvl w:val="1"/>
    </w:pPr>
    <w:rPr>
      <w:rFonts w:ascii="Arial" w:hAnsi="Arial" w:eastAsia="黑体"/>
      <w:b/>
      <w:bCs/>
      <w:szCs w:val="3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styleId="8">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2018-07-12T09:21:00Z</dcterms:created>
  <dc:creator>办公室主任测试</dc:creator>
  <cp:lastModifiedBy>办公室主任测试</cp:lastModifiedBy>
  <dcterms:modified xsi:type="dcterms:W3CDTF">2018-07-12T09:21:19Z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