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hd w:val="clear" w:color="auto" w:fill="auto"/>
        <w:snapToGrid/>
        <w:jc w:val="both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附件1</w:t>
      </w:r>
    </w:p>
    <w:p>
      <w:pPr>
        <w:widowControl/>
        <w:shd w:val="clear" w:color="auto" w:fill="FFFFFF"/>
        <w:snapToGrid w:val="0"/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实行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一事一议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”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办法的重点扶持</w:t>
      </w:r>
    </w:p>
    <w:p>
      <w:pPr>
        <w:widowControl/>
        <w:shd w:val="clear" w:color="auto" w:fill="FFFFFF"/>
        <w:snapToGrid w:val="0"/>
        <w:spacing w:beforeLines="0" w:afterLines="0" w:line="7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工业企业（项目）的条件</w:t>
      </w:r>
    </w:p>
    <w:p>
      <w:pPr>
        <w:widowControl w:val="0"/>
        <w:shd w:val="clear" w:color="auto" w:fill="auto"/>
        <w:snapToGrid/>
        <w:spacing w:beforeLines="0" w:afterLines="0"/>
        <w:ind w:firstLine="632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对符合扶持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范围，投入大、产业带动强、预期对地方经济社会发展贡献重大的重点工业企业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，经区政府研究认定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可实行</w:t>
      </w:r>
      <w:r>
        <w:rPr>
          <w:rFonts w:hint="eastAsia" w:cs="Times New Roman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一事一议</w:t>
      </w:r>
      <w:r>
        <w:rPr>
          <w:rFonts w:hint="eastAsia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的办法给予更大的扶持。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一、新建工业企业（项目）投资额达6亿元以上（含地价），并按土地出让合同、投资协议、履约监管协议建成，投产后第一年度纳税额达3000万元以上</w:t>
      </w:r>
      <w:r>
        <w:rPr>
          <w:rFonts w:hint="eastAsia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达产后年均税收达5000万元以上。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二、现有工业企业增资扩产（技术改造、转型升级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，同时满足以下（一）-（三）项条件的：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（一）现有工业企业年纳税额达1000万元以上；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（二）增资扩产（技术改造、转型升级</w:t>
      </w:r>
      <w:r>
        <w:rPr>
          <w:rFonts w:hint="default" w:ascii="Times New Roman" w:hAnsi="Times New Roman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项目投资额3亿元以上；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（三）现有企业须获得下述3项以上认定：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1、发明专利10项及以上；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2、国家重点实验室；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3、国家工程实验室； 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4、国家工程技术研究中心；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5、</w:t>
      </w:r>
      <w:r>
        <w:rPr>
          <w:rFonts w:hint="default" w:ascii="Times New Roman" w:eastAsia="仿宋_GB2312"/>
          <w:sz w:val="32"/>
          <w:szCs w:val="32"/>
        </w:rPr>
        <w:t>世界500强企业；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6、</w:t>
      </w:r>
      <w:r>
        <w:rPr>
          <w:rFonts w:hint="default" w:ascii="Times New Roman" w:eastAsia="仿宋_GB2312"/>
          <w:sz w:val="32"/>
          <w:szCs w:val="32"/>
        </w:rPr>
        <w:t>中国500强企业；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7、</w:t>
      </w:r>
      <w:r>
        <w:rPr>
          <w:rFonts w:hint="default" w:ascii="Times New Roman" w:eastAsia="仿宋_GB2312"/>
          <w:sz w:val="32"/>
          <w:szCs w:val="32"/>
        </w:rPr>
        <w:t>中国民营500强企业；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8、</w:t>
      </w:r>
      <w:r>
        <w:rPr>
          <w:rFonts w:hint="default" w:ascii="Times New Roman" w:eastAsia="仿宋_GB2312"/>
          <w:sz w:val="32"/>
          <w:szCs w:val="32"/>
        </w:rPr>
        <w:t>行业100强企业；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9、上市公司；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10、高新技术企业（省高新技术企业培育企业、广州市科技创新小巨人企业）；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11、中国驰名商标、省名牌产品；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12、广东省知识产权优势企业；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13、广东省高成长性中小企业；</w:t>
      </w:r>
    </w:p>
    <w:p>
      <w:pPr>
        <w:spacing w:beforeLines="0" w:afterLines="0"/>
        <w:ind w:firstLine="632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14、4A级标准化良好行为企业；</w:t>
      </w:r>
    </w:p>
    <w:p>
      <w:r>
        <w:rPr>
          <w:rFonts w:hint="default" w:ascii="Times New Roman" w:hAnsi="Times New Roman" w:eastAsia="仿宋_GB2312" w:cs="Times New Roman"/>
          <w:sz w:val="32"/>
          <w:szCs w:val="32"/>
        </w:rPr>
        <w:t>15、通过OHSAS18001职业安全卫生管理体系认证。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348AF"/>
    <w:rsid w:val="493348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从化区科工商信局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2018-08-02T02:41:00Z</dcterms:created>
  <dc:creator>办公室主任测试</dc:creator>
  <cp:lastModifiedBy>办公室主任测试</cp:lastModifiedBy>
  <dcterms:modified xsi:type="dcterms:W3CDTF">2018-08-02T02:42:06Z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