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附件2</w:t>
      </w:r>
    </w:p>
    <w:p>
      <w:pPr>
        <w:spacing w:beforeLines="0" w:afterLines="0" w:line="7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一般地上附着物（除房屋）补偿标准</w:t>
      </w:r>
    </w:p>
    <w:p>
      <w:pPr>
        <w:ind w:firstLine="2537" w:firstLineChars="793"/>
        <w:jc w:val="right"/>
        <w:rPr>
          <w:rFonts w:hint="eastAsia" w:ascii="仿宋_GB2312" w:hAnsi="宋体"/>
          <w:b/>
          <w:bCs/>
          <w:color w:val="auto"/>
          <w:szCs w:val="40"/>
          <w:highlight w:val="none"/>
        </w:rPr>
      </w:pPr>
      <w:r>
        <w:rPr>
          <w:rFonts w:hint="eastAsia" w:ascii="仿宋_GB2312" w:hAnsi="宋体"/>
          <w:color w:val="auto"/>
          <w:highlight w:val="none"/>
        </w:rPr>
        <w:t xml:space="preserve">        </w:t>
      </w:r>
    </w:p>
    <w:tbl>
      <w:tblPr>
        <w:tblStyle w:val="3"/>
        <w:tblW w:w="9115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540"/>
        <w:gridCol w:w="1226"/>
        <w:gridCol w:w="1371"/>
        <w:gridCol w:w="26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3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eastAsia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/>
                <w:bCs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2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eastAsia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/>
                <w:bCs/>
                <w:color w:val="auto"/>
                <w:kern w:val="0"/>
                <w:sz w:val="24"/>
                <w:highlight w:val="none"/>
              </w:rPr>
              <w:t>类别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eastAsia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/>
                <w:bCs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eastAsia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/>
                <w:bCs/>
                <w:color w:val="auto"/>
                <w:kern w:val="0"/>
                <w:sz w:val="24"/>
                <w:highlight w:val="none"/>
              </w:rPr>
              <w:t>单价（元）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eastAsia="黑体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75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自搭阁楼</w:t>
            </w:r>
          </w:p>
        </w:tc>
        <w:tc>
          <w:tcPr>
            <w:tcW w:w="1226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平方米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150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75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2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300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住人插层，下净高2.0米，上净高1.5米以上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围墙</w:t>
            </w:r>
          </w:p>
        </w:tc>
        <w:tc>
          <w:tcPr>
            <w:tcW w:w="2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简易围墙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平方米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180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实体围墙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平方米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280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有砖有柱有基础的围墙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花岗岩钢枝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平方米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450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独立的农用粪池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平方米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180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独立村民房屋化粪池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平方米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250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挡土（可视立面面积）</w:t>
            </w:r>
          </w:p>
        </w:tc>
        <w:tc>
          <w:tcPr>
            <w:tcW w:w="2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砖挡土墙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平方米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360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毛石挡土墙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平方米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560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钢筋混泥土挡土墙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平方米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800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井</w:t>
            </w:r>
          </w:p>
        </w:tc>
        <w:tc>
          <w:tcPr>
            <w:tcW w:w="2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手压井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口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3000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水井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口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5000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机井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口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10000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骨坛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具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000</w:t>
            </w:r>
          </w:p>
        </w:tc>
        <w:tc>
          <w:tcPr>
            <w:tcW w:w="2643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如与市殡葬公司收费标准不一致，参照市殡葬公司收费标准执行。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坟墓</w:t>
            </w:r>
          </w:p>
        </w:tc>
        <w:tc>
          <w:tcPr>
            <w:tcW w:w="2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土坟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穴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25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00</w:t>
            </w:r>
          </w:p>
        </w:tc>
        <w:tc>
          <w:tcPr>
            <w:tcW w:w="264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3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0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灰砂结构</w:t>
            </w:r>
          </w:p>
        </w:tc>
        <w:tc>
          <w:tcPr>
            <w:tcW w:w="1226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穴</w:t>
            </w:r>
          </w:p>
        </w:tc>
        <w:tc>
          <w:tcPr>
            <w:tcW w:w="1371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3000</w:t>
            </w:r>
          </w:p>
        </w:tc>
        <w:tc>
          <w:tcPr>
            <w:tcW w:w="264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3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0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砖砌</w:t>
            </w: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结构</w:t>
            </w:r>
          </w:p>
        </w:tc>
        <w:tc>
          <w:tcPr>
            <w:tcW w:w="1226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穴</w:t>
            </w:r>
          </w:p>
        </w:tc>
        <w:tc>
          <w:tcPr>
            <w:tcW w:w="1371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5000</w:t>
            </w:r>
          </w:p>
        </w:tc>
        <w:tc>
          <w:tcPr>
            <w:tcW w:w="264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水池</w:t>
            </w:r>
          </w:p>
        </w:tc>
        <w:tc>
          <w:tcPr>
            <w:tcW w:w="2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砖砌水池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立方米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120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砼水池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立方米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180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不锈钢水池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立方米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500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8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花基</w:t>
            </w: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、花糟、花池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平方米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100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门柱、钢大门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6000</w:t>
            </w:r>
          </w:p>
        </w:tc>
        <w:tc>
          <w:tcPr>
            <w:tcW w:w="2643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宽4米以上按评估补偿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门楼、钢大门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12000</w:t>
            </w:r>
          </w:p>
        </w:tc>
        <w:tc>
          <w:tcPr>
            <w:tcW w:w="264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户外水泥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地面</w:t>
            </w:r>
          </w:p>
        </w:tc>
        <w:tc>
          <w:tcPr>
            <w:tcW w:w="2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厚度15厘米以下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平方米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120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厚度15厘米以上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平方米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180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行车道路</w:t>
            </w:r>
          </w:p>
        </w:tc>
        <w:tc>
          <w:tcPr>
            <w:tcW w:w="2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砼面厚度10</w:t>
            </w: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～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20厘米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平方米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180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砼面厚度20</w:t>
            </w: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～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25厘米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平方米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240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5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砼面厚度25厘米以上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平方米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280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电话迁移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号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200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有</w:t>
            </w:r>
            <w:r>
              <w:rPr>
                <w:rFonts w:hint="default" w:ascii="Times New Roman" w:hAnsi="Times New Roman"/>
                <w:color w:val="auto"/>
                <w:kern w:val="0"/>
                <w:sz w:val="24"/>
                <w:highlight w:val="none"/>
              </w:rPr>
              <w:t>线</w:t>
            </w: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电视迁移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线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150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宽带网络迁移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线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200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户外独立水表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300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户外独立电表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个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500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管道煤气</w:t>
            </w:r>
          </w:p>
        </w:tc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户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3500</w:t>
            </w:r>
          </w:p>
        </w:tc>
        <w:tc>
          <w:tcPr>
            <w:tcW w:w="26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电动闸、牌坊、依法批准的广告牌</w:t>
            </w:r>
          </w:p>
        </w:tc>
        <w:tc>
          <w:tcPr>
            <w:tcW w:w="524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按原样原状恢复造价补偿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7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交通标准、公交车站</w:t>
            </w:r>
          </w:p>
        </w:tc>
        <w:tc>
          <w:tcPr>
            <w:tcW w:w="524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highlight w:val="none"/>
              </w:rPr>
              <w:t>按重置价格予以补偿或恢复</w:t>
            </w:r>
          </w:p>
        </w:tc>
      </w:tr>
    </w:tbl>
    <w:p>
      <w:pPr>
        <w:spacing w:line="400" w:lineRule="exact"/>
        <w:rPr>
          <w:rFonts w:hint="eastAsia" w:hAnsi="宋体"/>
          <w:color w:val="auto"/>
          <w:kern w:val="0"/>
          <w:sz w:val="24"/>
          <w:highlight w:val="none"/>
        </w:rPr>
      </w:pPr>
      <w:r>
        <w:rPr>
          <w:rFonts w:hint="eastAsia" w:hAnsi="宋体"/>
          <w:color w:val="auto"/>
          <w:kern w:val="0"/>
          <w:sz w:val="24"/>
          <w:highlight w:val="none"/>
        </w:rPr>
        <w:t>备注：</w:t>
      </w:r>
    </w:p>
    <w:p>
      <w:pPr>
        <w:spacing w:line="400" w:lineRule="exact"/>
        <w:ind w:firstLine="470" w:firstLineChars="196"/>
        <w:rPr>
          <w:rFonts w:hint="eastAsia" w:hAnsi="宋体"/>
          <w:color w:val="auto"/>
          <w:kern w:val="0"/>
          <w:sz w:val="24"/>
          <w:highlight w:val="none"/>
        </w:rPr>
      </w:pPr>
      <w:r>
        <w:rPr>
          <w:rFonts w:hint="eastAsia" w:hAnsi="宋体"/>
          <w:color w:val="auto"/>
          <w:kern w:val="0"/>
          <w:sz w:val="24"/>
          <w:highlight w:val="none"/>
        </w:rPr>
        <w:t>①围墙双面批荡按标准增加补偿10％，洗石米增加20％，贴瓷片增加30％；单面折半计算；</w:t>
      </w:r>
    </w:p>
    <w:p>
      <w:pPr>
        <w:tabs>
          <w:tab w:val="left" w:pos="350"/>
          <w:tab w:val="left" w:pos="1582"/>
        </w:tabs>
        <w:spacing w:line="400" w:lineRule="exact"/>
        <w:ind w:firstLine="480" w:firstLineChars="200"/>
        <w:rPr>
          <w:rFonts w:hint="eastAsia" w:hAnsi="宋体"/>
          <w:color w:val="auto"/>
          <w:kern w:val="0"/>
          <w:sz w:val="24"/>
          <w:highlight w:val="none"/>
        </w:rPr>
      </w:pPr>
      <w:r>
        <w:rPr>
          <w:rFonts w:hint="eastAsia" w:hAnsi="宋体"/>
          <w:color w:val="auto"/>
          <w:kern w:val="0"/>
          <w:sz w:val="24"/>
          <w:highlight w:val="none"/>
        </w:rPr>
        <w:t>②泵井必须带泵头且能正常使用，不能正常使用的水池、水井、泵井按标准的50%补偿。</w:t>
      </w:r>
    </w:p>
    <w:p>
      <w:pPr>
        <w:spacing w:line="400" w:lineRule="exact"/>
        <w:ind w:firstLine="480" w:firstLineChars="200"/>
        <w:rPr>
          <w:rFonts w:hint="eastAsia" w:hAnsi="宋体"/>
          <w:color w:val="auto"/>
          <w:kern w:val="0"/>
          <w:sz w:val="24"/>
          <w:highlight w:val="none"/>
        </w:rPr>
      </w:pPr>
      <w:r>
        <w:rPr>
          <w:rFonts w:hint="eastAsia" w:hAnsi="宋体"/>
          <w:color w:val="auto"/>
          <w:kern w:val="0"/>
          <w:sz w:val="24"/>
          <w:highlight w:val="none"/>
        </w:rPr>
        <w:t>③凡被征地单位和个人在拟征土地上不按生产生活的实际需要，恶意建造水池、水井、泵井和山坟等构筑物的，征地时一律不予补偿，并按违法用地追究责任。</w:t>
      </w:r>
    </w:p>
    <w:p>
      <w:pPr>
        <w:spacing w:line="400" w:lineRule="exact"/>
        <w:ind w:firstLine="480" w:firstLineChars="200"/>
        <w:jc w:val="both"/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hAnsi="宋体"/>
          <w:color w:val="auto"/>
          <w:kern w:val="0"/>
          <w:sz w:val="24"/>
          <w:highlight w:val="none"/>
        </w:rPr>
        <w:t>④对征地范围内的山坟，各坟主应积极配合做好迁坟工作，对自行迁坟的坟主按本规定的标准给予补偿。对在限期内未能自行迁坟的，视作无主坟处理。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E7580"/>
    <w:rsid w:val="0E9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2019-06-25T01:36:00Z</dcterms:created>
  <dc:creator>admin</dc:creator>
  <cp:lastModifiedBy>admin</cp:lastModifiedBy>
  <dcterms:modified xsi:type="dcterms:W3CDTF">2019-06-25T01:37:13Z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