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r>
        <w:rPr>
          <w:rFonts w:hint="eastAsia" w:ascii="黑体" w:hAnsi="黑体" w:eastAsia="黑体" w:cs="黑体"/>
          <w:color w:val="auto"/>
          <w:kern w:val="0"/>
          <w:sz w:val="36"/>
          <w:szCs w:val="36"/>
          <w:highlight w:val="none"/>
        </w:rPr>
        <w:t xml:space="preserve">   </w:t>
      </w:r>
      <w:r>
        <w:rPr>
          <w:rFonts w:hint="eastAsia" w:ascii="黑体" w:hAnsi="黑体" w:eastAsia="黑体" w:cs="黑体"/>
          <w:color w:val="auto"/>
          <w:sz w:val="24"/>
          <w:highlight w:val="none"/>
        </w:rPr>
        <w:t xml:space="preserve">                                                                       </w:t>
      </w:r>
    </w:p>
    <w:p>
      <w:pPr>
        <w:spacing w:beforeLines="0" w:afterLines="0" w:line="660" w:lineRule="exact"/>
        <w:jc w:val="center"/>
        <w:rPr>
          <w:rFonts w:hint="eastAsia"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集体土地上房屋重置补偿标准</w:t>
      </w:r>
    </w:p>
    <w:p>
      <w:pPr>
        <w:spacing w:beforeLines="0" w:afterLines="0" w:line="240" w:lineRule="exact"/>
        <w:jc w:val="center"/>
        <w:rPr>
          <w:rFonts w:hint="eastAsia" w:ascii="方正小标宋简体" w:hAnsi="宋体" w:eastAsia="方正小标宋简体"/>
          <w:bCs/>
          <w:color w:val="auto"/>
          <w:kern w:val="0"/>
          <w:sz w:val="44"/>
          <w:szCs w:val="44"/>
          <w:highlight w:val="none"/>
        </w:rPr>
      </w:pPr>
    </w:p>
    <w:tbl>
      <w:tblPr>
        <w:tblStyle w:val="3"/>
        <w:tblW w:w="9974" w:type="dxa"/>
        <w:jc w:val="center"/>
        <w:tblInd w:w="-195" w:type="dxa"/>
        <w:tblLayout w:type="fixed"/>
        <w:tblCellMar>
          <w:top w:w="0" w:type="dxa"/>
          <w:left w:w="108" w:type="dxa"/>
          <w:bottom w:w="0" w:type="dxa"/>
          <w:right w:w="108" w:type="dxa"/>
        </w:tblCellMar>
      </w:tblPr>
      <w:tblGrid>
        <w:gridCol w:w="729"/>
        <w:gridCol w:w="877"/>
        <w:gridCol w:w="6770"/>
        <w:gridCol w:w="1598"/>
      </w:tblGrid>
      <w:tr>
        <w:tblPrEx>
          <w:tblLayout w:type="fixed"/>
          <w:tblCellMar>
            <w:top w:w="0" w:type="dxa"/>
            <w:left w:w="108" w:type="dxa"/>
            <w:bottom w:w="0" w:type="dxa"/>
            <w:right w:w="108" w:type="dxa"/>
          </w:tblCellMar>
        </w:tblPrEx>
        <w:trPr>
          <w:cantSplit/>
          <w:trHeight w:val="34"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eastAsia="黑体"/>
                <w:color w:val="auto"/>
                <w:kern w:val="0"/>
                <w:sz w:val="24"/>
                <w:szCs w:val="24"/>
                <w:highlight w:val="none"/>
              </w:rPr>
            </w:pPr>
            <w:r>
              <w:rPr>
                <w:rFonts w:hint="default" w:ascii="Times New Roman" w:hAnsi="Times New Roman" w:eastAsia="黑体"/>
                <w:b w:val="0"/>
                <w:bCs w:val="0"/>
                <w:color w:val="auto"/>
                <w:kern w:val="0"/>
                <w:sz w:val="24"/>
                <w:szCs w:val="24"/>
                <w:highlight w:val="none"/>
              </w:rPr>
              <w:t>项目</w:t>
            </w:r>
          </w:p>
        </w:tc>
        <w:tc>
          <w:tcPr>
            <w:tcW w:w="877"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eastAsia="黑体"/>
                <w:color w:val="auto"/>
                <w:kern w:val="0"/>
                <w:sz w:val="24"/>
                <w:szCs w:val="24"/>
                <w:highlight w:val="none"/>
              </w:rPr>
            </w:pPr>
            <w:r>
              <w:rPr>
                <w:rFonts w:hint="default" w:ascii="Times New Roman" w:hAnsi="Times New Roman" w:eastAsia="黑体"/>
                <w:b w:val="0"/>
                <w:bCs w:val="0"/>
                <w:color w:val="auto"/>
                <w:kern w:val="0"/>
                <w:sz w:val="24"/>
                <w:szCs w:val="24"/>
                <w:highlight w:val="none"/>
              </w:rPr>
              <w:t>等级</w:t>
            </w:r>
          </w:p>
        </w:tc>
        <w:tc>
          <w:tcPr>
            <w:tcW w:w="6770"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eastAsia="黑体"/>
                <w:color w:val="auto"/>
                <w:kern w:val="0"/>
                <w:sz w:val="24"/>
                <w:szCs w:val="24"/>
                <w:highlight w:val="none"/>
              </w:rPr>
            </w:pPr>
            <w:r>
              <w:rPr>
                <w:rFonts w:hint="default" w:ascii="Times New Roman" w:hAnsi="Times New Roman" w:eastAsia="黑体"/>
                <w:b w:val="0"/>
                <w:bCs w:val="0"/>
                <w:color w:val="auto"/>
                <w:kern w:val="0"/>
                <w:sz w:val="24"/>
                <w:szCs w:val="24"/>
                <w:highlight w:val="none"/>
              </w:rPr>
              <w:t>装 修 标 准</w:t>
            </w:r>
          </w:p>
        </w:tc>
        <w:tc>
          <w:tcPr>
            <w:tcW w:w="1598"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eastAsia="黑体"/>
                <w:b w:val="0"/>
                <w:bCs w:val="0"/>
                <w:color w:val="auto"/>
                <w:kern w:val="0"/>
                <w:sz w:val="24"/>
                <w:szCs w:val="24"/>
                <w:highlight w:val="none"/>
              </w:rPr>
            </w:pPr>
            <w:r>
              <w:rPr>
                <w:rFonts w:hint="default" w:ascii="Times New Roman" w:hAnsi="Times New Roman" w:eastAsia="黑体"/>
                <w:b w:val="0"/>
                <w:bCs w:val="0"/>
                <w:color w:val="auto"/>
                <w:kern w:val="0"/>
                <w:sz w:val="24"/>
                <w:szCs w:val="24"/>
                <w:highlight w:val="none"/>
              </w:rPr>
              <w:t>单价</w:t>
            </w:r>
          </w:p>
          <w:p>
            <w:pPr>
              <w:spacing w:beforeLines="0" w:afterLines="0" w:line="300" w:lineRule="exact"/>
              <w:jc w:val="left"/>
              <w:rPr>
                <w:rFonts w:hint="default" w:ascii="Times New Roman" w:hAnsi="Times New Roman" w:eastAsia="黑体"/>
                <w:b w:val="0"/>
                <w:bCs w:val="0"/>
                <w:color w:val="auto"/>
                <w:kern w:val="0"/>
                <w:sz w:val="24"/>
                <w:szCs w:val="24"/>
                <w:highlight w:val="none"/>
              </w:rPr>
            </w:pPr>
            <w:r>
              <w:rPr>
                <w:rFonts w:hint="default" w:ascii="Times New Roman" w:hAnsi="Times New Roman" w:eastAsia="黑体"/>
                <w:b w:val="0"/>
                <w:bCs w:val="0"/>
                <w:color w:val="auto"/>
                <w:kern w:val="0"/>
                <w:sz w:val="24"/>
                <w:szCs w:val="24"/>
                <w:highlight w:val="none"/>
              </w:rPr>
              <w:t>（元/平方米）</w:t>
            </w:r>
          </w:p>
        </w:tc>
      </w:tr>
      <w:tr>
        <w:tblPrEx>
          <w:tblLayout w:type="fixed"/>
          <w:tblCellMar>
            <w:top w:w="0" w:type="dxa"/>
            <w:left w:w="108" w:type="dxa"/>
            <w:bottom w:w="0" w:type="dxa"/>
            <w:right w:w="108" w:type="dxa"/>
          </w:tblCellMar>
        </w:tblPrEx>
        <w:trPr>
          <w:cantSplit/>
          <w:trHeight w:val="34" w:hRule="atLeast"/>
          <w:jc w:val="center"/>
        </w:trPr>
        <w:tc>
          <w:tcPr>
            <w:tcW w:w="729" w:type="dxa"/>
            <w:vMerge w:val="restart"/>
            <w:tcBorders>
              <w:top w:val="single" w:color="auto" w:sz="4" w:space="0"/>
              <w:left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框</w:t>
            </w:r>
          </w:p>
          <w:p>
            <w:pPr>
              <w:spacing w:beforeLines="0" w:afterLines="0" w:line="300" w:lineRule="exact"/>
              <w:jc w:val="center"/>
              <w:rPr>
                <w:rFonts w:hint="default" w:ascii="Times New Roman" w:hAnsi="Times New Roman"/>
                <w:color w:val="auto"/>
                <w:kern w:val="0"/>
                <w:sz w:val="24"/>
                <w:highlight w:val="none"/>
              </w:rPr>
            </w:pPr>
          </w:p>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架</w:t>
            </w:r>
          </w:p>
          <w:p>
            <w:pPr>
              <w:spacing w:beforeLines="0" w:afterLines="0" w:line="300" w:lineRule="exact"/>
              <w:jc w:val="center"/>
              <w:rPr>
                <w:rFonts w:hint="default" w:ascii="Times New Roman" w:hAnsi="Times New Roman"/>
                <w:color w:val="auto"/>
                <w:kern w:val="0"/>
                <w:sz w:val="24"/>
                <w:highlight w:val="none"/>
              </w:rPr>
            </w:pPr>
          </w:p>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结</w:t>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t>构</w:t>
            </w:r>
          </w:p>
        </w:tc>
        <w:tc>
          <w:tcPr>
            <w:tcW w:w="877"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一等</w:t>
            </w:r>
          </w:p>
        </w:tc>
        <w:tc>
          <w:tcPr>
            <w:tcW w:w="6770"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外墙贴高级釉面砖或纸皮石，内墙面高档装饰及吊顶天花, 楼地面铺石材或木地板,铝合金门窗,镶板或夹板门。</w:t>
            </w:r>
          </w:p>
        </w:tc>
        <w:tc>
          <w:tcPr>
            <w:tcW w:w="1598" w:type="dxa"/>
            <w:tcBorders>
              <w:top w:val="single" w:color="auto" w:sz="4" w:space="0"/>
              <w:left w:val="nil"/>
              <w:bottom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2115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二等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外墙贴釉面砖或纸皮石,内墙面及天花抹灰扫白，楼地面铺彩釉地砖，铝合金门窗，镶板或夹板门。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1725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三等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外墙贴玻璃马赛克,内墙面及天花抹灰扫白，楼地面铺彩釉地砖，铝合金门窗采用，镶板或夹板门。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1660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四等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外墙为水刷石,内墙面及天花抹灰扫白，楼地面铺彩釉地砖，钢（木）门窗，镶板或夹板门。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1605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五等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外墙煽灰，楼地面用水磨石，水泥框夹板门窗。</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1510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六等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内、外墙未装饰（清水墙），楼地面未抹水泥沙浆，门窗未安装。</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1220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七等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内、外墙残缺，楼地面未抹水泥沙浆，门窗未安装。</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800</w:t>
            </w:r>
          </w:p>
        </w:tc>
      </w:tr>
      <w:tr>
        <w:tblPrEx>
          <w:tblLayout w:type="fixed"/>
          <w:tblCellMar>
            <w:top w:w="0" w:type="dxa"/>
            <w:left w:w="108" w:type="dxa"/>
            <w:bottom w:w="0" w:type="dxa"/>
            <w:right w:w="108" w:type="dxa"/>
          </w:tblCellMar>
        </w:tblPrEx>
        <w:trPr>
          <w:cantSplit/>
          <w:trHeight w:val="34" w:hRule="atLeast"/>
          <w:jc w:val="center"/>
        </w:trPr>
        <w:tc>
          <w:tcPr>
            <w:tcW w:w="729" w:type="dxa"/>
            <w:vMerge w:val="restart"/>
            <w:tcBorders>
              <w:top w:val="nil"/>
              <w:left w:val="single" w:color="auto" w:sz="4" w:space="0"/>
              <w:right w:val="single" w:color="auto" w:sz="4" w:space="0"/>
            </w:tcBorders>
            <w:noWrap w:val="0"/>
            <w:vAlign w:val="center"/>
          </w:tcPr>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砖</w:t>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t>混</w:t>
            </w:r>
          </w:p>
          <w:p>
            <w:pPr>
              <w:spacing w:beforeLines="0" w:afterLines="0" w:line="300" w:lineRule="exact"/>
              <w:jc w:val="center"/>
              <w:rPr>
                <w:rFonts w:hint="default" w:ascii="Times New Roman" w:hAnsi="Times New Roman"/>
                <w:color w:val="auto"/>
                <w:kern w:val="0"/>
                <w:sz w:val="24"/>
                <w:highlight w:val="none"/>
              </w:rPr>
            </w:pPr>
          </w:p>
          <w:p>
            <w:pPr>
              <w:spacing w:beforeLines="0" w:afterLines="0" w:line="300" w:lineRule="exact"/>
              <w:jc w:val="center"/>
              <w:rPr>
                <w:rFonts w:hint="default" w:ascii="Times New Roman" w:hAnsi="Times New Roman"/>
                <w:color w:val="auto"/>
                <w:kern w:val="0"/>
                <w:sz w:val="20"/>
                <w:highlight w:val="none"/>
              </w:rPr>
            </w:pPr>
            <w:r>
              <w:rPr>
                <w:rFonts w:hint="default" w:ascii="Times New Roman" w:hAnsi="Times New Roman"/>
                <w:color w:val="auto"/>
                <w:kern w:val="0"/>
                <w:sz w:val="24"/>
                <w:highlight w:val="none"/>
              </w:rPr>
              <w:t>结</w:t>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t>构</w:t>
            </w: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一等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外墙贴高级釉面砖或纸皮石，内墙面高档装饰及吊顶天花, 楼地面铺石材或木地板,铝合金门窗,镶板或夹板门。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2045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二等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外墙贴釉面砖或纸皮石,内墙面及天花抹灰扫白，楼地面铺彩釉地砖，铝合金门窗，镶板或夹板门。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1650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三等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外墙贴玻璃马赛克,内墙面及天花抹灰扫白，楼地面铺彩釉地砖，铝合金门窗采用，镶板或夹板门。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1585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四等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外墙为水刷石,内墙面及天花抹灰扫白，楼地面铺彩釉地砖，钢（木）门窗，镶板或夹板门。</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1535</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五等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外墙煽灰，楼地面用水磨石，水泥框夹板门窗。</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1440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left w:val="single" w:color="auto" w:sz="4" w:space="0"/>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六等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内、外墙未装饰（清水墙），楼地面未抹水泥沙浆，门窗未安装。</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1010</w:t>
            </w:r>
          </w:p>
        </w:tc>
      </w:tr>
      <w:tr>
        <w:tblPrEx>
          <w:tblLayout w:type="fixed"/>
          <w:tblCellMar>
            <w:top w:w="0" w:type="dxa"/>
            <w:left w:w="108" w:type="dxa"/>
            <w:bottom w:w="0" w:type="dxa"/>
            <w:right w:w="108" w:type="dxa"/>
          </w:tblCellMar>
        </w:tblPrEx>
        <w:trPr>
          <w:cantSplit/>
          <w:trHeight w:val="34" w:hRule="atLeast"/>
          <w:jc w:val="center"/>
        </w:trPr>
        <w:tc>
          <w:tcPr>
            <w:tcW w:w="729" w:type="dxa"/>
            <w:vMerge w:val="restart"/>
            <w:tcBorders>
              <w:top w:val="nil"/>
              <w:left w:val="single" w:color="auto" w:sz="4" w:space="0"/>
              <w:bottom w:val="single" w:color="000000" w:sz="4" w:space="0"/>
              <w:right w:val="single" w:color="auto" w:sz="4" w:space="0"/>
            </w:tcBorders>
            <w:noWrap w:val="0"/>
            <w:vAlign w:val="center"/>
          </w:tcPr>
          <w:p>
            <w:pPr>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砖木</w:t>
            </w:r>
            <w:r>
              <w:rPr>
                <w:rFonts w:hint="default" w:ascii="Times New Roman" w:hAnsi="Times New Roman"/>
                <w:color w:val="auto"/>
                <w:kern w:val="0"/>
                <w:sz w:val="24"/>
                <w:highlight w:val="none"/>
              </w:rPr>
              <w:br w:type="textWrapping"/>
            </w:r>
            <w:r>
              <w:rPr>
                <w:rFonts w:hint="default" w:ascii="Times New Roman" w:hAnsi="Times New Roman"/>
                <w:color w:val="auto"/>
                <w:kern w:val="0"/>
                <w:sz w:val="24"/>
                <w:highlight w:val="none"/>
              </w:rPr>
              <w:t>结构</w:t>
            </w: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一等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外部装修处理，内部设备完善的庭院式或花园式房屋。</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1020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top w:val="nil"/>
              <w:left w:val="single" w:color="auto" w:sz="4" w:space="0"/>
              <w:bottom w:val="single" w:color="000000"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二等</w:t>
            </w:r>
          </w:p>
        </w:tc>
        <w:tc>
          <w:tcPr>
            <w:tcW w:w="6770" w:type="dxa"/>
            <w:tcBorders>
              <w:top w:val="nil"/>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外部未装修处理，室内有专用设备的普通砖木结构房屋。</w:t>
            </w:r>
          </w:p>
        </w:tc>
        <w:tc>
          <w:tcPr>
            <w:tcW w:w="1598" w:type="dxa"/>
            <w:tcBorders>
              <w:top w:val="nil"/>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920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top w:val="nil"/>
              <w:left w:val="single" w:color="auto" w:sz="4" w:space="0"/>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ind w:firstLine="0" w:firstLineChars="0"/>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三等</w:t>
            </w:r>
          </w:p>
        </w:tc>
        <w:tc>
          <w:tcPr>
            <w:tcW w:w="6770"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结构简单，材料较差，有室内水电设施；条形基础。</w:t>
            </w:r>
          </w:p>
        </w:tc>
        <w:tc>
          <w:tcPr>
            <w:tcW w:w="1598"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765</w:t>
            </w:r>
          </w:p>
        </w:tc>
      </w:tr>
      <w:tr>
        <w:tblPrEx>
          <w:tblLayout w:type="fixed"/>
          <w:tblCellMar>
            <w:top w:w="0" w:type="dxa"/>
            <w:left w:w="108" w:type="dxa"/>
            <w:bottom w:w="0" w:type="dxa"/>
            <w:right w:w="108" w:type="dxa"/>
          </w:tblCellMar>
        </w:tblPrEx>
        <w:trPr>
          <w:cantSplit/>
          <w:trHeight w:val="34" w:hRule="atLeast"/>
          <w:jc w:val="center"/>
        </w:trPr>
        <w:tc>
          <w:tcPr>
            <w:tcW w:w="729" w:type="dxa"/>
            <w:vMerge w:val="restart"/>
            <w:tcBorders>
              <w:top w:val="single" w:color="auto" w:sz="4" w:space="0"/>
              <w:left w:val="single" w:color="auto" w:sz="4" w:space="0"/>
              <w:bottom w:val="single" w:color="000000" w:sz="4" w:space="0"/>
              <w:right w:val="single" w:color="auto" w:sz="4" w:space="0"/>
            </w:tcBorders>
            <w:noWrap w:val="0"/>
            <w:vAlign w:val="center"/>
          </w:tcPr>
          <w:p>
            <w:pPr>
              <w:spacing w:beforeLines="0" w:afterLines="0" w:line="300" w:lineRule="exact"/>
              <w:jc w:val="left"/>
              <w:rPr>
                <w:rFonts w:hint="default" w:ascii="Times New Roman" w:hAnsi="Times New Roman"/>
                <w:color w:val="auto"/>
                <w:kern w:val="0"/>
                <w:sz w:val="20"/>
                <w:highlight w:val="none"/>
              </w:rPr>
            </w:pPr>
            <w:r>
              <w:rPr>
                <w:rFonts w:hint="default" w:ascii="Times New Roman" w:hAnsi="Times New Roman"/>
                <w:color w:val="auto"/>
                <w:kern w:val="0"/>
                <w:sz w:val="24"/>
                <w:highlight w:val="none"/>
              </w:rPr>
              <w:t>简易结构</w:t>
            </w:r>
          </w:p>
        </w:tc>
        <w:tc>
          <w:tcPr>
            <w:tcW w:w="877"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一等</w:t>
            </w:r>
          </w:p>
        </w:tc>
        <w:tc>
          <w:tcPr>
            <w:tcW w:w="6770"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结构简单，松皮屋，室内简单水泥地面，有室内水电设施。</w:t>
            </w:r>
          </w:p>
        </w:tc>
        <w:tc>
          <w:tcPr>
            <w:tcW w:w="1598"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600</w:t>
            </w:r>
          </w:p>
        </w:tc>
      </w:tr>
      <w:tr>
        <w:tblPrEx>
          <w:tblLayout w:type="fixed"/>
          <w:tblCellMar>
            <w:top w:w="0" w:type="dxa"/>
            <w:left w:w="108" w:type="dxa"/>
            <w:bottom w:w="0" w:type="dxa"/>
            <w:right w:w="108" w:type="dxa"/>
          </w:tblCellMar>
        </w:tblPrEx>
        <w:trPr>
          <w:cantSplit/>
          <w:trHeight w:val="34" w:hRule="atLeast"/>
          <w:jc w:val="center"/>
        </w:trPr>
        <w:tc>
          <w:tcPr>
            <w:tcW w:w="729" w:type="dxa"/>
            <w:vMerge w:val="continue"/>
            <w:tcBorders>
              <w:top w:val="nil"/>
              <w:left w:val="single" w:color="auto" w:sz="4" w:space="0"/>
              <w:bottom w:val="single" w:color="000000"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0"/>
                <w:highlight w:val="none"/>
              </w:rPr>
            </w:pPr>
          </w:p>
        </w:tc>
        <w:tc>
          <w:tcPr>
            <w:tcW w:w="877"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二等</w:t>
            </w:r>
          </w:p>
        </w:tc>
        <w:tc>
          <w:tcPr>
            <w:tcW w:w="6770"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left"/>
              <w:rPr>
                <w:rFonts w:hint="default" w:ascii="Times New Roman" w:hAnsi="Times New Roman"/>
                <w:color w:val="auto"/>
                <w:kern w:val="0"/>
                <w:sz w:val="24"/>
                <w:highlight w:val="none"/>
              </w:rPr>
            </w:pPr>
            <w:r>
              <w:rPr>
                <w:rFonts w:hint="default" w:ascii="Times New Roman" w:hAnsi="Times New Roman"/>
                <w:color w:val="auto"/>
                <w:kern w:val="0"/>
                <w:sz w:val="24"/>
                <w:highlight w:val="none"/>
              </w:rPr>
              <w:t>结构简单，茅寮屋，室内简单水泥地面，有室内水电设施。</w:t>
            </w:r>
          </w:p>
        </w:tc>
        <w:tc>
          <w:tcPr>
            <w:tcW w:w="1598" w:type="dxa"/>
            <w:tcBorders>
              <w:top w:val="single" w:color="auto" w:sz="4" w:space="0"/>
              <w:left w:val="nil"/>
              <w:bottom w:val="single" w:color="auto" w:sz="4" w:space="0"/>
              <w:right w:val="single" w:color="auto" w:sz="4" w:space="0"/>
            </w:tcBorders>
            <w:noWrap w:val="0"/>
            <w:vAlign w:val="center"/>
          </w:tcPr>
          <w:p>
            <w:pPr>
              <w:widowControl/>
              <w:spacing w:beforeLines="0" w:afterLines="0" w:line="300" w:lineRule="exact"/>
              <w:jc w:val="center"/>
              <w:rPr>
                <w:rFonts w:hint="default" w:ascii="Times New Roman" w:hAnsi="Times New Roman"/>
                <w:color w:val="auto"/>
                <w:kern w:val="0"/>
                <w:sz w:val="24"/>
                <w:highlight w:val="none"/>
              </w:rPr>
            </w:pPr>
            <w:r>
              <w:rPr>
                <w:rFonts w:hint="default" w:ascii="Times New Roman" w:hAnsi="Times New Roman"/>
                <w:color w:val="auto"/>
                <w:kern w:val="0"/>
                <w:sz w:val="24"/>
                <w:highlight w:val="none"/>
              </w:rPr>
              <w:t>400</w:t>
            </w:r>
          </w:p>
        </w:tc>
      </w:tr>
    </w:tbl>
    <w:p>
      <w:pPr>
        <w:tabs>
          <w:tab w:val="left" w:pos="350"/>
          <w:tab w:val="left" w:pos="1582"/>
        </w:tabs>
        <w:spacing w:beforeLines="0" w:afterLines="0" w:line="100" w:lineRule="exact"/>
        <w:ind w:firstLine="0" w:firstLineChars="0"/>
        <w:rPr>
          <w:rFonts w:hint="default" w:hAnsi="Times New Roman"/>
          <w:kern w:val="2"/>
          <w:sz w:val="24"/>
          <w:szCs w:val="24"/>
        </w:rPr>
      </w:pPr>
    </w:p>
    <w:p>
      <w:pPr>
        <w:tabs>
          <w:tab w:val="left" w:pos="350"/>
          <w:tab w:val="left" w:pos="1582"/>
        </w:tabs>
        <w:spacing w:beforeLines="0" w:afterLines="0" w:line="320" w:lineRule="exact"/>
        <w:ind w:firstLine="0" w:firstLineChars="0"/>
        <w:rPr>
          <w:rFonts w:hint="default" w:hAnsi="Times New Roman"/>
          <w:color w:val="auto"/>
          <w:kern w:val="2"/>
          <w:sz w:val="24"/>
          <w:szCs w:val="24"/>
          <w:highlight w:val="none"/>
        </w:rPr>
      </w:pPr>
      <w:r>
        <w:rPr>
          <w:rFonts w:hint="default" w:hAnsi="Times New Roman"/>
          <w:color w:val="auto"/>
          <w:kern w:val="2"/>
          <w:sz w:val="24"/>
          <w:szCs w:val="24"/>
          <w:highlight w:val="none"/>
        </w:rPr>
        <w:t>备注：①楼房结构从高等级到低等级向下套算，在等级分类标准的小项中有大部分小项以上整体达到标准即可认定为该等级。</w:t>
      </w:r>
    </w:p>
    <w:p>
      <w:pPr>
        <w:tabs>
          <w:tab w:val="left" w:pos="350"/>
          <w:tab w:val="left" w:pos="1582"/>
        </w:tabs>
        <w:spacing w:beforeLines="0" w:afterLines="0" w:line="320" w:lineRule="exact"/>
        <w:ind w:firstLine="0" w:firstLineChars="0"/>
        <w:rPr>
          <w:rFonts w:ascii="Times New Roman" w:hAnsi="Times New Roman"/>
          <w:color w:val="auto"/>
          <w:kern w:val="2"/>
          <w:sz w:val="24"/>
          <w:szCs w:val="24"/>
          <w:highlight w:val="none"/>
        </w:rPr>
      </w:pPr>
      <w:r>
        <w:rPr>
          <w:rFonts w:hint="default" w:ascii="Times New Roman" w:hAnsi="Times New Roman"/>
          <w:color w:val="auto"/>
          <w:kern w:val="2"/>
          <w:sz w:val="24"/>
          <w:szCs w:val="24"/>
          <w:highlight w:val="none"/>
        </w:rPr>
        <w:t>②</w:t>
      </w:r>
      <w:r>
        <w:rPr>
          <w:rFonts w:hint="default" w:hAnsi="Times New Roman"/>
          <w:color w:val="auto"/>
          <w:kern w:val="2"/>
          <w:sz w:val="24"/>
          <w:szCs w:val="24"/>
          <w:highlight w:val="none"/>
        </w:rPr>
        <w:t>上述标准为房（檐、层）高2.5-4米范围（含）。房（檐、层）高超过4米的，每增加1米另行按标准补偿10％，房（檐、层）高低于2.5米的，以实际房（檐、层）高÷2.5米×原标准，折算补偿。</w:t>
      </w:r>
    </w:p>
    <w:p>
      <w:pPr>
        <w:tabs>
          <w:tab w:val="left" w:pos="350"/>
          <w:tab w:val="left" w:pos="1582"/>
        </w:tabs>
        <w:spacing w:beforeLines="0" w:afterLines="0" w:line="320" w:lineRule="exact"/>
        <w:ind w:firstLine="0" w:firstLineChars="0"/>
        <w:rPr>
          <w:rFonts w:ascii="Times New Roman" w:hAnsi="Times New Roman"/>
          <w:color w:val="auto"/>
          <w:kern w:val="2"/>
          <w:sz w:val="24"/>
          <w:szCs w:val="24"/>
          <w:highlight w:val="none"/>
        </w:rPr>
      </w:pPr>
      <w:r>
        <w:rPr>
          <w:rFonts w:hint="default" w:ascii="Times New Roman" w:hAnsi="Times New Roman"/>
          <w:color w:val="auto"/>
          <w:kern w:val="2"/>
          <w:sz w:val="24"/>
          <w:szCs w:val="24"/>
          <w:highlight w:val="none"/>
        </w:rPr>
        <w:t>③</w:t>
      </w:r>
      <w:r>
        <w:rPr>
          <w:rFonts w:hint="default" w:hAnsi="Times New Roman"/>
          <w:color w:val="auto"/>
          <w:kern w:val="2"/>
          <w:sz w:val="24"/>
          <w:szCs w:val="24"/>
          <w:highlight w:val="none"/>
        </w:rPr>
        <w:t>房屋的全封闭外阳台、有顶盖外楼梯按其房屋补偿标准计算，房屋的未封闭外阳台、无顶盖外楼梯按其房屋补偿标准的50％计算。</w:t>
      </w:r>
    </w:p>
    <w:p>
      <w:pPr>
        <w:tabs>
          <w:tab w:val="left" w:pos="350"/>
          <w:tab w:val="left" w:pos="1582"/>
        </w:tabs>
        <w:spacing w:beforeLines="0" w:afterLines="0" w:line="320" w:lineRule="exact"/>
        <w:ind w:firstLine="0" w:firstLineChars="0"/>
      </w:pPr>
      <w:r>
        <w:rPr>
          <w:rFonts w:hint="default" w:ascii="Times New Roman" w:hAnsi="Times New Roman"/>
          <w:color w:val="auto"/>
          <w:kern w:val="2"/>
          <w:sz w:val="24"/>
          <w:szCs w:val="24"/>
          <w:highlight w:val="none"/>
        </w:rPr>
        <w:t>④</w:t>
      </w:r>
      <w:r>
        <w:rPr>
          <w:rFonts w:hint="default" w:hAnsi="Times New Roman"/>
          <w:color w:val="auto"/>
          <w:kern w:val="2"/>
          <w:sz w:val="24"/>
          <w:szCs w:val="24"/>
          <w:highlight w:val="none"/>
        </w:rPr>
        <w:t>泥砖与红砖混建的以砖木结构三等套算。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96643"/>
    <w:rsid w:val="0F09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2019-06-25T01:35:00Z</dcterms:created>
  <dc:creator>admin</dc:creator>
  <cp:lastModifiedBy>admin</cp:lastModifiedBy>
  <dcterms:modified xsi:type="dcterms:W3CDTF">2019-06-25T01:36:36Z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