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从化区2023年广州市促进商务高质量发展专项资金服务贸易专题拟安排计划</w:t>
      </w:r>
    </w:p>
    <w:tbl>
      <w:tblPr>
        <w:tblStyle w:val="4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751"/>
        <w:gridCol w:w="2367"/>
        <w:gridCol w:w="160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企业名称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支持项目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支持金额（万元）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广州天马集团天马摩托车有限公司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服务贸易业绩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3.875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广州隆信信息科技有限公司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在岸服务外包业绩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7.75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广州三雅摩托车有限公司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服务贸易业绩、国际认证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9.6875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7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/>
                <w:color w:val="333333"/>
                <w:sz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万力轮胎股份有限公司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服务贸易业绩、国际认证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9.6875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eastAsia="zh-CN"/>
              </w:rPr>
              <w:t>合计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E4496"/>
    <w:rsid w:val="72D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2023-06-26T08:34:00Z</dcterms:created>
  <dc:creator>黄骏健</dc:creator>
  <cp:lastModifiedBy>黄骏健</cp:lastModifiedBy>
  <dcterms:modified xsi:type="dcterms:W3CDTF">2023-06-26T08:35:10Z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