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firstLine="0" w:firstLineChars="0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附件2</w:t>
      </w:r>
    </w:p>
    <w:p>
      <w:pPr>
        <w:pStyle w:val="4"/>
        <w:spacing w:line="7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一般地上附着物（除房屋）补偿标准</w:t>
      </w:r>
      <w:bookmarkEnd w:id="0"/>
    </w:p>
    <w:p>
      <w:pPr>
        <w:pStyle w:val="4"/>
        <w:spacing w:line="2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tbl>
      <w:tblPr>
        <w:tblStyle w:val="2"/>
        <w:tblW w:w="9366" w:type="dxa"/>
        <w:jc w:val="center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1"/>
        <w:gridCol w:w="80"/>
        <w:gridCol w:w="2419"/>
        <w:gridCol w:w="1101"/>
        <w:gridCol w:w="1717"/>
        <w:gridCol w:w="2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名称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类别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单位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单价（元）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8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自搭阁楼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8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住人插层，下净高2.0米，上净高1.5米以上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围墙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简易围墙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实体围墙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有砖有柱有基础的围墙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花岗岩钢枝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独立的农用粪池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独立村民房屋化粪池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挡土（可视立面面积）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砖挡土墙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毛石挡土墙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钢筋混泥土挡土墙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井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手压井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水井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机井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骨坛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1000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如与市殡葬公司收费标准不一致，参照市殡葬公司收费标准执行。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坟墓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土坟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2500</w:t>
            </w: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灰砂结构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3000</w:t>
            </w: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砖砌结构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5000</w:t>
            </w: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水池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砖砌水池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砼水池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不锈钢水池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花基、花槽、花池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门柱、钢大门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6000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宽4米以上按评估补偿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门楼、钢大门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12000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户外水泥地面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厚度15厘米以下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厚度15厘米以上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砼面厚度10～20厘米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砼面厚度20～25厘米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砼面厚度25厘米以上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电话迁移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有线电视迁移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宽带网络迁移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户外独立水表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户外独立电表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管道煤气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电动闸、牌坊、依法批准的广告牌</w:t>
            </w:r>
          </w:p>
        </w:tc>
        <w:tc>
          <w:tcPr>
            <w:tcW w:w="5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按原样原状恢复造价补偿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交通标准、公交车站</w:t>
            </w:r>
          </w:p>
        </w:tc>
        <w:tc>
          <w:tcPr>
            <w:tcW w:w="5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按重置价格予以补偿或恢复</w:t>
            </w:r>
          </w:p>
        </w:tc>
      </w:tr>
    </w:tbl>
    <w:p>
      <w:pPr>
        <w:spacing w:line="300" w:lineRule="exact"/>
        <w:ind w:firstLine="0" w:firstLineChars="0"/>
        <w:rPr>
          <w:rFonts w:hint="default" w:hAnsi="Times New Roman"/>
          <w:sz w:val="28"/>
          <w:szCs w:val="28"/>
        </w:rPr>
      </w:pPr>
    </w:p>
    <w:p>
      <w:pPr>
        <w:ind w:firstLine="0" w:firstLineChars="0"/>
        <w:rPr>
          <w:rFonts w:hAnsi="Times New Roman"/>
          <w:sz w:val="28"/>
          <w:szCs w:val="28"/>
        </w:rPr>
      </w:pPr>
      <w:r>
        <w:rPr>
          <w:rFonts w:hint="default" w:hAnsi="Times New Roman"/>
          <w:sz w:val="28"/>
          <w:szCs w:val="28"/>
        </w:rPr>
        <w:t>附着物补偿标准说明</w:t>
      </w:r>
    </w:p>
    <w:p>
      <w:pPr>
        <w:ind w:firstLine="560" w:firstLineChars="200"/>
        <w:rPr>
          <w:rFonts w:hAnsi="Times New Roman"/>
          <w:sz w:val="28"/>
          <w:szCs w:val="28"/>
        </w:rPr>
      </w:pPr>
      <w:r>
        <w:rPr>
          <w:rFonts w:hint="default" w:hAnsi="Times New Roman"/>
          <w:sz w:val="28"/>
          <w:szCs w:val="28"/>
        </w:rPr>
        <w:t>1.围墙双面批荡按标准增加补偿</w:t>
      </w:r>
      <w:r>
        <w:rPr>
          <w:rFonts w:hAnsi="Times New Roman"/>
          <w:sz w:val="28"/>
          <w:szCs w:val="28"/>
        </w:rPr>
        <w:t>10</w:t>
      </w:r>
      <w:r>
        <w:rPr>
          <w:rFonts w:hint="default" w:hAnsi="Times New Roman"/>
          <w:sz w:val="28"/>
          <w:szCs w:val="28"/>
        </w:rPr>
        <w:t>％，洗石米增加</w:t>
      </w:r>
      <w:r>
        <w:rPr>
          <w:rFonts w:hAnsi="Times New Roman"/>
          <w:sz w:val="28"/>
          <w:szCs w:val="28"/>
        </w:rPr>
        <w:t>20</w:t>
      </w:r>
      <w:r>
        <w:rPr>
          <w:rFonts w:hint="default" w:hAnsi="Times New Roman"/>
          <w:sz w:val="28"/>
          <w:szCs w:val="28"/>
        </w:rPr>
        <w:t>％，贴瓷片增加</w:t>
      </w:r>
      <w:r>
        <w:rPr>
          <w:rFonts w:hAnsi="Times New Roman"/>
          <w:sz w:val="28"/>
          <w:szCs w:val="28"/>
        </w:rPr>
        <w:t>30</w:t>
      </w:r>
      <w:r>
        <w:rPr>
          <w:rFonts w:hint="default" w:hAnsi="Times New Roman"/>
          <w:sz w:val="28"/>
          <w:szCs w:val="28"/>
        </w:rPr>
        <w:t>％；单面折半计算。</w:t>
      </w:r>
    </w:p>
    <w:p>
      <w:pPr>
        <w:ind w:firstLine="560" w:firstLineChars="200"/>
        <w:rPr>
          <w:rFonts w:hAnsi="Times New Roman"/>
          <w:sz w:val="28"/>
          <w:szCs w:val="28"/>
        </w:rPr>
      </w:pPr>
      <w:r>
        <w:rPr>
          <w:rFonts w:hint="default" w:hAnsi="Times New Roman"/>
          <w:sz w:val="28"/>
          <w:szCs w:val="28"/>
        </w:rPr>
        <w:t>2.楼顶供水水缸直径</w:t>
      </w:r>
      <w:r>
        <w:rPr>
          <w:rFonts w:hAnsi="Times New Roman"/>
          <w:sz w:val="28"/>
          <w:szCs w:val="28"/>
        </w:rPr>
        <w:t>1</w:t>
      </w:r>
      <w:r>
        <w:rPr>
          <w:rFonts w:hint="default" w:hAnsi="Times New Roman"/>
          <w:sz w:val="28"/>
          <w:szCs w:val="28"/>
        </w:rPr>
        <w:t>米以上的，补偿标准为</w:t>
      </w:r>
      <w:r>
        <w:rPr>
          <w:rFonts w:hAnsi="Times New Roman"/>
          <w:sz w:val="28"/>
          <w:szCs w:val="28"/>
        </w:rPr>
        <w:t>500</w:t>
      </w:r>
      <w:r>
        <w:rPr>
          <w:rFonts w:hint="default" w:hAnsi="Times New Roman"/>
          <w:sz w:val="28"/>
          <w:szCs w:val="28"/>
        </w:rPr>
        <w:t>元</w:t>
      </w:r>
      <w:r>
        <w:rPr>
          <w:rFonts w:hAnsi="Times New Roman"/>
          <w:sz w:val="28"/>
          <w:szCs w:val="28"/>
        </w:rPr>
        <w:t>/</w:t>
      </w:r>
      <w:r>
        <w:rPr>
          <w:rFonts w:hint="default" w:hAnsi="Times New Roman"/>
          <w:sz w:val="28"/>
          <w:szCs w:val="28"/>
        </w:rPr>
        <w:t>只，直径低于</w:t>
      </w:r>
      <w:r>
        <w:rPr>
          <w:rFonts w:hAnsi="Times New Roman"/>
          <w:sz w:val="28"/>
          <w:szCs w:val="28"/>
        </w:rPr>
        <w:t>1</w:t>
      </w:r>
      <w:r>
        <w:rPr>
          <w:rFonts w:hint="default" w:hAnsi="Times New Roman"/>
          <w:sz w:val="28"/>
          <w:szCs w:val="28"/>
        </w:rPr>
        <w:t>米的，以实际直径×原标准，折算补偿。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default" w:hAnsi="Times New Roman"/>
          <w:sz w:val="28"/>
          <w:szCs w:val="28"/>
        </w:rPr>
        <w:t>3.泵井必须带泵头且能正常使用。抽水管为铁管的，补偿标准为</w:t>
      </w:r>
      <w:r>
        <w:rPr>
          <w:rFonts w:hAnsi="Times New Roman"/>
          <w:sz w:val="28"/>
          <w:szCs w:val="28"/>
        </w:rPr>
        <w:t>500</w:t>
      </w:r>
      <w:r>
        <w:rPr>
          <w:rFonts w:hint="default" w:hAnsi="Times New Roman"/>
          <w:sz w:val="28"/>
          <w:szCs w:val="28"/>
        </w:rPr>
        <w:t>元</w:t>
      </w:r>
      <w:r>
        <w:rPr>
          <w:rFonts w:hAnsi="Times New Roman"/>
          <w:sz w:val="28"/>
          <w:szCs w:val="28"/>
        </w:rPr>
        <w:t>/</w:t>
      </w:r>
      <w:r>
        <w:rPr>
          <w:rFonts w:hint="default" w:hAnsi="Times New Roman"/>
          <w:sz w:val="28"/>
          <w:szCs w:val="28"/>
        </w:rPr>
        <w:t>个；抽水管为塑料管的，补偿标准为</w:t>
      </w:r>
      <w:r>
        <w:rPr>
          <w:rFonts w:hAnsi="Times New Roman"/>
          <w:sz w:val="28"/>
          <w:szCs w:val="28"/>
        </w:rPr>
        <w:t>250</w:t>
      </w:r>
      <w:r>
        <w:rPr>
          <w:rFonts w:hint="default" w:hAnsi="Times New Roman"/>
          <w:sz w:val="28"/>
          <w:szCs w:val="28"/>
        </w:rPr>
        <w:t>元</w:t>
      </w:r>
      <w:r>
        <w:rPr>
          <w:rFonts w:hAnsi="Times New Roman"/>
          <w:sz w:val="28"/>
          <w:szCs w:val="28"/>
        </w:rPr>
        <w:t>/</w:t>
      </w:r>
      <w:r>
        <w:rPr>
          <w:rFonts w:hint="default" w:hAnsi="Times New Roman"/>
          <w:sz w:val="28"/>
          <w:szCs w:val="28"/>
        </w:rPr>
        <w:t>个。</w:t>
      </w:r>
    </w:p>
    <w:p>
      <w:pPr>
        <w:ind w:firstLine="560" w:firstLineChars="200"/>
        <w:rPr>
          <w:rFonts w:hAnsi="Times New Roman"/>
          <w:sz w:val="28"/>
          <w:szCs w:val="28"/>
        </w:rPr>
      </w:pPr>
      <w:r>
        <w:rPr>
          <w:rFonts w:hint="default" w:hAnsi="Times New Roman"/>
          <w:sz w:val="28"/>
          <w:szCs w:val="28"/>
        </w:rPr>
        <w:t>4.不能正常使用的水池、水井、泵井和楼顶供水水缸按标准的</w:t>
      </w:r>
      <w:r>
        <w:rPr>
          <w:rFonts w:hAnsi="Times New Roman"/>
          <w:sz w:val="28"/>
          <w:szCs w:val="28"/>
        </w:rPr>
        <w:t>50%</w:t>
      </w:r>
      <w:r>
        <w:rPr>
          <w:rFonts w:hint="default" w:hAnsi="Times New Roman"/>
          <w:sz w:val="28"/>
          <w:szCs w:val="28"/>
        </w:rPr>
        <w:t>补偿。</w:t>
      </w:r>
    </w:p>
    <w:p>
      <w:pPr>
        <w:ind w:firstLine="560" w:firstLineChars="200"/>
        <w:rPr>
          <w:rFonts w:hAnsi="Times New Roman"/>
          <w:sz w:val="28"/>
          <w:szCs w:val="28"/>
        </w:rPr>
      </w:pPr>
      <w:r>
        <w:rPr>
          <w:rFonts w:hint="default" w:hAnsi="Times New Roman"/>
          <w:sz w:val="28"/>
          <w:szCs w:val="28"/>
        </w:rPr>
        <w:t>5.凡被征地单位和个人在拟征土地上不按生产生活的实际需要，恶意建造水池、水井和泵井等构筑物的，征地时一律不予补偿。</w:t>
      </w:r>
    </w:p>
    <w:p>
      <w:pPr>
        <w:ind w:firstLine="560" w:firstLineChars="200"/>
        <w:rPr>
          <w:rFonts w:hAnsi="Times New Roman"/>
          <w:sz w:val="28"/>
          <w:szCs w:val="28"/>
        </w:rPr>
      </w:pPr>
      <w:r>
        <w:rPr>
          <w:rFonts w:hint="default" w:hAnsi="Times New Roman"/>
          <w:sz w:val="28"/>
          <w:szCs w:val="28"/>
        </w:rPr>
        <w:t>6.楼房纯基础，指只有楼房基础，上面未盖有建筑物。</w:t>
      </w:r>
    </w:p>
    <w:p>
      <w:pPr>
        <w:ind w:firstLine="560" w:firstLineChars="200"/>
        <w:rPr>
          <w:rFonts w:hAnsi="Times New Roman"/>
          <w:sz w:val="28"/>
          <w:szCs w:val="28"/>
        </w:rPr>
      </w:pPr>
      <w:r>
        <w:rPr>
          <w:rFonts w:hint="default" w:hAnsi="Times New Roman"/>
          <w:sz w:val="28"/>
          <w:szCs w:val="28"/>
        </w:rPr>
        <w:t>7.电力线、通信设施、水利设施、输油（气）管道、地下供水网、电缆光缆等按实际拆迁经评估机构评估的行业成本价计补。</w:t>
      </w:r>
    </w:p>
    <w:p>
      <w:pPr>
        <w:ind w:firstLine="560" w:firstLineChars="200"/>
        <w:rPr>
          <w:rFonts w:hint="default" w:hAnsi="Times New Roman"/>
          <w:sz w:val="28"/>
          <w:szCs w:val="28"/>
        </w:rPr>
      </w:pPr>
      <w:r>
        <w:rPr>
          <w:rFonts w:hint="default" w:hAnsi="Times New Roman"/>
          <w:sz w:val="28"/>
          <w:szCs w:val="28"/>
        </w:rPr>
        <w:t>8.对征地范围内的山坟，各坟主应积极配合做好迁坟工作，对自行迁坟的坟主按本规定的标准给予补偿。对在限期内未能自行迁坟的，视作无主坟处理。</w:t>
      </w:r>
    </w:p>
    <w:p>
      <w:pPr>
        <w:ind w:firstLine="560" w:firstLineChars="200"/>
        <w:rPr>
          <w:rFonts w:hint="default" w:hAnsi="Times New Roman" w:eastAsia="仿宋_GB2312"/>
          <w:sz w:val="28"/>
          <w:szCs w:val="28"/>
          <w:lang w:val="en-US" w:eastAsia="zh-CN"/>
        </w:rPr>
      </w:pPr>
      <w:r>
        <w:rPr>
          <w:rFonts w:hint="default" w:hAnsi="Times New Roman"/>
          <w:sz w:val="28"/>
          <w:szCs w:val="28"/>
          <w:lang w:val="en-US" w:eastAsia="zh-CN"/>
        </w:rPr>
        <w:t>9.上表项目有特殊情况的，以及其他附属设施的补偿标准，按评估价补偿。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C4A23"/>
    <w:rsid w:val="3C8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仿三）"/>
    <w:basedOn w:val="1"/>
    <w:qFormat/>
    <w:uiPriority w:val="0"/>
    <w:pPr>
      <w:spacing w:line="336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2021-03-03T03:11:00Z</dcterms:created>
  <dc:creator>陈耀勋</dc:creator>
  <cp:lastModifiedBy>陈耀勋</cp:lastModifiedBy>
  <dcterms:modified xsi:type="dcterms:W3CDTF">2021-03-03T03:12:03Z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