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附件2</w:t>
      </w:r>
    </w:p>
    <w:p>
      <w:pPr>
        <w:pStyle w:val="4"/>
        <w:spacing w:line="76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一般地上附着物（除房屋）补偿标准</w:t>
      </w:r>
      <w:bookmarkEnd w:id="0"/>
    </w:p>
    <w:p>
      <w:pPr>
        <w:pStyle w:val="4"/>
        <w:spacing w:line="40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2"/>
        <w:tblW w:w="9869" w:type="dxa"/>
        <w:jc w:val="center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1"/>
        <w:gridCol w:w="80"/>
        <w:gridCol w:w="2600"/>
        <w:gridCol w:w="1101"/>
        <w:gridCol w:w="1717"/>
        <w:gridCol w:w="2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自搭阁楼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住人插层，下净高2.0米，上净高1.5米以上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围墙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简易围墙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实体围墙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有砖有柱有基础的围墙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花岗岩钢枝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独立的农用粪池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独立村民房屋化粪池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挡土（可视立面面积）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砖挡土墙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毛石挡土墙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钢筋混泥土挡土墙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井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手压井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水井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机井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骨坛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如与市殡葬公司收费标准不一致，参照市殡葬公司收费标准执行。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坟墓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土坟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灰砂结构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砖砌结构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水池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砖砌水池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砼水池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不锈钢水池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花基、花槽、花池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门柱、钢大门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宽4米以上按评估补偿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门楼、钢大门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2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户外水泥地面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厚度15厘米以下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厚度15厘米以上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砼面厚度10～20厘米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砼面厚度20～25厘米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砼面厚度25厘米以上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电话迁移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有线电视迁移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宽带网络迁移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户外独立水表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户外独立电表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管道煤气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sz w:val="28"/>
                <w:szCs w:val="28"/>
              </w:rPr>
              <w:t>电动闸、牌坊、依法批准的广告牌</w:t>
            </w:r>
          </w:p>
        </w:tc>
        <w:tc>
          <w:tcPr>
            <w:tcW w:w="5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按原样原状恢复造价补偿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交通标准、公交车站</w:t>
            </w:r>
          </w:p>
        </w:tc>
        <w:tc>
          <w:tcPr>
            <w:tcW w:w="5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5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按重置价格予以补偿或恢复</w:t>
            </w:r>
          </w:p>
        </w:tc>
      </w:tr>
    </w:tbl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附着物补偿标准说明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1.围墙双面批荡按标准增加补偿</w:t>
      </w:r>
      <w:r>
        <w:rPr>
          <w:rFonts w:hAnsi="Times New Roman"/>
          <w:sz w:val="32"/>
          <w:szCs w:val="32"/>
        </w:rPr>
        <w:t>10</w:t>
      </w:r>
      <w:r>
        <w:rPr>
          <w:rFonts w:hint="default" w:hAnsi="Times New Roman"/>
          <w:sz w:val="32"/>
          <w:szCs w:val="32"/>
        </w:rPr>
        <w:t>％，洗石米增加</w:t>
      </w:r>
      <w:r>
        <w:rPr>
          <w:rFonts w:hAnsi="Times New Roman"/>
          <w:sz w:val="32"/>
          <w:szCs w:val="32"/>
        </w:rPr>
        <w:t>20</w:t>
      </w:r>
      <w:r>
        <w:rPr>
          <w:rFonts w:hint="default" w:hAnsi="Times New Roman"/>
          <w:sz w:val="32"/>
          <w:szCs w:val="32"/>
        </w:rPr>
        <w:t>％，贴瓷片增加</w:t>
      </w:r>
      <w:r>
        <w:rPr>
          <w:rFonts w:hAnsi="Times New Roman"/>
          <w:sz w:val="32"/>
          <w:szCs w:val="32"/>
        </w:rPr>
        <w:t>30</w:t>
      </w:r>
      <w:r>
        <w:rPr>
          <w:rFonts w:hint="default" w:hAnsi="Times New Roman"/>
          <w:sz w:val="32"/>
          <w:szCs w:val="32"/>
        </w:rPr>
        <w:t>％；单面折半计算。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2.楼顶供水水缸直径</w:t>
      </w:r>
      <w:r>
        <w:rPr>
          <w:rFonts w:hAnsi="Times New Roman"/>
          <w:sz w:val="32"/>
          <w:szCs w:val="32"/>
        </w:rPr>
        <w:t>1</w:t>
      </w:r>
      <w:r>
        <w:rPr>
          <w:rFonts w:hint="default" w:hAnsi="Times New Roman"/>
          <w:sz w:val="32"/>
          <w:szCs w:val="32"/>
        </w:rPr>
        <w:t>米以上的，补偿标准为</w:t>
      </w:r>
      <w:r>
        <w:rPr>
          <w:rFonts w:hAnsi="Times New Roman"/>
          <w:sz w:val="32"/>
          <w:szCs w:val="32"/>
        </w:rPr>
        <w:t>500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只，直径低于</w:t>
      </w:r>
      <w:r>
        <w:rPr>
          <w:rFonts w:hAnsi="Times New Roman"/>
          <w:sz w:val="32"/>
          <w:szCs w:val="32"/>
        </w:rPr>
        <w:t>1</w:t>
      </w:r>
      <w:r>
        <w:rPr>
          <w:rFonts w:hint="default" w:hAnsi="Times New Roman"/>
          <w:sz w:val="32"/>
          <w:szCs w:val="32"/>
        </w:rPr>
        <w:t>米的，以实际直径×原标准，折算补偿。</w:t>
      </w:r>
    </w:p>
    <w:p>
      <w:pPr>
        <w:ind w:firstLine="640" w:firstLineChars="200"/>
      </w:pPr>
      <w:r>
        <w:rPr>
          <w:rFonts w:hint="default" w:hAnsi="Times New Roman"/>
          <w:sz w:val="32"/>
          <w:szCs w:val="32"/>
        </w:rPr>
        <w:t>3.泵井必须带泵头且能正常使用。抽水管为铁管的，补偿标准为</w:t>
      </w:r>
      <w:r>
        <w:rPr>
          <w:rFonts w:hAnsi="Times New Roman"/>
          <w:sz w:val="32"/>
          <w:szCs w:val="32"/>
        </w:rPr>
        <w:t>500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个；抽水管为塑料管的，补偿标准为</w:t>
      </w:r>
      <w:r>
        <w:rPr>
          <w:rFonts w:hAnsi="Times New Roman"/>
          <w:sz w:val="32"/>
          <w:szCs w:val="32"/>
        </w:rPr>
        <w:t>250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个。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4.不能正常使用的水池、水井、泵井和楼顶供水水缸按标准的</w:t>
      </w:r>
      <w:r>
        <w:rPr>
          <w:rFonts w:hAnsi="Times New Roman"/>
          <w:sz w:val="32"/>
          <w:szCs w:val="32"/>
        </w:rPr>
        <w:t>50%</w:t>
      </w:r>
      <w:r>
        <w:rPr>
          <w:rFonts w:hint="default" w:hAnsi="Times New Roman"/>
          <w:sz w:val="32"/>
          <w:szCs w:val="32"/>
        </w:rPr>
        <w:t>补偿。</w:t>
      </w:r>
    </w:p>
    <w:p>
      <w:pPr>
        <w:ind w:firstLine="616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pacing w:val="-6"/>
          <w:sz w:val="32"/>
          <w:szCs w:val="32"/>
        </w:rPr>
        <w:t>5.凡被征地单位和个人在拟征土地上不按生产生活的实际需要，恶意建造水池、水井和泵井等构筑物的，征地时一律不予补偿。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6.楼房纯基础，指只有楼房基础，上面未盖有建筑物。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7.电力线、通信设施、水利设施、输油（气）管道、地下供水网、电缆光缆等按实际拆迁经评估机构评估的行业成本价计补。</w:t>
      </w:r>
    </w:p>
    <w:p>
      <w:pPr>
        <w:ind w:firstLine="640" w:firstLineChars="200"/>
        <w:rPr>
          <w:rFonts w:hint="default"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8.对征地范围内的山坟，各坟主应积极配合做好迁坟工作，对自行迁坟的坟主按本规定的标准给予补偿。对在限期内未能自行迁坟的，视作无主坟处理。</w:t>
      </w:r>
    </w:p>
    <w:p>
      <w:pPr>
        <w:ind w:firstLine="640" w:firstLineChars="200"/>
        <w:rPr>
          <w:rFonts w:hint="default" w:hAnsi="Times New Roman" w:eastAsia="仿宋_GB2312"/>
          <w:sz w:val="32"/>
          <w:szCs w:val="32"/>
          <w:lang w:val="en-US" w:eastAsia="zh-CN"/>
        </w:rPr>
      </w:pPr>
      <w:r>
        <w:rPr>
          <w:rFonts w:hint="default" w:hAnsi="Times New Roman"/>
          <w:sz w:val="32"/>
          <w:szCs w:val="32"/>
          <w:lang w:val="en-US" w:eastAsia="zh-CN"/>
        </w:rPr>
        <w:t>9.上表项目有特殊情况的，以及其他附属设施的补偿标准，按评估价补偿。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6206"/>
    <w:rsid w:val="0E7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仿三）"/>
    <w:basedOn w:val="1"/>
    <w:qFormat/>
    <w:uiPriority w:val="0"/>
    <w:pPr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2021-03-03T02:27:00Z</dcterms:created>
  <dc:creator>陈耀勋</dc:creator>
  <cp:lastModifiedBy>陈耀勋</cp:lastModifiedBy>
  <dcterms:modified xsi:type="dcterms:W3CDTF">2021-03-03T02:27:58Z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