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rPr>
          <w:rFonts w:hint="eastAsia" w:ascii="黑体" w:hAnsi="黑体" w:eastAsia="黑体" w:cs="黑体"/>
          <w:b w:val="0"/>
          <w:bCs w:val="0"/>
          <w:color w:val="000000"/>
        </w:rPr>
      </w:pPr>
      <w:r>
        <w:rPr>
          <w:rFonts w:hint="eastAsia" w:ascii="黑体" w:hAnsi="黑体" w:eastAsia="黑体" w:cs="黑体"/>
          <w:b w:val="0"/>
          <w:bCs w:val="0"/>
          <w:color w:val="000000"/>
        </w:rPr>
        <w:t>附件1</w:t>
      </w:r>
    </w:p>
    <w:p>
      <w:pPr>
        <w:pStyle w:val="4"/>
        <w:spacing w:line="760" w:lineRule="exact"/>
        <w:ind w:firstLine="883"/>
        <w:jc w:val="center"/>
        <w:rPr>
          <w:rFonts w:hint="eastAsia" w:ascii="方正小标宋简体" w:hAnsi="方正小标宋简体" w:eastAsia="方正小标宋简体" w:cs="方正小标宋简体"/>
          <w:b w:val="0"/>
          <w:bCs w:val="0"/>
          <w:color w:val="000000"/>
          <w:sz w:val="44"/>
          <w:szCs w:val="44"/>
        </w:rPr>
      </w:pPr>
      <w:bookmarkStart w:id="0" w:name="_GoBack"/>
      <w:r>
        <w:rPr>
          <w:rFonts w:hint="eastAsia" w:ascii="方正小标宋简体" w:hAnsi="方正小标宋简体" w:eastAsia="方正小标宋简体" w:cs="方正小标宋简体"/>
          <w:b w:val="0"/>
          <w:bCs w:val="0"/>
          <w:color w:val="000000"/>
          <w:sz w:val="44"/>
          <w:szCs w:val="44"/>
        </w:rPr>
        <w:t>房屋重置补偿标准</w:t>
      </w:r>
      <w:bookmarkEnd w:id="0"/>
    </w:p>
    <w:p>
      <w:pPr>
        <w:pStyle w:val="4"/>
        <w:spacing w:line="240" w:lineRule="exact"/>
        <w:ind w:firstLine="883"/>
        <w:jc w:val="center"/>
        <w:rPr>
          <w:rFonts w:hint="eastAsia" w:ascii="方正小标宋简体" w:hAnsi="方正小标宋简体" w:eastAsia="方正小标宋简体" w:cs="方正小标宋简体"/>
          <w:b w:val="0"/>
          <w:bCs w:val="0"/>
          <w:color w:val="000000"/>
          <w:sz w:val="44"/>
          <w:szCs w:val="44"/>
        </w:rPr>
      </w:pPr>
    </w:p>
    <w:tbl>
      <w:tblPr>
        <w:tblStyle w:val="3"/>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994"/>
        <w:gridCol w:w="600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noWrap w:val="0"/>
            <w:vAlign w:val="center"/>
          </w:tcPr>
          <w:p>
            <w:pPr>
              <w:spacing w:line="320" w:lineRule="exact"/>
              <w:ind w:firstLine="0"/>
              <w:jc w:val="left"/>
              <w:rPr>
                <w:rFonts w:hint="eastAsia" w:ascii="黑体" w:hAnsi="黑体" w:eastAsia="黑体" w:cs="黑体"/>
                <w:sz w:val="24"/>
                <w:szCs w:val="24"/>
              </w:rPr>
            </w:pPr>
            <w:r>
              <w:rPr>
                <w:rFonts w:hint="eastAsia" w:ascii="黑体" w:hAnsi="黑体" w:eastAsia="黑体" w:cs="黑体"/>
                <w:sz w:val="24"/>
                <w:szCs w:val="24"/>
              </w:rPr>
              <w:t>项目</w:t>
            </w:r>
          </w:p>
        </w:tc>
        <w:tc>
          <w:tcPr>
            <w:tcW w:w="994" w:type="dxa"/>
            <w:noWrap w:val="0"/>
            <w:vAlign w:val="center"/>
          </w:tcPr>
          <w:p>
            <w:pPr>
              <w:spacing w:line="320" w:lineRule="exact"/>
              <w:ind w:firstLine="0"/>
              <w:jc w:val="center"/>
              <w:rPr>
                <w:rFonts w:hint="eastAsia" w:ascii="黑体" w:hAnsi="黑体" w:eastAsia="黑体" w:cs="黑体"/>
                <w:sz w:val="24"/>
                <w:szCs w:val="24"/>
              </w:rPr>
            </w:pPr>
            <w:r>
              <w:rPr>
                <w:rFonts w:hint="eastAsia" w:ascii="黑体" w:hAnsi="黑体" w:eastAsia="黑体" w:cs="黑体"/>
                <w:sz w:val="24"/>
                <w:szCs w:val="24"/>
              </w:rPr>
              <w:t>等级</w:t>
            </w:r>
          </w:p>
        </w:tc>
        <w:tc>
          <w:tcPr>
            <w:tcW w:w="6007" w:type="dxa"/>
            <w:noWrap w:val="0"/>
            <w:vAlign w:val="center"/>
          </w:tcPr>
          <w:p>
            <w:pPr>
              <w:spacing w:line="320" w:lineRule="exact"/>
              <w:ind w:firstLine="0"/>
              <w:jc w:val="center"/>
              <w:rPr>
                <w:rFonts w:hint="eastAsia" w:ascii="黑体" w:hAnsi="黑体" w:eastAsia="黑体" w:cs="黑体"/>
                <w:sz w:val="24"/>
                <w:szCs w:val="24"/>
              </w:rPr>
            </w:pPr>
            <w:r>
              <w:rPr>
                <w:rFonts w:hint="eastAsia" w:ascii="黑体" w:hAnsi="黑体" w:eastAsia="黑体" w:cs="黑体"/>
                <w:sz w:val="24"/>
                <w:szCs w:val="24"/>
              </w:rPr>
              <w:t>补偿等级分类标准</w:t>
            </w:r>
          </w:p>
        </w:tc>
        <w:tc>
          <w:tcPr>
            <w:tcW w:w="1771" w:type="dxa"/>
            <w:noWrap w:val="0"/>
            <w:vAlign w:val="center"/>
          </w:tcPr>
          <w:p>
            <w:pPr>
              <w:spacing w:line="320" w:lineRule="exact"/>
              <w:ind w:firstLine="0"/>
              <w:jc w:val="center"/>
              <w:rPr>
                <w:rFonts w:hint="eastAsia" w:ascii="黑体" w:hAnsi="黑体" w:eastAsia="黑体" w:cs="黑体"/>
                <w:sz w:val="24"/>
                <w:szCs w:val="24"/>
              </w:rPr>
            </w:pPr>
            <w:r>
              <w:rPr>
                <w:rFonts w:hint="eastAsia" w:ascii="黑体" w:hAnsi="黑体" w:eastAsia="黑体" w:cs="黑体"/>
                <w:sz w:val="24"/>
                <w:szCs w:val="24"/>
              </w:rPr>
              <w:t>单位</w:t>
            </w:r>
          </w:p>
          <w:p>
            <w:pPr>
              <w:spacing w:line="320" w:lineRule="exact"/>
              <w:ind w:firstLine="0"/>
              <w:jc w:val="center"/>
              <w:rPr>
                <w:rFonts w:hint="eastAsia" w:ascii="黑体" w:hAnsi="黑体" w:eastAsia="黑体" w:cs="黑体"/>
                <w:sz w:val="24"/>
                <w:szCs w:val="24"/>
              </w:rPr>
            </w:pPr>
            <w:r>
              <w:rPr>
                <w:rFonts w:hint="eastAsia" w:ascii="黑体" w:hAnsi="黑体" w:eastAsia="黑体" w:cs="黑体"/>
                <w:sz w:val="24"/>
                <w:szCs w:val="24"/>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restart"/>
            <w:noWrap w:val="0"/>
            <w:textDirection w:val="tbRlV"/>
            <w:vAlign w:val="center"/>
          </w:tcPr>
          <w:p>
            <w:pPr>
              <w:spacing w:line="460" w:lineRule="exact"/>
              <w:ind w:left="567" w:firstLine="0"/>
              <w:jc w:val="center"/>
              <w:rPr>
                <w:rFonts w:hint="default" w:ascii="Times New Roman" w:hAnsi="Times New Roman" w:cs="Times New Roman"/>
                <w:sz w:val="24"/>
                <w:szCs w:val="24"/>
              </w:rPr>
            </w:pPr>
            <w:r>
              <w:rPr>
                <w:rFonts w:hint="default" w:ascii="Times New Roman" w:hAnsi="Times New Roman" w:cs="Times New Roman"/>
                <w:sz w:val="24"/>
                <w:szCs w:val="24"/>
              </w:rPr>
              <w:t>框 架 结 构</w:t>
            </w: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一等</w:t>
            </w:r>
          </w:p>
        </w:tc>
        <w:tc>
          <w:tcPr>
            <w:tcW w:w="6007" w:type="dxa"/>
            <w:noWrap w:val="0"/>
            <w:vAlign w:val="center"/>
          </w:tcPr>
          <w:p>
            <w:pPr>
              <w:spacing w:line="46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外墙贴高级釉面砖或纸皮石，内墙面高档装饰及吊顶天花，楼地面铺石材或木地板，铝合金门窗，镶板或夹板门。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二等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外墙贴釉面砖或纸皮石，内墙面及天花抹灰扫白，楼地面铺彩釉地砖，铝合金门窗，镶板或夹板门。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三等</w:t>
            </w:r>
          </w:p>
        </w:tc>
        <w:tc>
          <w:tcPr>
            <w:tcW w:w="6007" w:type="dxa"/>
            <w:vMerge w:val="restart"/>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外墙贴玻璃马赛克，内墙面及天花抹灰扫白，楼地面铺彩釉地砖，铝合金门窗采用，镶板或夹板门。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四等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外墙为水刷石，内墙面及天花抹灰扫白，楼地面铺彩釉地砖，钢（木）门窗，镶板或夹板门。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五等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外墙煽灰，楼地面用水磨石，水泥框夹板门窗。</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六等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内、外墙未装饰（清水墙），楼地面未抹水泥沙浆，门窗未安装。</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七等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内、外墙残缺，楼地面未抹水泥沙浆，门窗未安装。</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restart"/>
            <w:noWrap w:val="0"/>
            <w:textDirection w:val="tbRlV"/>
            <w:vAlign w:val="center"/>
          </w:tcPr>
          <w:p>
            <w:pPr>
              <w:spacing w:line="460" w:lineRule="exact"/>
              <w:ind w:left="567" w:firstLine="0"/>
              <w:jc w:val="center"/>
              <w:rPr>
                <w:rFonts w:hint="default" w:ascii="Times New Roman" w:hAnsi="Times New Roman" w:cs="Times New Roman"/>
                <w:sz w:val="24"/>
                <w:szCs w:val="24"/>
              </w:rPr>
            </w:pPr>
            <w:r>
              <w:rPr>
                <w:rFonts w:hint="default" w:ascii="Times New Roman" w:hAnsi="Times New Roman" w:cs="Times New Roman"/>
                <w:sz w:val="24"/>
                <w:szCs w:val="24"/>
              </w:rPr>
              <w:t>砖 混 合结 构</w:t>
            </w: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一等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外墙贴高级釉面砖或纸皮石，内墙面高档装饰及吊顶天花，楼地面铺石材或木地板，铝合金门窗，镶板或夹板门。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2045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二等</w:t>
            </w:r>
          </w:p>
        </w:tc>
        <w:tc>
          <w:tcPr>
            <w:tcW w:w="6007" w:type="dxa"/>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外墙贴釉面砖或纸皮石，内墙面及天花抹灰扫白，楼地面铺彩釉地砖，铝合金门窗，镶板或夹板门。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三等</w:t>
            </w:r>
          </w:p>
        </w:tc>
        <w:tc>
          <w:tcPr>
            <w:tcW w:w="6007" w:type="dxa"/>
            <w:vMerge w:val="restart"/>
            <w:noWrap w:val="0"/>
            <w:vAlign w:val="center"/>
          </w:tcPr>
          <w:p>
            <w:pPr>
              <w:spacing w:line="44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外墙贴玻璃马赛克，内墙面及天花抹灰扫白，楼地面铺彩釉地砖，铝合金门窗采用，镶板或夹板门。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四等</w:t>
            </w:r>
          </w:p>
        </w:tc>
        <w:tc>
          <w:tcPr>
            <w:tcW w:w="6007" w:type="dxa"/>
            <w:noWrap w:val="0"/>
            <w:vAlign w:val="center"/>
          </w:tcPr>
          <w:p>
            <w:pPr>
              <w:spacing w:line="46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外墙为水刷石，内墙面及天花抹灰扫白，楼地面铺彩釉地砖，钢（木）门窗，镶板或夹板门。</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五等</w:t>
            </w:r>
          </w:p>
        </w:tc>
        <w:tc>
          <w:tcPr>
            <w:tcW w:w="6007" w:type="dxa"/>
            <w:noWrap w:val="0"/>
            <w:vAlign w:val="center"/>
          </w:tcPr>
          <w:p>
            <w:pPr>
              <w:spacing w:line="46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外墙煽灰，楼地面用水磨石，水泥框夹板门窗。</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6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6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六等</w:t>
            </w:r>
          </w:p>
        </w:tc>
        <w:tc>
          <w:tcPr>
            <w:tcW w:w="6007" w:type="dxa"/>
            <w:noWrap w:val="0"/>
            <w:vAlign w:val="center"/>
          </w:tcPr>
          <w:p>
            <w:pPr>
              <w:spacing w:line="46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内、外墙未装饰（清水墙），楼地面未抹水泥沙浆，门窗未安装。</w:t>
            </w:r>
          </w:p>
        </w:tc>
        <w:tc>
          <w:tcPr>
            <w:tcW w:w="1771" w:type="dxa"/>
            <w:noWrap w:val="0"/>
            <w:vAlign w:val="center"/>
          </w:tcPr>
          <w:p>
            <w:pPr>
              <w:spacing w:line="46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restart"/>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砖木</w:t>
            </w:r>
          </w:p>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结构</w:t>
            </w:r>
          </w:p>
        </w:tc>
        <w:tc>
          <w:tcPr>
            <w:tcW w:w="994" w:type="dxa"/>
            <w:noWrap w:val="0"/>
            <w:vAlign w:val="center"/>
          </w:tcPr>
          <w:p>
            <w:pPr>
              <w:widowControl/>
              <w:adjustRightInd/>
              <w:snapToGrid/>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一等</w:t>
            </w:r>
          </w:p>
        </w:tc>
        <w:tc>
          <w:tcPr>
            <w:tcW w:w="6007" w:type="dxa"/>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外部装修处理，内部设备完善的庭院式或花园式房屋。</w:t>
            </w:r>
          </w:p>
        </w:tc>
        <w:tc>
          <w:tcPr>
            <w:tcW w:w="1771" w:type="dxa"/>
            <w:noWrap w:val="0"/>
            <w:vAlign w:val="center"/>
          </w:tcPr>
          <w:p>
            <w:pPr>
              <w:spacing w:line="40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0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二等</w:t>
            </w:r>
          </w:p>
        </w:tc>
        <w:tc>
          <w:tcPr>
            <w:tcW w:w="6007" w:type="dxa"/>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外部未装修处理，室内有专用设备的普通砖木结构房屋。</w:t>
            </w:r>
          </w:p>
        </w:tc>
        <w:tc>
          <w:tcPr>
            <w:tcW w:w="1771" w:type="dxa"/>
            <w:noWrap w:val="0"/>
            <w:vAlign w:val="center"/>
          </w:tcPr>
          <w:p>
            <w:pPr>
              <w:spacing w:line="40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2" w:type="dxa"/>
            <w:vMerge w:val="continue"/>
            <w:noWrap w:val="0"/>
            <w:vAlign w:val="center"/>
          </w:tcPr>
          <w:p>
            <w:pPr>
              <w:spacing w:line="400" w:lineRule="exact"/>
              <w:ind w:left="567" w:firstLine="0"/>
              <w:rPr>
                <w:rFonts w:hint="default" w:ascii="Times New Roman" w:hAnsi="Times New Roman" w:cs="Times New Roman"/>
                <w:sz w:val="24"/>
                <w:szCs w:val="24"/>
              </w:rPr>
            </w:pPr>
          </w:p>
        </w:tc>
        <w:tc>
          <w:tcPr>
            <w:tcW w:w="994" w:type="dxa"/>
            <w:noWrap w:val="0"/>
            <w:vAlign w:val="center"/>
          </w:tcPr>
          <w:p>
            <w:pPr>
              <w:widowControl/>
              <w:adjustRightInd/>
              <w:snapToGrid/>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三等</w:t>
            </w:r>
          </w:p>
        </w:tc>
        <w:tc>
          <w:tcPr>
            <w:tcW w:w="6007" w:type="dxa"/>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结构简单，材料较差，有室内水电设施；条件基础。</w:t>
            </w:r>
          </w:p>
        </w:tc>
        <w:tc>
          <w:tcPr>
            <w:tcW w:w="1771" w:type="dxa"/>
            <w:noWrap w:val="0"/>
            <w:vAlign w:val="center"/>
          </w:tcPr>
          <w:p>
            <w:pPr>
              <w:spacing w:line="40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restart"/>
            <w:noWrap w:val="0"/>
            <w:vAlign w:val="center"/>
          </w:tcPr>
          <w:p>
            <w:pPr>
              <w:spacing w:line="400" w:lineRule="exact"/>
              <w:ind w:left="567" w:firstLine="0"/>
              <w:jc w:val="center"/>
              <w:rPr>
                <w:rFonts w:hint="default" w:ascii="Times New Roman" w:hAnsi="Times New Roman" w:cs="Times New Roman"/>
                <w:sz w:val="24"/>
                <w:szCs w:val="24"/>
              </w:rPr>
            </w:pPr>
          </w:p>
          <w:p>
            <w:pPr>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简易</w:t>
            </w:r>
          </w:p>
          <w:p>
            <w:pPr>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结构</w:t>
            </w:r>
          </w:p>
        </w:tc>
        <w:tc>
          <w:tcPr>
            <w:tcW w:w="994" w:type="dxa"/>
            <w:noWrap w:val="0"/>
            <w:vAlign w:val="center"/>
          </w:tcPr>
          <w:p>
            <w:pPr>
              <w:widowControl/>
              <w:adjustRightInd/>
              <w:snapToGrid/>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一等</w:t>
            </w:r>
          </w:p>
        </w:tc>
        <w:tc>
          <w:tcPr>
            <w:tcW w:w="6007" w:type="dxa"/>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结构简单，松皮屋，室内简单水泥地面，有室内水电设施。</w:t>
            </w:r>
          </w:p>
        </w:tc>
        <w:tc>
          <w:tcPr>
            <w:tcW w:w="1771" w:type="dxa"/>
            <w:noWrap w:val="0"/>
            <w:vAlign w:val="center"/>
          </w:tcPr>
          <w:p>
            <w:pPr>
              <w:spacing w:line="40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2" w:type="dxa"/>
            <w:vMerge w:val="continue"/>
            <w:noWrap w:val="0"/>
            <w:vAlign w:val="center"/>
          </w:tcPr>
          <w:p>
            <w:pPr>
              <w:spacing w:line="400" w:lineRule="exact"/>
              <w:ind w:firstLine="0"/>
              <w:rPr>
                <w:rFonts w:hint="default" w:ascii="Times New Roman" w:hAnsi="Times New Roman" w:cs="Times New Roman"/>
                <w:sz w:val="24"/>
                <w:szCs w:val="24"/>
              </w:rPr>
            </w:pPr>
          </w:p>
        </w:tc>
        <w:tc>
          <w:tcPr>
            <w:tcW w:w="994" w:type="dxa"/>
            <w:noWrap w:val="0"/>
            <w:vAlign w:val="center"/>
          </w:tcPr>
          <w:p>
            <w:pPr>
              <w:widowControl/>
              <w:adjustRightInd/>
              <w:snapToGrid/>
              <w:spacing w:line="400" w:lineRule="exact"/>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二等</w:t>
            </w:r>
          </w:p>
        </w:tc>
        <w:tc>
          <w:tcPr>
            <w:tcW w:w="6007" w:type="dxa"/>
            <w:noWrap w:val="0"/>
            <w:vAlign w:val="center"/>
          </w:tcPr>
          <w:p>
            <w:pPr>
              <w:spacing w:line="400" w:lineRule="exact"/>
              <w:ind w:firstLine="0"/>
              <w:rPr>
                <w:rFonts w:hint="default" w:ascii="Times New Roman" w:hAnsi="Times New Roman" w:cs="Times New Roman"/>
                <w:sz w:val="24"/>
                <w:szCs w:val="24"/>
              </w:rPr>
            </w:pPr>
            <w:r>
              <w:rPr>
                <w:rFonts w:hint="default" w:ascii="Times New Roman" w:hAnsi="Times New Roman" w:cs="Times New Roman"/>
                <w:sz w:val="24"/>
                <w:szCs w:val="24"/>
              </w:rPr>
              <w:t>结构简单，茅寮屋，室内简单水泥地面，有室内水电设施。</w:t>
            </w:r>
          </w:p>
        </w:tc>
        <w:tc>
          <w:tcPr>
            <w:tcW w:w="1771" w:type="dxa"/>
            <w:noWrap w:val="0"/>
            <w:vAlign w:val="center"/>
          </w:tcPr>
          <w:p>
            <w:pPr>
              <w:spacing w:line="400" w:lineRule="exact"/>
              <w:ind w:left="567" w:firstLine="0"/>
              <w:rPr>
                <w:rFonts w:hint="default" w:ascii="Times New Roman" w:hAnsi="Times New Roman" w:cs="Times New Roman"/>
                <w:sz w:val="24"/>
                <w:szCs w:val="24"/>
              </w:rPr>
            </w:pPr>
            <w:r>
              <w:rPr>
                <w:rFonts w:hint="default" w:ascii="Times New Roman" w:hAnsi="Times New Roman" w:cs="Times New Roman"/>
                <w:sz w:val="24"/>
                <w:szCs w:val="24"/>
              </w:rPr>
              <w:t>400</w:t>
            </w:r>
          </w:p>
        </w:tc>
      </w:tr>
    </w:tbl>
    <w:p>
      <w:pPr>
        <w:pStyle w:val="4"/>
        <w:spacing w:line="520" w:lineRule="exact"/>
        <w:ind w:firstLine="750" w:firstLineChars="250"/>
        <w:rPr>
          <w:rFonts w:hint="default" w:ascii="Times New Roman" w:hAnsi="Times New Roman" w:eastAsia="楷体_GB2312" w:cs="Times New Roman"/>
          <w:sz w:val="30"/>
          <w:szCs w:val="30"/>
        </w:rPr>
      </w:pPr>
    </w:p>
    <w:p>
      <w:pPr>
        <w:pStyle w:val="4"/>
        <w:spacing w:line="520" w:lineRule="exact"/>
        <w:ind w:firstLine="750" w:firstLineChars="25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房屋重置补偿标准说明：</w:t>
      </w:r>
    </w:p>
    <w:p>
      <w:pPr>
        <w:spacing w:line="520" w:lineRule="exact"/>
        <w:ind w:firstLine="600" w:firstLineChars="2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1.房屋外阳台、外楼梯按其房屋补偿标准的50％计算；</w:t>
      </w:r>
    </w:p>
    <w:p>
      <w:pPr>
        <w:pStyle w:val="4"/>
        <w:spacing w:line="520" w:lineRule="exact"/>
        <w:ind w:firstLine="6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2.上述标准为房（檐、层）高2.5-4米范围（含）。房（檐、层）高超过4米的，每增加0.1米另行按标准补偿10％，房（檐、层）高低于2.5米的，以实际房（檐、层）高÷2.5米×原标准，折算补偿;</w:t>
      </w:r>
    </w:p>
    <w:p>
      <w:pPr>
        <w:pStyle w:val="4"/>
        <w:spacing w:line="520" w:lineRule="exact"/>
        <w:ind w:firstLine="6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3.违章建筑、超期的临时建筑，以及其他不合法的房屋及土地附着物，不列入补偿范围；</w:t>
      </w:r>
    </w:p>
    <w:p>
      <w:pPr>
        <w:pStyle w:val="4"/>
        <w:spacing w:line="520" w:lineRule="exact"/>
        <w:ind w:firstLine="6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4.楼房结构从高等级到低等级向下套算，在等级分类标准的小项中有大部分小项以上整体达到标准即可认定为该等级；</w:t>
      </w:r>
    </w:p>
    <w:p>
      <w:pPr>
        <w:pStyle w:val="4"/>
        <w:spacing w:line="520" w:lineRule="exact"/>
        <w:ind w:firstLine="600"/>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rPr>
        <w:t>5.泥砖与红砖混建的砖木结构按三等套算。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C4FED"/>
    <w:rsid w:val="178C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仿三）"/>
    <w:basedOn w:val="1"/>
    <w:qFormat/>
    <w:uiPriority w:val="0"/>
    <w:pPr>
      <w:spacing w:line="336" w:lineRule="auto"/>
      <w:ind w:firstLine="640" w:firstLineChars="200"/>
    </w:pPr>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2020-01-22T06:57:00Z</dcterms:created>
  <dc:creator>爵士乐</dc:creator>
  <cp:lastModifiedBy>爵士乐</cp:lastModifiedBy>
  <dcterms:modified xsi:type="dcterms:W3CDTF">2020-01-22T07:22:38Z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