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ind w:firstLine="0" w:firstLineChars="0"/>
        <w:rPr>
          <w:rFonts w:hint="eastAsia" w:ascii="黑体" w:hAnsi="黑体" w:eastAsia="黑体" w:cs="黑体"/>
          <w:b w:val="0"/>
          <w:bCs w:val="0"/>
          <w:color w:val="000000"/>
        </w:rPr>
      </w:pPr>
      <w:r>
        <w:rPr>
          <w:rFonts w:hint="eastAsia" w:ascii="黑体" w:hAnsi="黑体" w:eastAsia="黑体" w:cs="黑体"/>
          <w:b w:val="0"/>
          <w:bCs w:val="0"/>
          <w:color w:val="000000"/>
        </w:rPr>
        <w:t>附件1</w:t>
      </w:r>
    </w:p>
    <w:p>
      <w:pPr>
        <w:pStyle w:val="4"/>
        <w:spacing w:line="760" w:lineRule="exact"/>
        <w:ind w:firstLine="883"/>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房屋重置补偿标准</w:t>
      </w:r>
      <w:bookmarkEnd w:id="0"/>
    </w:p>
    <w:p>
      <w:pPr>
        <w:pStyle w:val="4"/>
        <w:spacing w:line="240" w:lineRule="exact"/>
        <w:ind w:firstLine="883"/>
        <w:jc w:val="center"/>
        <w:rPr>
          <w:rFonts w:hint="eastAsia" w:ascii="方正小标宋简体" w:hAnsi="方正小标宋简体" w:eastAsia="方正小标宋简体" w:cs="方正小标宋简体"/>
          <w:b w:val="0"/>
          <w:bCs w:val="0"/>
          <w:color w:val="000000"/>
          <w:sz w:val="44"/>
          <w:szCs w:val="44"/>
        </w:rPr>
      </w:pPr>
    </w:p>
    <w:tbl>
      <w:tblPr>
        <w:tblStyle w:val="3"/>
        <w:tblW w:w="94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994"/>
        <w:gridCol w:w="6007"/>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noWrap w:val="0"/>
            <w:vAlign w:val="center"/>
          </w:tcPr>
          <w:p>
            <w:pPr>
              <w:spacing w:line="320" w:lineRule="exact"/>
              <w:ind w:firstLine="0"/>
              <w:jc w:val="left"/>
              <w:rPr>
                <w:rFonts w:hint="eastAsia" w:ascii="黑体" w:hAnsi="黑体" w:eastAsia="黑体" w:cs="黑体"/>
                <w:sz w:val="24"/>
                <w:szCs w:val="24"/>
              </w:rPr>
            </w:pPr>
            <w:r>
              <w:rPr>
                <w:rFonts w:hint="eastAsia" w:ascii="黑体" w:hAnsi="黑体" w:eastAsia="黑体" w:cs="黑体"/>
                <w:sz w:val="24"/>
                <w:szCs w:val="24"/>
              </w:rPr>
              <w:t>项目</w:t>
            </w:r>
          </w:p>
        </w:tc>
        <w:tc>
          <w:tcPr>
            <w:tcW w:w="994" w:type="dxa"/>
            <w:noWrap w:val="0"/>
            <w:vAlign w:val="center"/>
          </w:tcPr>
          <w:p>
            <w:pPr>
              <w:spacing w:line="320" w:lineRule="exact"/>
              <w:ind w:firstLine="0"/>
              <w:jc w:val="center"/>
              <w:rPr>
                <w:rFonts w:hint="eastAsia" w:ascii="黑体" w:hAnsi="黑体" w:eastAsia="黑体" w:cs="黑体"/>
                <w:sz w:val="24"/>
                <w:szCs w:val="24"/>
              </w:rPr>
            </w:pPr>
            <w:r>
              <w:rPr>
                <w:rFonts w:hint="eastAsia" w:ascii="黑体" w:hAnsi="黑体" w:eastAsia="黑体" w:cs="黑体"/>
                <w:sz w:val="24"/>
                <w:szCs w:val="24"/>
              </w:rPr>
              <w:t>等级</w:t>
            </w:r>
          </w:p>
        </w:tc>
        <w:tc>
          <w:tcPr>
            <w:tcW w:w="6007" w:type="dxa"/>
            <w:noWrap w:val="0"/>
            <w:vAlign w:val="center"/>
          </w:tcPr>
          <w:p>
            <w:pPr>
              <w:spacing w:line="320" w:lineRule="exact"/>
              <w:ind w:firstLine="0"/>
              <w:jc w:val="center"/>
              <w:rPr>
                <w:rFonts w:hint="eastAsia" w:ascii="黑体" w:hAnsi="黑体" w:eastAsia="黑体" w:cs="黑体"/>
                <w:sz w:val="24"/>
                <w:szCs w:val="24"/>
              </w:rPr>
            </w:pPr>
            <w:r>
              <w:rPr>
                <w:rFonts w:hint="eastAsia" w:ascii="黑体" w:hAnsi="黑体" w:eastAsia="黑体" w:cs="黑体"/>
                <w:sz w:val="24"/>
                <w:szCs w:val="24"/>
              </w:rPr>
              <w:t>补偿等级分类标准</w:t>
            </w:r>
          </w:p>
        </w:tc>
        <w:tc>
          <w:tcPr>
            <w:tcW w:w="1771" w:type="dxa"/>
            <w:noWrap w:val="0"/>
            <w:vAlign w:val="center"/>
          </w:tcPr>
          <w:p>
            <w:pPr>
              <w:spacing w:line="320" w:lineRule="exact"/>
              <w:ind w:firstLine="0"/>
              <w:jc w:val="center"/>
              <w:rPr>
                <w:rFonts w:hint="eastAsia" w:ascii="黑体" w:hAnsi="黑体" w:eastAsia="黑体" w:cs="黑体"/>
                <w:sz w:val="24"/>
                <w:szCs w:val="24"/>
              </w:rPr>
            </w:pPr>
            <w:r>
              <w:rPr>
                <w:rFonts w:hint="eastAsia" w:ascii="黑体" w:hAnsi="黑体" w:eastAsia="黑体" w:cs="黑体"/>
                <w:sz w:val="24"/>
                <w:szCs w:val="24"/>
              </w:rPr>
              <w:t>单位</w:t>
            </w:r>
          </w:p>
          <w:p>
            <w:pPr>
              <w:spacing w:line="320" w:lineRule="exact"/>
              <w:ind w:firstLine="0"/>
              <w:jc w:val="center"/>
              <w:rPr>
                <w:rFonts w:hint="eastAsia" w:ascii="黑体" w:hAnsi="黑体" w:eastAsia="黑体" w:cs="黑体"/>
                <w:sz w:val="24"/>
                <w:szCs w:val="24"/>
              </w:rPr>
            </w:pPr>
            <w:r>
              <w:rPr>
                <w:rFonts w:hint="eastAsia" w:ascii="黑体" w:hAnsi="黑体" w:eastAsia="黑体" w:cs="黑体"/>
                <w:sz w:val="24"/>
                <w:szCs w:val="24"/>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restart"/>
            <w:noWrap w:val="0"/>
            <w:textDirection w:val="tbRlV"/>
            <w:vAlign w:val="center"/>
          </w:tcPr>
          <w:p>
            <w:pPr>
              <w:spacing w:line="460" w:lineRule="exact"/>
              <w:ind w:left="567" w:firstLine="0"/>
              <w:jc w:val="center"/>
              <w:rPr>
                <w:rFonts w:hint="default" w:ascii="Times New Roman" w:hAnsi="Times New Roman" w:cs="Times New Roman"/>
                <w:sz w:val="24"/>
                <w:szCs w:val="24"/>
              </w:rPr>
            </w:pPr>
            <w:r>
              <w:rPr>
                <w:rFonts w:hint="default" w:ascii="Times New Roman" w:hAnsi="Times New Roman" w:cs="Times New Roman"/>
                <w:sz w:val="24"/>
                <w:szCs w:val="24"/>
              </w:rPr>
              <w:t>框 架 结 构</w:t>
            </w: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一等</w:t>
            </w:r>
          </w:p>
        </w:tc>
        <w:tc>
          <w:tcPr>
            <w:tcW w:w="6007" w:type="dxa"/>
            <w:noWrap w:val="0"/>
            <w:vAlign w:val="center"/>
          </w:tcPr>
          <w:p>
            <w:pPr>
              <w:spacing w:line="46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外墙贴高级釉面砖或纸皮石，内墙面高档装饰及吊顶天花，楼地面铺石材或木地板，铝合金门窗，镶板或夹板门。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二等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外墙贴釉面砖或纸皮石，内墙面及天花抹灰扫白，楼地面铺彩釉地砖，铝合金门窗，镶板或夹板门。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三等</w:t>
            </w:r>
          </w:p>
        </w:tc>
        <w:tc>
          <w:tcPr>
            <w:tcW w:w="6007" w:type="dxa"/>
            <w:vMerge w:val="restart"/>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外墙贴玻璃马赛克，内墙面及天花抹灰扫白，楼地面铺彩釉地砖，铝合金门窗采用，镶板或夹板门。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四等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外墙为水刷石，内墙面及天花抹灰扫白，楼地面铺彩釉地砖，钢（木）门窗，镶板或夹板门。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五等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外墙煽灰，楼地面用水磨石，水泥框夹板门窗。</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六等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内、外墙未装饰（清水墙），楼地面未抹水泥沙浆，门窗未安装。</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七等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内、外墙残缺，楼地面未抹水泥沙浆，门窗未安装。</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restart"/>
            <w:noWrap w:val="0"/>
            <w:textDirection w:val="tbRlV"/>
            <w:vAlign w:val="center"/>
          </w:tcPr>
          <w:p>
            <w:pPr>
              <w:spacing w:line="460" w:lineRule="exact"/>
              <w:ind w:left="567" w:firstLine="0"/>
              <w:jc w:val="center"/>
              <w:rPr>
                <w:rFonts w:hint="default" w:ascii="Times New Roman" w:hAnsi="Times New Roman" w:cs="Times New Roman"/>
                <w:sz w:val="24"/>
                <w:szCs w:val="24"/>
              </w:rPr>
            </w:pPr>
            <w:r>
              <w:rPr>
                <w:rFonts w:hint="default" w:ascii="Times New Roman" w:hAnsi="Times New Roman" w:cs="Times New Roman"/>
                <w:sz w:val="24"/>
                <w:szCs w:val="24"/>
              </w:rPr>
              <w:t>砖 混 合结 构</w:t>
            </w: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一等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外墙贴高级釉面砖或纸皮石，内墙面高档装饰及吊顶天花，楼地面铺石材或木地板，铝合金门窗，镶板或夹板门。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二等</w:t>
            </w:r>
          </w:p>
        </w:tc>
        <w:tc>
          <w:tcPr>
            <w:tcW w:w="6007" w:type="dxa"/>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外墙贴釉面砖或纸皮石，内墙面及天花抹灰扫白，楼地面铺彩釉地砖，铝合金门窗，镶板或夹板门。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三等</w:t>
            </w:r>
          </w:p>
        </w:tc>
        <w:tc>
          <w:tcPr>
            <w:tcW w:w="6007" w:type="dxa"/>
            <w:vMerge w:val="restart"/>
            <w:noWrap w:val="0"/>
            <w:vAlign w:val="center"/>
          </w:tcPr>
          <w:p>
            <w:pPr>
              <w:spacing w:line="44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外墙贴玻璃马赛克，内墙面及天花抹灰扫白，楼地面铺彩釉地砖，铝合金门窗采用，镶板或夹板门。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四等</w:t>
            </w:r>
          </w:p>
        </w:tc>
        <w:tc>
          <w:tcPr>
            <w:tcW w:w="6007" w:type="dxa"/>
            <w:noWrap w:val="0"/>
            <w:vAlign w:val="center"/>
          </w:tcPr>
          <w:p>
            <w:pPr>
              <w:spacing w:line="46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外墙为水刷石，内墙面及天花抹灰扫白，楼地面铺彩釉地砖，钢（木）门窗，镶板或夹板门。</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五等</w:t>
            </w:r>
          </w:p>
        </w:tc>
        <w:tc>
          <w:tcPr>
            <w:tcW w:w="6007" w:type="dxa"/>
            <w:noWrap w:val="0"/>
            <w:vAlign w:val="center"/>
          </w:tcPr>
          <w:p>
            <w:pPr>
              <w:spacing w:line="46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外墙煽灰，楼地面用水磨石，水泥框夹板门窗。</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6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6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六等</w:t>
            </w:r>
          </w:p>
        </w:tc>
        <w:tc>
          <w:tcPr>
            <w:tcW w:w="6007" w:type="dxa"/>
            <w:noWrap w:val="0"/>
            <w:vAlign w:val="center"/>
          </w:tcPr>
          <w:p>
            <w:pPr>
              <w:spacing w:line="46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内、外墙未装饰（清水墙），楼地面未抹水泥沙浆，门窗未安装。</w:t>
            </w:r>
          </w:p>
        </w:tc>
        <w:tc>
          <w:tcPr>
            <w:tcW w:w="1771" w:type="dxa"/>
            <w:noWrap w:val="0"/>
            <w:vAlign w:val="center"/>
          </w:tcPr>
          <w:p>
            <w:pPr>
              <w:spacing w:line="46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restart"/>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砖木</w:t>
            </w:r>
          </w:p>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结构</w:t>
            </w:r>
          </w:p>
        </w:tc>
        <w:tc>
          <w:tcPr>
            <w:tcW w:w="994" w:type="dxa"/>
            <w:noWrap w:val="0"/>
            <w:vAlign w:val="center"/>
          </w:tcPr>
          <w:p>
            <w:pPr>
              <w:widowControl/>
              <w:adjustRightInd/>
              <w:snapToGrid/>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一等</w:t>
            </w:r>
          </w:p>
        </w:tc>
        <w:tc>
          <w:tcPr>
            <w:tcW w:w="6007" w:type="dxa"/>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外部装修处理，内部设备完善的庭院式或花园式房屋。</w:t>
            </w:r>
          </w:p>
        </w:tc>
        <w:tc>
          <w:tcPr>
            <w:tcW w:w="1771" w:type="dxa"/>
            <w:noWrap w:val="0"/>
            <w:vAlign w:val="center"/>
          </w:tcPr>
          <w:p>
            <w:pPr>
              <w:spacing w:line="40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0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二等</w:t>
            </w:r>
          </w:p>
        </w:tc>
        <w:tc>
          <w:tcPr>
            <w:tcW w:w="6007" w:type="dxa"/>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外部未装修处理，室内有专用设备的普通砖木结构房屋。</w:t>
            </w:r>
          </w:p>
        </w:tc>
        <w:tc>
          <w:tcPr>
            <w:tcW w:w="1771" w:type="dxa"/>
            <w:noWrap w:val="0"/>
            <w:vAlign w:val="center"/>
          </w:tcPr>
          <w:p>
            <w:pPr>
              <w:spacing w:line="40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2" w:type="dxa"/>
            <w:vMerge w:val="continue"/>
            <w:noWrap w:val="0"/>
            <w:vAlign w:val="center"/>
          </w:tcPr>
          <w:p>
            <w:pPr>
              <w:spacing w:line="400" w:lineRule="exact"/>
              <w:ind w:left="567" w:firstLine="0"/>
              <w:rPr>
                <w:rFonts w:hint="default" w:ascii="Times New Roman" w:hAnsi="Times New Roman" w:cs="Times New Roman"/>
                <w:sz w:val="24"/>
                <w:szCs w:val="24"/>
              </w:rPr>
            </w:pPr>
          </w:p>
        </w:tc>
        <w:tc>
          <w:tcPr>
            <w:tcW w:w="994" w:type="dxa"/>
            <w:noWrap w:val="0"/>
            <w:vAlign w:val="center"/>
          </w:tcPr>
          <w:p>
            <w:pPr>
              <w:widowControl/>
              <w:adjustRightInd/>
              <w:snapToGrid/>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三等</w:t>
            </w:r>
          </w:p>
        </w:tc>
        <w:tc>
          <w:tcPr>
            <w:tcW w:w="6007" w:type="dxa"/>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结构简单，材料较差，有室内水电设施；条件基础。</w:t>
            </w:r>
          </w:p>
        </w:tc>
        <w:tc>
          <w:tcPr>
            <w:tcW w:w="1771" w:type="dxa"/>
            <w:noWrap w:val="0"/>
            <w:vAlign w:val="center"/>
          </w:tcPr>
          <w:p>
            <w:pPr>
              <w:spacing w:line="40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restart"/>
            <w:noWrap w:val="0"/>
            <w:vAlign w:val="center"/>
          </w:tcPr>
          <w:p>
            <w:pPr>
              <w:spacing w:line="400" w:lineRule="exact"/>
              <w:ind w:left="567" w:firstLine="0"/>
              <w:jc w:val="center"/>
              <w:rPr>
                <w:rFonts w:hint="default" w:ascii="Times New Roman" w:hAnsi="Times New Roman" w:cs="Times New Roman"/>
                <w:sz w:val="24"/>
                <w:szCs w:val="24"/>
              </w:rPr>
            </w:pPr>
          </w:p>
          <w:p>
            <w:pPr>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简易</w:t>
            </w:r>
          </w:p>
          <w:p>
            <w:pPr>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结构</w:t>
            </w:r>
          </w:p>
        </w:tc>
        <w:tc>
          <w:tcPr>
            <w:tcW w:w="994" w:type="dxa"/>
            <w:noWrap w:val="0"/>
            <w:vAlign w:val="center"/>
          </w:tcPr>
          <w:p>
            <w:pPr>
              <w:widowControl/>
              <w:adjustRightInd/>
              <w:snapToGrid/>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一等</w:t>
            </w:r>
          </w:p>
        </w:tc>
        <w:tc>
          <w:tcPr>
            <w:tcW w:w="6007" w:type="dxa"/>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结构简单，松皮屋，室内简单水泥地面，有室内水电设施。</w:t>
            </w:r>
          </w:p>
        </w:tc>
        <w:tc>
          <w:tcPr>
            <w:tcW w:w="1771" w:type="dxa"/>
            <w:noWrap w:val="0"/>
            <w:vAlign w:val="center"/>
          </w:tcPr>
          <w:p>
            <w:pPr>
              <w:spacing w:line="40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2" w:type="dxa"/>
            <w:vMerge w:val="continue"/>
            <w:noWrap w:val="0"/>
            <w:vAlign w:val="center"/>
          </w:tcPr>
          <w:p>
            <w:pPr>
              <w:spacing w:line="400" w:lineRule="exact"/>
              <w:ind w:firstLine="0"/>
              <w:rPr>
                <w:rFonts w:hint="default" w:ascii="Times New Roman" w:hAnsi="Times New Roman" w:cs="Times New Roman"/>
                <w:sz w:val="24"/>
                <w:szCs w:val="24"/>
              </w:rPr>
            </w:pPr>
          </w:p>
        </w:tc>
        <w:tc>
          <w:tcPr>
            <w:tcW w:w="994" w:type="dxa"/>
            <w:noWrap w:val="0"/>
            <w:vAlign w:val="center"/>
          </w:tcPr>
          <w:p>
            <w:pPr>
              <w:widowControl/>
              <w:adjustRightInd/>
              <w:snapToGrid/>
              <w:spacing w:line="400" w:lineRule="exact"/>
              <w:ind w:firstLine="0"/>
              <w:jc w:val="center"/>
              <w:rPr>
                <w:rFonts w:hint="default" w:ascii="Times New Roman" w:hAnsi="Times New Roman" w:cs="Times New Roman"/>
                <w:sz w:val="24"/>
                <w:szCs w:val="24"/>
              </w:rPr>
            </w:pPr>
            <w:r>
              <w:rPr>
                <w:rFonts w:hint="default" w:ascii="Times New Roman" w:hAnsi="Times New Roman" w:cs="Times New Roman"/>
                <w:sz w:val="24"/>
                <w:szCs w:val="24"/>
              </w:rPr>
              <w:t>二等</w:t>
            </w:r>
          </w:p>
        </w:tc>
        <w:tc>
          <w:tcPr>
            <w:tcW w:w="6007" w:type="dxa"/>
            <w:noWrap w:val="0"/>
            <w:vAlign w:val="center"/>
          </w:tcPr>
          <w:p>
            <w:pPr>
              <w:spacing w:line="400" w:lineRule="exact"/>
              <w:ind w:firstLine="0"/>
              <w:rPr>
                <w:rFonts w:hint="default" w:ascii="Times New Roman" w:hAnsi="Times New Roman" w:cs="Times New Roman"/>
                <w:sz w:val="24"/>
                <w:szCs w:val="24"/>
              </w:rPr>
            </w:pPr>
            <w:r>
              <w:rPr>
                <w:rFonts w:hint="default" w:ascii="Times New Roman" w:hAnsi="Times New Roman" w:cs="Times New Roman"/>
                <w:sz w:val="24"/>
                <w:szCs w:val="24"/>
              </w:rPr>
              <w:t>结构简单，茅寮屋，室内简单水泥地面，有室内水电设施。</w:t>
            </w:r>
          </w:p>
        </w:tc>
        <w:tc>
          <w:tcPr>
            <w:tcW w:w="1771" w:type="dxa"/>
            <w:noWrap w:val="0"/>
            <w:vAlign w:val="center"/>
          </w:tcPr>
          <w:p>
            <w:pPr>
              <w:spacing w:line="400" w:lineRule="exact"/>
              <w:ind w:left="567" w:firstLine="0"/>
              <w:rPr>
                <w:rFonts w:hint="default" w:ascii="Times New Roman" w:hAnsi="Times New Roman" w:cs="Times New Roman"/>
                <w:sz w:val="24"/>
                <w:szCs w:val="24"/>
              </w:rPr>
            </w:pPr>
            <w:r>
              <w:rPr>
                <w:rFonts w:hint="default" w:ascii="Times New Roman" w:hAnsi="Times New Roman" w:cs="Times New Roman"/>
                <w:sz w:val="24"/>
                <w:szCs w:val="24"/>
              </w:rPr>
              <w:t>400</w:t>
            </w:r>
          </w:p>
        </w:tc>
      </w:tr>
    </w:tbl>
    <w:p>
      <w:pPr>
        <w:pStyle w:val="4"/>
        <w:spacing w:line="520" w:lineRule="exact"/>
        <w:ind w:firstLine="750" w:firstLineChars="250"/>
        <w:rPr>
          <w:rFonts w:hint="default" w:ascii="Times New Roman" w:hAnsi="Times New Roman" w:eastAsia="楷体_GB2312" w:cs="Times New Roman"/>
          <w:sz w:val="30"/>
          <w:szCs w:val="30"/>
        </w:rPr>
      </w:pPr>
    </w:p>
    <w:p>
      <w:pPr>
        <w:pStyle w:val="4"/>
        <w:spacing w:line="520" w:lineRule="exact"/>
        <w:ind w:firstLine="750" w:firstLineChars="25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房屋重置补偿标准说明：</w:t>
      </w:r>
    </w:p>
    <w:p>
      <w:pPr>
        <w:spacing w:line="520" w:lineRule="exact"/>
        <w:ind w:firstLine="600" w:firstLineChars="2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1.房屋外阳台、外楼梯按其房屋补偿标准的50％计算；</w:t>
      </w:r>
    </w:p>
    <w:p>
      <w:pPr>
        <w:pStyle w:val="4"/>
        <w:spacing w:line="520" w:lineRule="exact"/>
        <w:ind w:firstLine="6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2.上述标准为房（檐、层）高2.5-4米范围（含）。房（檐、层）高超过4米的，每增加0.1米另行按标准补偿10％，房（檐、层）高低于2.5米的，以实际房（檐、层）高÷2.5米×原标准，折算补偿;</w:t>
      </w:r>
    </w:p>
    <w:p>
      <w:pPr>
        <w:pStyle w:val="4"/>
        <w:spacing w:line="520" w:lineRule="exact"/>
        <w:ind w:firstLine="6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3.违章建筑、超期的临时建筑，以及其他不合法的房屋及土地附着物，不列入补偿范围；</w:t>
      </w:r>
    </w:p>
    <w:p>
      <w:pPr>
        <w:pStyle w:val="4"/>
        <w:spacing w:line="520" w:lineRule="exact"/>
        <w:ind w:firstLine="6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4.楼房结构从高等级到低等级向下套算，在等级分类标准的小项中有大部分小项以上整体达到标准即可认定为该等级；</w:t>
      </w:r>
    </w:p>
    <w:p>
      <w:pPr>
        <w:pStyle w:val="4"/>
        <w:spacing w:line="520" w:lineRule="exact"/>
        <w:ind w:firstLine="60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5.泥砖与红砖混建的砖木结构按三等套算。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C4FED"/>
    <w:rsid w:val="178C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仿三）"/>
    <w:basedOn w:val="1"/>
    <w:qFormat/>
    <w:uiPriority w:val="0"/>
    <w:pPr>
      <w:spacing w:line="336" w:lineRule="auto"/>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2020-01-22T06:57:00Z</dcterms:created>
  <dc:creator>爵士乐</dc:creator>
  <cp:lastModifiedBy>爵士乐</cp:lastModifiedBy>
  <dcterms:modified xsi:type="dcterms:W3CDTF">2020-01-22T07:22:38Z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