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ind w:right="-234" w:rightChars="-73"/>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spacing w:line="760" w:lineRule="exact"/>
        <w:ind w:right="-234" w:rightChars="-73"/>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广州市</w:t>
      </w:r>
      <w:r>
        <w:rPr>
          <w:rFonts w:hint="eastAsia" w:ascii="方正小标宋简体" w:hAnsi="方正小标宋简体" w:eastAsia="方正小标宋简体" w:cs="方正小标宋简体"/>
          <w:sz w:val="44"/>
          <w:szCs w:val="44"/>
          <w:lang w:eastAsia="zh-CN"/>
        </w:rPr>
        <w:t>从化区科技工业商务和信息化局</w:t>
      </w:r>
      <w:r>
        <w:rPr>
          <w:rFonts w:hint="eastAsia" w:ascii="方正小标宋简体" w:hAnsi="方正小标宋简体" w:eastAsia="方正小标宋简体" w:cs="方正小标宋简体"/>
          <w:sz w:val="44"/>
          <w:szCs w:val="44"/>
          <w:lang w:val="en-US" w:eastAsia="zh-CN"/>
        </w:rPr>
        <w:t>2022</w:t>
      </w:r>
      <w:r>
        <w:rPr>
          <w:rFonts w:hint="eastAsia" w:ascii="方正小标宋简体" w:hAnsi="方正小标宋简体" w:eastAsia="方正小标宋简体" w:cs="方正小标宋简体"/>
          <w:sz w:val="44"/>
          <w:szCs w:val="44"/>
        </w:rPr>
        <w:t>年度行政许可实施和监督管理情况报告</w:t>
      </w:r>
    </w:p>
    <w:p>
      <w:pPr>
        <w:spacing w:line="560" w:lineRule="exact"/>
        <w:ind w:left="-272" w:leftChars="-85" w:right="-234" w:rightChars="-73"/>
        <w:jc w:val="center"/>
        <w:rPr>
          <w:rFonts w:hint="eastAsia" w:ascii="仿宋_GB2312"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根据《</w:t>
      </w:r>
      <w:r>
        <w:rPr>
          <w:rFonts w:hint="eastAsia" w:eastAsia="仿宋_GB2312"/>
          <w:sz w:val="32"/>
          <w:szCs w:val="32"/>
          <w:lang w:eastAsia="zh-CN"/>
        </w:rPr>
        <w:t>广东省行政许可监督管理条例</w:t>
      </w:r>
      <w:r>
        <w:rPr>
          <w:rFonts w:eastAsia="仿宋_GB2312"/>
          <w:sz w:val="32"/>
          <w:szCs w:val="32"/>
        </w:rPr>
        <w:t>》</w:t>
      </w:r>
      <w:r>
        <w:rPr>
          <w:rFonts w:hint="eastAsia" w:eastAsia="仿宋_GB2312"/>
          <w:sz w:val="32"/>
          <w:szCs w:val="32"/>
          <w:lang w:eastAsia="zh-CN"/>
        </w:rPr>
        <w:t>的</w:t>
      </w:r>
      <w:r>
        <w:rPr>
          <w:rFonts w:eastAsia="仿宋_GB2312"/>
          <w:sz w:val="32"/>
          <w:szCs w:val="32"/>
        </w:rPr>
        <w:t>要求，现将我单位</w:t>
      </w:r>
      <w:r>
        <w:rPr>
          <w:rFonts w:hint="eastAsia"/>
          <w:sz w:val="32"/>
          <w:szCs w:val="32"/>
          <w:lang w:val="en-US" w:eastAsia="zh-CN"/>
        </w:rPr>
        <w:t>2022</w:t>
      </w:r>
      <w:r>
        <w:rPr>
          <w:rFonts w:eastAsia="仿宋_GB2312"/>
          <w:sz w:val="32"/>
          <w:szCs w:val="32"/>
        </w:rPr>
        <w:t>年行政许可实施和监督管理情况报告如下：</w:t>
      </w:r>
    </w:p>
    <w:p>
      <w:pPr>
        <w:spacing w:line="560" w:lineRule="exact"/>
        <w:ind w:firstLine="640" w:firstLineChars="200"/>
        <w:rPr>
          <w:rFonts w:eastAsia="黑体"/>
          <w:sz w:val="32"/>
          <w:szCs w:val="32"/>
        </w:rPr>
      </w:pPr>
      <w:r>
        <w:rPr>
          <w:rFonts w:hAnsi="黑体" w:eastAsia="黑体"/>
          <w:sz w:val="32"/>
          <w:szCs w:val="32"/>
        </w:rPr>
        <w:t>一、基本情况</w:t>
      </w:r>
    </w:p>
    <w:p>
      <w:pPr>
        <w:spacing w:line="560" w:lineRule="exact"/>
        <w:ind w:firstLine="640" w:firstLineChars="200"/>
        <w:rPr>
          <w:rFonts w:eastAsia="仿宋_GB2312"/>
          <w:sz w:val="32"/>
          <w:szCs w:val="32"/>
        </w:rPr>
      </w:pPr>
      <w:r>
        <w:rPr>
          <w:rFonts w:hint="eastAsia"/>
          <w:sz w:val="32"/>
          <w:szCs w:val="32"/>
          <w:lang w:val="en-US" w:eastAsia="zh-CN"/>
        </w:rPr>
        <w:t>2022</w:t>
      </w:r>
      <w:r>
        <w:rPr>
          <w:rFonts w:eastAsia="仿宋_GB2312"/>
          <w:sz w:val="32"/>
          <w:szCs w:val="32"/>
        </w:rPr>
        <w:t>年，本单位行政许可事项</w:t>
      </w:r>
      <w:r>
        <w:rPr>
          <w:rFonts w:hint="eastAsia"/>
          <w:sz w:val="32"/>
          <w:szCs w:val="32"/>
          <w:lang w:eastAsia="zh-CN"/>
        </w:rPr>
        <w:t>共</w:t>
      </w:r>
      <w:r>
        <w:rPr>
          <w:rFonts w:hint="eastAsia"/>
          <w:sz w:val="32"/>
          <w:szCs w:val="32"/>
          <w:lang w:val="en-US" w:eastAsia="zh-CN"/>
        </w:rPr>
        <w:t>1项（对外劳务合作经营资格核准）</w:t>
      </w:r>
      <w:r>
        <w:rPr>
          <w:rFonts w:hint="eastAsia"/>
          <w:sz w:val="32"/>
          <w:szCs w:val="32"/>
          <w:lang w:eastAsia="zh-CN"/>
        </w:rPr>
        <w:t>；</w:t>
      </w:r>
      <w:r>
        <w:rPr>
          <w:rFonts w:eastAsia="仿宋_GB2312"/>
          <w:sz w:val="32"/>
          <w:szCs w:val="32"/>
        </w:rPr>
        <w:t>其中</w:t>
      </w:r>
      <w:r>
        <w:rPr>
          <w:rFonts w:hint="eastAsia"/>
          <w:sz w:val="32"/>
          <w:szCs w:val="32"/>
          <w:lang w:val="en-US" w:eastAsia="zh-CN"/>
        </w:rPr>
        <w:t>2022</w:t>
      </w:r>
      <w:r>
        <w:rPr>
          <w:rFonts w:hint="eastAsia" w:eastAsia="仿宋_GB2312"/>
          <w:sz w:val="32"/>
          <w:szCs w:val="32"/>
          <w:lang w:val="en-US" w:eastAsia="zh-CN"/>
        </w:rPr>
        <w:t>年度新增</w:t>
      </w:r>
      <w:r>
        <w:rPr>
          <w:rFonts w:eastAsia="仿宋_GB2312"/>
          <w:sz w:val="32"/>
          <w:szCs w:val="32"/>
        </w:rPr>
        <w:t>事项（</w:t>
      </w:r>
      <w:r>
        <w:rPr>
          <w:rFonts w:hint="eastAsia" w:eastAsia="仿宋_GB2312"/>
          <w:sz w:val="32"/>
          <w:szCs w:val="32"/>
          <w:lang w:eastAsia="zh-CN"/>
        </w:rPr>
        <w:t>包含</w:t>
      </w:r>
      <w:r>
        <w:rPr>
          <w:rFonts w:hint="eastAsia"/>
          <w:sz w:val="32"/>
          <w:szCs w:val="32"/>
          <w:lang w:eastAsia="zh-CN"/>
        </w:rPr>
        <w:t>省、市</w:t>
      </w:r>
      <w:r>
        <w:rPr>
          <w:rFonts w:hint="eastAsia" w:eastAsia="仿宋_GB2312"/>
          <w:sz w:val="32"/>
          <w:szCs w:val="32"/>
          <w:lang w:eastAsia="zh-CN"/>
        </w:rPr>
        <w:t>下放、</w:t>
      </w:r>
      <w:r>
        <w:rPr>
          <w:rFonts w:eastAsia="仿宋_GB2312"/>
          <w:sz w:val="32"/>
          <w:szCs w:val="32"/>
        </w:rPr>
        <w:t>委托</w:t>
      </w:r>
      <w:r>
        <w:rPr>
          <w:rFonts w:hint="eastAsia" w:eastAsia="仿宋_GB2312"/>
          <w:sz w:val="32"/>
          <w:szCs w:val="32"/>
          <w:lang w:eastAsia="zh-CN"/>
        </w:rPr>
        <w:t>、重心下移和</w:t>
      </w:r>
      <w:r>
        <w:rPr>
          <w:rFonts w:eastAsia="仿宋_GB2312"/>
          <w:sz w:val="32"/>
          <w:szCs w:val="32"/>
        </w:rPr>
        <w:t>按程序转报的行政许可事项，不含备案事项）</w:t>
      </w:r>
      <w:r>
        <w:rPr>
          <w:rFonts w:hint="eastAsia"/>
          <w:sz w:val="32"/>
          <w:szCs w:val="32"/>
          <w:lang w:val="en-US" w:eastAsia="zh-CN"/>
        </w:rPr>
        <w:t>0项</w:t>
      </w:r>
      <w:r>
        <w:rPr>
          <w:rFonts w:hint="eastAsia"/>
          <w:sz w:val="32"/>
          <w:szCs w:val="32"/>
          <w:lang w:eastAsia="zh-CN"/>
        </w:rPr>
        <w:t>。今年，</w:t>
      </w:r>
      <w:r>
        <w:rPr>
          <w:rFonts w:eastAsia="仿宋_GB2312"/>
          <w:sz w:val="32"/>
          <w:szCs w:val="32"/>
        </w:rPr>
        <w:t>行政许可申请量</w:t>
      </w:r>
      <w:r>
        <w:rPr>
          <w:rFonts w:hint="eastAsia"/>
          <w:sz w:val="32"/>
          <w:szCs w:val="32"/>
          <w:lang w:eastAsia="zh-CN"/>
        </w:rPr>
        <w:t>为</w:t>
      </w:r>
      <w:r>
        <w:rPr>
          <w:rFonts w:hint="eastAsia"/>
          <w:sz w:val="32"/>
          <w:szCs w:val="32"/>
          <w:lang w:val="en-US" w:eastAsia="zh-CN"/>
        </w:rPr>
        <w:t>0</w:t>
      </w:r>
      <w:r>
        <w:rPr>
          <w:rFonts w:eastAsia="仿宋_GB2312"/>
          <w:sz w:val="32"/>
          <w:szCs w:val="32"/>
        </w:rPr>
        <w:t>；行政许可办结量</w:t>
      </w:r>
      <w:r>
        <w:rPr>
          <w:rFonts w:hint="eastAsia"/>
          <w:sz w:val="32"/>
          <w:szCs w:val="32"/>
          <w:lang w:eastAsia="zh-CN"/>
        </w:rPr>
        <w:t>为</w:t>
      </w:r>
      <w:r>
        <w:rPr>
          <w:rFonts w:hint="eastAsia"/>
          <w:sz w:val="32"/>
          <w:szCs w:val="32"/>
          <w:lang w:val="en-US" w:eastAsia="zh-CN"/>
        </w:rPr>
        <w:t>0</w:t>
      </w:r>
      <w:r>
        <w:rPr>
          <w:rFonts w:eastAsia="仿宋_GB2312"/>
          <w:sz w:val="32"/>
          <w:szCs w:val="32"/>
        </w:rPr>
        <w:t>。</w:t>
      </w:r>
    </w:p>
    <w:p>
      <w:pPr>
        <w:spacing w:line="560" w:lineRule="exact"/>
        <w:ind w:firstLine="640" w:firstLineChars="200"/>
        <w:rPr>
          <w:rFonts w:eastAsia="仿宋_GB2312"/>
          <w:sz w:val="32"/>
          <w:szCs w:val="32"/>
        </w:rPr>
      </w:pPr>
      <w:r>
        <w:rPr>
          <w:rFonts w:eastAsia="楷体_GB2312"/>
          <w:sz w:val="32"/>
          <w:szCs w:val="32"/>
        </w:rPr>
        <w:t>（一）依法实施情况。</w:t>
      </w:r>
      <w:r>
        <w:rPr>
          <w:rFonts w:hint="eastAsia" w:eastAsia="仿宋_GB2312"/>
          <w:sz w:val="32"/>
          <w:szCs w:val="32"/>
          <w:lang w:eastAsia="zh-CN"/>
        </w:rPr>
        <w:t>我局</w:t>
      </w:r>
      <w:r>
        <w:rPr>
          <w:rFonts w:eastAsia="仿宋_GB2312"/>
          <w:sz w:val="32"/>
          <w:szCs w:val="32"/>
        </w:rPr>
        <w:t>遵守法律法规规定的审批权限、范围、程序、条件；</w:t>
      </w:r>
      <w:r>
        <w:rPr>
          <w:rFonts w:hint="eastAsia"/>
          <w:sz w:val="32"/>
          <w:szCs w:val="32"/>
          <w:lang w:eastAsia="zh-CN"/>
        </w:rPr>
        <w:t>不</w:t>
      </w:r>
      <w:r>
        <w:rPr>
          <w:rFonts w:eastAsia="仿宋_GB2312"/>
          <w:sz w:val="32"/>
          <w:szCs w:val="32"/>
        </w:rPr>
        <w:t>存在变相设定和实施行政许可情况；</w:t>
      </w:r>
      <w:r>
        <w:rPr>
          <w:rFonts w:hint="eastAsia"/>
          <w:sz w:val="32"/>
          <w:szCs w:val="32"/>
          <w:lang w:eastAsia="zh-CN"/>
        </w:rPr>
        <w:t>依法依规</w:t>
      </w:r>
      <w:r>
        <w:rPr>
          <w:rFonts w:eastAsia="仿宋_GB2312"/>
          <w:sz w:val="32"/>
          <w:szCs w:val="32"/>
        </w:rPr>
        <w:t>对行政许可配套规范性文件的清理、修改、完善。</w:t>
      </w:r>
    </w:p>
    <w:p>
      <w:pPr>
        <w:spacing w:line="560" w:lineRule="exact"/>
        <w:ind w:firstLine="640" w:firstLineChars="200"/>
        <w:rPr>
          <w:rFonts w:eastAsia="仿宋_GB2312"/>
          <w:sz w:val="32"/>
          <w:szCs w:val="32"/>
        </w:rPr>
      </w:pPr>
      <w:r>
        <w:rPr>
          <w:rFonts w:eastAsia="楷体_GB2312"/>
          <w:sz w:val="32"/>
          <w:szCs w:val="32"/>
        </w:rPr>
        <w:t>（二）公开公示情况。</w:t>
      </w:r>
      <w:r>
        <w:rPr>
          <w:rFonts w:hint="eastAsia" w:eastAsia="仿宋_GB2312"/>
          <w:sz w:val="32"/>
          <w:szCs w:val="32"/>
          <w:lang w:eastAsia="zh-CN"/>
        </w:rPr>
        <w:t>我局负责的相关行政事项已进驻广东省政务服务事项管理系统</w:t>
      </w:r>
      <w:r>
        <w:rPr>
          <w:rFonts w:hint="eastAsia"/>
          <w:sz w:val="32"/>
          <w:szCs w:val="32"/>
          <w:lang w:eastAsia="zh-CN"/>
        </w:rPr>
        <w:t>，并依据相关行政法规，</w:t>
      </w:r>
      <w:r>
        <w:rPr>
          <w:rFonts w:eastAsia="仿宋_GB2312"/>
          <w:sz w:val="32"/>
          <w:szCs w:val="32"/>
        </w:rPr>
        <w:t>公开公示实施主体、依据、程序、条件、期限、裁量标准、申请材料及办法、申请书格式文本、咨询投诉方式等</w:t>
      </w:r>
      <w:r>
        <w:rPr>
          <w:rFonts w:hint="eastAsia"/>
          <w:sz w:val="32"/>
          <w:szCs w:val="32"/>
          <w:lang w:eastAsia="zh-CN"/>
        </w:rPr>
        <w:t>信息，并根据区政务服务要求，进行细化、完善</w:t>
      </w:r>
      <w:r>
        <w:rPr>
          <w:rFonts w:eastAsia="仿宋_GB2312"/>
          <w:sz w:val="32"/>
          <w:szCs w:val="32"/>
        </w:rPr>
        <w:t>。</w:t>
      </w:r>
    </w:p>
    <w:p>
      <w:pPr>
        <w:spacing w:line="560" w:lineRule="exact"/>
        <w:ind w:firstLine="640" w:firstLineChars="200"/>
        <w:rPr>
          <w:rFonts w:eastAsia="仿宋_GB2312"/>
          <w:sz w:val="32"/>
          <w:szCs w:val="32"/>
        </w:rPr>
      </w:pPr>
      <w:r>
        <w:rPr>
          <w:rFonts w:eastAsia="楷体_GB2312"/>
          <w:sz w:val="32"/>
          <w:szCs w:val="32"/>
        </w:rPr>
        <w:t>（三）</w:t>
      </w:r>
      <w:r>
        <w:rPr>
          <w:rFonts w:hint="eastAsia" w:eastAsia="楷体_GB2312"/>
          <w:sz w:val="32"/>
          <w:szCs w:val="32"/>
        </w:rPr>
        <w:t>监督管理情况</w:t>
      </w:r>
      <w:r>
        <w:rPr>
          <w:rFonts w:eastAsia="楷体_GB2312"/>
          <w:sz w:val="32"/>
          <w:szCs w:val="32"/>
        </w:rPr>
        <w:t>。</w:t>
      </w:r>
      <w:r>
        <w:rPr>
          <w:rFonts w:hint="eastAsia" w:eastAsia="仿宋_GB2312"/>
          <w:sz w:val="32"/>
          <w:szCs w:val="32"/>
          <w:lang w:eastAsia="zh-CN"/>
        </w:rPr>
        <w:t>我局根据</w:t>
      </w:r>
      <w:r>
        <w:rPr>
          <w:rFonts w:hint="eastAsia"/>
          <w:sz w:val="32"/>
          <w:szCs w:val="32"/>
          <w:lang w:eastAsia="zh-CN"/>
        </w:rPr>
        <w:t>上级部门要求，</w:t>
      </w:r>
      <w:r>
        <w:rPr>
          <w:rFonts w:eastAsia="仿宋_GB2312"/>
          <w:sz w:val="32"/>
          <w:szCs w:val="32"/>
        </w:rPr>
        <w:t>实施行政审批有关监管</w:t>
      </w:r>
      <w:r>
        <w:rPr>
          <w:rFonts w:hint="eastAsia"/>
          <w:sz w:val="32"/>
          <w:szCs w:val="32"/>
          <w:lang w:eastAsia="zh-CN"/>
        </w:rPr>
        <w:t>，通过定期或不定期开展案卷抽查强化内部监督检查。暂无</w:t>
      </w:r>
      <w:r>
        <w:rPr>
          <w:rFonts w:eastAsia="仿宋_GB2312"/>
          <w:sz w:val="32"/>
          <w:szCs w:val="32"/>
        </w:rPr>
        <w:t>发现、查处有关违法违规情况</w:t>
      </w:r>
      <w:r>
        <w:rPr>
          <w:rFonts w:hint="eastAsia"/>
          <w:sz w:val="32"/>
          <w:szCs w:val="32"/>
          <w:lang w:eastAsia="zh-CN"/>
        </w:rPr>
        <w:t>和</w:t>
      </w:r>
      <w:r>
        <w:rPr>
          <w:rFonts w:eastAsia="仿宋_GB2312"/>
          <w:sz w:val="32"/>
          <w:szCs w:val="32"/>
        </w:rPr>
        <w:t>事项办理过程中被投诉举报情况。</w:t>
      </w:r>
    </w:p>
    <w:p>
      <w:pPr>
        <w:spacing w:line="560" w:lineRule="exact"/>
        <w:ind w:firstLine="640" w:firstLineChars="200"/>
        <w:rPr>
          <w:rFonts w:eastAsia="仿宋_GB2312"/>
          <w:sz w:val="32"/>
          <w:szCs w:val="32"/>
        </w:rPr>
      </w:pPr>
      <w:r>
        <w:rPr>
          <w:rFonts w:eastAsia="楷体_GB2312"/>
          <w:sz w:val="32"/>
          <w:szCs w:val="32"/>
        </w:rPr>
        <w:t>（四）实施效果情况。</w:t>
      </w:r>
      <w:r>
        <w:rPr>
          <w:rFonts w:hint="eastAsia" w:eastAsia="仿宋_GB2312"/>
          <w:sz w:val="32"/>
          <w:szCs w:val="32"/>
          <w:lang w:eastAsia="zh-CN"/>
        </w:rPr>
        <w:t>根据《广州市人民政府关于下放、委托和收回一批市级行政权力事项的决定》（穗府令第178号）</w:t>
      </w:r>
      <w:r>
        <w:rPr>
          <w:rFonts w:hint="eastAsia"/>
          <w:sz w:val="32"/>
          <w:szCs w:val="32"/>
          <w:lang w:eastAsia="zh-CN"/>
        </w:rPr>
        <w:t>，本次行政许可下放充分体现简政放权，简化了办事流程，缩短了办事时限，减少到现场办事次数，最大限度方便办事人</w:t>
      </w:r>
      <w:r>
        <w:rPr>
          <w:rFonts w:eastAsia="仿宋_GB2312"/>
          <w:sz w:val="32"/>
          <w:szCs w:val="32"/>
        </w:rPr>
        <w:t>。</w:t>
      </w:r>
    </w:p>
    <w:p>
      <w:pPr>
        <w:spacing w:line="560" w:lineRule="exact"/>
        <w:ind w:firstLine="640" w:firstLineChars="200"/>
        <w:rPr>
          <w:rFonts w:hint="default"/>
          <w:sz w:val="32"/>
          <w:szCs w:val="32"/>
          <w:lang w:val="en-US" w:eastAsia="zh-CN"/>
        </w:rPr>
      </w:pPr>
      <w:r>
        <w:rPr>
          <w:rFonts w:eastAsia="楷体_GB2312"/>
          <w:sz w:val="32"/>
          <w:szCs w:val="32"/>
        </w:rPr>
        <w:t>（五）创新方式情况。</w:t>
      </w:r>
      <w:r>
        <w:rPr>
          <w:rFonts w:hint="eastAsia"/>
          <w:sz w:val="32"/>
          <w:szCs w:val="32"/>
          <w:lang w:eastAsia="zh-CN"/>
        </w:rPr>
        <w:t>在国家持续发挥全国一体化政务服务平台建设成效，全面推进政务服务事项标准化、规范化、便利化建设，推动服务模式从“事项供给”到“场景服务”转变，加快实现政务服务快办、好办、易办，让市场主体和群众依规办事不求人的导向环境下，时限压缩、即办率、零跑动等主要指标</w:t>
      </w:r>
      <w:r>
        <w:rPr>
          <w:rFonts w:hint="eastAsia"/>
          <w:sz w:val="32"/>
          <w:szCs w:val="32"/>
          <w:lang w:val="en-US" w:eastAsia="zh-CN"/>
        </w:rPr>
        <w:t>有所提高。其中，行政许可事项即办率达到100%，“零跑动”100%，网办四级深度达到100%，最多跑一次达100%，依申请政务服务事项可网办率达100%，可预约率100%，100%对接省统一身份认证平台。</w:t>
      </w:r>
    </w:p>
    <w:p>
      <w:pPr>
        <w:spacing w:line="560" w:lineRule="exact"/>
        <w:ind w:firstLine="640" w:firstLineChars="200"/>
        <w:rPr>
          <w:rFonts w:hint="eastAsia" w:eastAsia="仿宋_GB2312"/>
          <w:sz w:val="32"/>
          <w:szCs w:val="32"/>
        </w:rPr>
      </w:pPr>
      <w:r>
        <w:rPr>
          <w:rFonts w:eastAsia="楷体_GB2312"/>
          <w:sz w:val="32"/>
          <w:szCs w:val="32"/>
        </w:rPr>
        <w:t>（六）推行标准化情况。</w:t>
      </w:r>
      <w:r>
        <w:rPr>
          <w:rFonts w:hint="eastAsia"/>
          <w:sz w:val="32"/>
          <w:szCs w:val="32"/>
          <w:lang w:eastAsia="zh-CN"/>
        </w:rPr>
        <w:t>根据上级部门要求，印发相关办事指南，并在广东省政务服务事项管理系统（广东政务服务网）上</w:t>
      </w:r>
      <w:r>
        <w:rPr>
          <w:rFonts w:eastAsia="仿宋_GB2312"/>
          <w:sz w:val="32"/>
          <w:szCs w:val="32"/>
        </w:rPr>
        <w:t>规范行政许可事项名称、实施依据、申请条件、申请材料、办理时限、受理范围等要素。</w:t>
      </w:r>
    </w:p>
    <w:p>
      <w:pPr>
        <w:spacing w:line="560" w:lineRule="exact"/>
        <w:ind w:firstLine="640" w:firstLineChars="200"/>
        <w:rPr>
          <w:rFonts w:eastAsia="黑体"/>
          <w:sz w:val="32"/>
          <w:szCs w:val="32"/>
        </w:rPr>
      </w:pPr>
      <w:r>
        <w:rPr>
          <w:rFonts w:hAnsi="黑体" w:eastAsia="黑体"/>
          <w:sz w:val="32"/>
          <w:szCs w:val="32"/>
        </w:rPr>
        <w:t>二、存在问题和困难</w:t>
      </w:r>
    </w:p>
    <w:p>
      <w:pPr>
        <w:spacing w:line="560" w:lineRule="exact"/>
        <w:ind w:firstLine="640" w:firstLineChars="200"/>
        <w:rPr>
          <w:rFonts w:hint="eastAsia"/>
          <w:sz w:val="32"/>
          <w:szCs w:val="32"/>
          <w:lang w:eastAsia="zh-CN"/>
        </w:rPr>
      </w:pPr>
      <w:r>
        <w:rPr>
          <w:rFonts w:hint="eastAsia"/>
          <w:sz w:val="32"/>
          <w:szCs w:val="32"/>
          <w:lang w:eastAsia="zh-CN"/>
        </w:rPr>
        <w:t>我局项下行政许可事项（</w:t>
      </w:r>
      <w:r>
        <w:rPr>
          <w:rFonts w:hint="eastAsia" w:eastAsia="仿宋_GB2312"/>
          <w:sz w:val="32"/>
          <w:szCs w:val="32"/>
        </w:rPr>
        <w:t>对外劳务合作经营资格核准</w:t>
      </w:r>
      <w:r>
        <w:rPr>
          <w:rFonts w:hint="eastAsia"/>
          <w:sz w:val="32"/>
          <w:szCs w:val="32"/>
          <w:lang w:eastAsia="zh-CN"/>
        </w:rPr>
        <w:t>），</w:t>
      </w:r>
      <w:r>
        <w:rPr>
          <w:rFonts w:hint="eastAsia" w:eastAsia="仿宋_GB2312"/>
          <w:sz w:val="32"/>
          <w:szCs w:val="32"/>
        </w:rPr>
        <w:t>自</w:t>
      </w:r>
      <w:r>
        <w:rPr>
          <w:rFonts w:hint="eastAsia"/>
          <w:sz w:val="32"/>
          <w:szCs w:val="32"/>
          <w:lang w:val="en-US" w:eastAsia="zh-CN"/>
        </w:rPr>
        <w:t>2021</w:t>
      </w:r>
      <w:r>
        <w:rPr>
          <w:rFonts w:hint="eastAsia" w:eastAsia="仿宋_GB2312"/>
          <w:sz w:val="32"/>
          <w:szCs w:val="32"/>
        </w:rPr>
        <w:t>年承接以来，未发生过业务</w:t>
      </w:r>
      <w:r>
        <w:rPr>
          <w:rFonts w:hint="eastAsia"/>
          <w:sz w:val="32"/>
          <w:szCs w:val="32"/>
          <w:lang w:eastAsia="zh-CN"/>
        </w:rPr>
        <w:t>，暂未发现存在问题。</w:t>
      </w:r>
    </w:p>
    <w:p>
      <w:pPr>
        <w:spacing w:line="560" w:lineRule="exact"/>
        <w:ind w:firstLine="640" w:firstLineChars="200"/>
        <w:rPr>
          <w:rFonts w:eastAsia="黑体"/>
          <w:sz w:val="32"/>
          <w:szCs w:val="32"/>
        </w:rPr>
      </w:pPr>
      <w:r>
        <w:rPr>
          <w:rFonts w:hAnsi="黑体" w:eastAsia="黑体"/>
          <w:sz w:val="32"/>
          <w:szCs w:val="32"/>
        </w:rPr>
        <w:t>三、下一步工作措施</w:t>
      </w:r>
      <w:bookmarkStart w:id="0" w:name="_GoBack"/>
      <w:bookmarkEnd w:id="0"/>
      <w:r>
        <w:rPr>
          <w:rFonts w:hAnsi="黑体" w:eastAsia="黑体"/>
          <w:sz w:val="32"/>
          <w:szCs w:val="32"/>
        </w:rPr>
        <w:t>及有关建议</w:t>
      </w:r>
    </w:p>
    <w:p>
      <w:pPr>
        <w:ind w:firstLine="643" w:firstLineChars="200"/>
        <w:rPr>
          <w:rFonts w:hint="eastAsia"/>
          <w:sz w:val="32"/>
          <w:szCs w:val="32"/>
          <w:lang w:eastAsia="zh-CN"/>
        </w:rPr>
      </w:pPr>
      <w:r>
        <w:rPr>
          <w:rFonts w:hint="eastAsia"/>
          <w:b/>
          <w:bCs/>
          <w:sz w:val="32"/>
          <w:szCs w:val="32"/>
          <w:lang w:eastAsia="zh-CN"/>
        </w:rPr>
        <w:t>（一）加强核准审批管理</w:t>
      </w:r>
      <w:r>
        <w:rPr>
          <w:rFonts w:hint="eastAsia"/>
          <w:sz w:val="32"/>
          <w:szCs w:val="32"/>
          <w:lang w:eastAsia="zh-CN"/>
        </w:rPr>
        <w:t>。按照《广东省对外劳务合作经营资格管理办法》规定，我局将持续做好对外劳务合作经营资格核准工作，明确对外劳务合作企业的主体责任，督促引导对外劳务合作企业按时合法合规完成对外劳务合作经营资格核准的办理和对外劳务合作风险处置备用金的缴纳与保管工作，并落实对已办理核准业务的企业的日常监督检查工作，如发现存在重大风险隐患，必须提前预警，做到早发现、早介入。同时，我局亦同步主动配合市有关部门做好衔接工作，严格依法规范办事，简化办事程序，优化办事流程，缩短办理时限，为企业和群众提供高效便捷服务。</w:t>
      </w:r>
    </w:p>
    <w:p>
      <w:pPr>
        <w:ind w:firstLine="643" w:firstLineChars="200"/>
        <w:rPr>
          <w:rFonts w:hint="eastAsia"/>
          <w:sz w:val="32"/>
          <w:szCs w:val="32"/>
          <w:lang w:eastAsia="zh-CN"/>
        </w:rPr>
      </w:pPr>
      <w:r>
        <w:rPr>
          <w:rFonts w:hint="eastAsia"/>
          <w:b/>
          <w:bCs/>
          <w:sz w:val="32"/>
          <w:szCs w:val="32"/>
          <w:lang w:eastAsia="zh-CN"/>
        </w:rPr>
        <w:t>（二）加强工作联动。</w:t>
      </w:r>
      <w:r>
        <w:rPr>
          <w:rFonts w:hint="eastAsia"/>
          <w:sz w:val="32"/>
          <w:szCs w:val="32"/>
          <w:lang w:eastAsia="zh-CN"/>
        </w:rPr>
        <w:t>加强与人力资源部门的沟通，对于对外劳务派遣企业咨询关于相关业务办理事项进行申办前主动沟通对接，将企业在申报过程中的重点注意事项进行告知服务，帮助企业规避由于提交资料问题导致的超时问题。我局将根据上级部门要求，继续对项下行政许可事项办理流程、申请材料、办理时限进行进一步优化及完善。</w:t>
      </w:r>
    </w:p>
    <w:p>
      <w:pPr>
        <w:ind w:firstLine="640" w:firstLineChars="200"/>
        <w:rPr>
          <w:rFonts w:hint="eastAsia"/>
          <w:sz w:val="32"/>
          <w:szCs w:val="32"/>
          <w:lang w:eastAsia="zh-CN"/>
        </w:rPr>
      </w:pPr>
    </w:p>
    <w:p>
      <w:pPr>
        <w:ind w:firstLine="640" w:firstLineChars="200"/>
        <w:rPr>
          <w:rFonts w:hint="eastAsia"/>
          <w:sz w:val="32"/>
          <w:szCs w:val="32"/>
          <w:lang w:eastAsia="zh-CN"/>
        </w:rPr>
      </w:pPr>
      <w:r>
        <w:rPr>
          <w:rFonts w:hint="eastAsia"/>
          <w:sz w:val="32"/>
          <w:szCs w:val="32"/>
          <w:lang w:eastAsia="zh-CN"/>
        </w:rPr>
        <w:t>附件：广州市从化区科技工业商务和信息化局2022年度行政许可实施和监督管理情况表</w:t>
      </w:r>
    </w:p>
    <w:p>
      <w:pPr>
        <w:ind w:firstLine="640" w:firstLineChars="200"/>
        <w:rPr>
          <w:rFonts w:hint="default"/>
          <w:sz w:val="32"/>
          <w:szCs w:val="32"/>
          <w:lang w:val="en-US" w:eastAsia="zh-CN"/>
        </w:rPr>
      </w:pPr>
      <w:r>
        <w:rPr>
          <w:rFonts w:hint="eastAsia"/>
          <w:sz w:val="32"/>
          <w:szCs w:val="32"/>
          <w:lang w:val="en-US" w:eastAsia="zh-CN"/>
        </w:rPr>
        <w:t xml:space="preserve">      </w:t>
      </w:r>
    </w:p>
    <w:p>
      <w:pPr>
        <w:ind w:firstLine="640" w:firstLineChars="200"/>
        <w:rPr>
          <w:rFonts w:hint="eastAsia"/>
          <w:sz w:val="32"/>
          <w:szCs w:val="32"/>
          <w:lang w:eastAsia="zh-CN"/>
        </w:rPr>
      </w:pPr>
    </w:p>
    <w:p>
      <w:pPr>
        <w:ind w:firstLine="640" w:firstLineChars="200"/>
        <w:jc w:val="right"/>
        <w:rPr>
          <w:rFonts w:hint="eastAsia"/>
          <w:sz w:val="32"/>
          <w:szCs w:val="32"/>
          <w:lang w:eastAsia="zh-CN"/>
        </w:rPr>
      </w:pPr>
      <w:r>
        <w:rPr>
          <w:rFonts w:hint="eastAsia"/>
          <w:sz w:val="32"/>
          <w:szCs w:val="32"/>
          <w:lang w:eastAsia="zh-CN"/>
        </w:rPr>
        <w:t>广州市从化区科技工业商务和信息化局</w:t>
      </w:r>
    </w:p>
    <w:p>
      <w:pPr>
        <w:wordWrap w:val="0"/>
        <w:ind w:firstLine="640" w:firstLineChars="200"/>
        <w:jc w:val="right"/>
        <w:rPr>
          <w:rFonts w:hint="eastAsia"/>
          <w:sz w:val="32"/>
          <w:szCs w:val="32"/>
          <w:lang w:val="en-US" w:eastAsia="zh-CN"/>
        </w:rPr>
      </w:pPr>
      <w:r>
        <w:rPr>
          <w:rFonts w:hint="eastAsia"/>
          <w:sz w:val="32"/>
          <w:szCs w:val="32"/>
          <w:lang w:val="en-US" w:eastAsia="zh-CN"/>
        </w:rPr>
        <w:t xml:space="preserve">2023年3月27日       </w:t>
      </w:r>
    </w:p>
    <w:p>
      <w:pPr>
        <w:wordWrap/>
        <w:ind w:firstLine="640" w:firstLineChars="200"/>
        <w:jc w:val="right"/>
        <w:rPr>
          <w:rFonts w:hint="eastAsia"/>
          <w:sz w:val="32"/>
          <w:szCs w:val="32"/>
          <w:lang w:val="en-US" w:eastAsia="zh-CN"/>
        </w:rPr>
      </w:pPr>
    </w:p>
    <w:p>
      <w:pPr>
        <w:wordWrap/>
        <w:ind w:firstLine="640" w:firstLineChars="200"/>
        <w:jc w:val="both"/>
        <w:rPr>
          <w:rFonts w:hint="eastAsia"/>
          <w:sz w:val="32"/>
          <w:szCs w:val="32"/>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Times New Roman" w:eastAsia="方正小标宋_GBK" w:cs="Times New Roman"/>
          <w:sz w:val="44"/>
          <w:szCs w:val="44"/>
        </w:rPr>
      </w:pPr>
      <w:r>
        <w:rPr>
          <w:rFonts w:ascii="方正小标宋_GBK" w:hAnsi="Times New Roman" w:eastAsia="方正小标宋_GBK" w:cs="Times New Roman"/>
          <w:sz w:val="44"/>
          <w:szCs w:val="44"/>
        </w:rPr>
        <w:t>广州市</w:t>
      </w:r>
      <w:r>
        <w:rPr>
          <w:rFonts w:hint="eastAsia" w:ascii="方正小标宋_GBK" w:hAnsi="Times New Roman" w:eastAsia="方正小标宋_GBK" w:cs="Times New Roman"/>
          <w:sz w:val="44"/>
          <w:szCs w:val="44"/>
          <w:lang w:eastAsia="zh-CN"/>
        </w:rPr>
        <w:t>从化区</w:t>
      </w:r>
      <w:r>
        <w:rPr>
          <w:rFonts w:hint="eastAsia" w:ascii="方正小标宋_GBK" w:hAnsi="Times New Roman" w:eastAsia="方正小标宋_GBK" w:cs="Times New Roman"/>
          <w:sz w:val="44"/>
          <w:szCs w:val="44"/>
        </w:rPr>
        <w:t>科技工业商务和信息化局</w:t>
      </w:r>
      <w:r>
        <w:rPr>
          <w:rFonts w:ascii="方正小标宋_GBK" w:hAnsi="Times New Roman" w:eastAsia="方正小标宋_GBK" w:cs="Times New Roman"/>
          <w:sz w:val="44"/>
          <w:szCs w:val="44"/>
        </w:rPr>
        <w:t>20</w:t>
      </w:r>
      <w:r>
        <w:rPr>
          <w:rFonts w:hint="eastAsia" w:ascii="方正小标宋_GBK" w:hAnsi="Times New Roman" w:eastAsia="方正小标宋_GBK" w:cs="Times New Roman"/>
          <w:sz w:val="44"/>
          <w:szCs w:val="44"/>
          <w:lang w:val="en-US" w:eastAsia="zh-CN"/>
        </w:rPr>
        <w:t>22</w:t>
      </w:r>
      <w:r>
        <w:rPr>
          <w:rFonts w:ascii="方正小标宋_GBK" w:hAnsi="Times New Roman" w:eastAsia="方正小标宋_GBK" w:cs="Times New Roman"/>
          <w:sz w:val="44"/>
          <w:szCs w:val="44"/>
        </w:rPr>
        <w:t>年度行政许可实施和监督管理情况表</w:t>
      </w:r>
    </w:p>
    <w:p>
      <w:pPr>
        <w:rPr>
          <w:rFonts w:ascii="Times New Roman" w:hAnsi="Times New Roman" w:eastAsia="宋体" w:cs="Times New Roman"/>
        </w:rPr>
      </w:pPr>
    </w:p>
    <w:tbl>
      <w:tblPr>
        <w:tblStyle w:val="4"/>
        <w:tblW w:w="15881" w:type="dxa"/>
        <w:tblInd w:w="-1165" w:type="dxa"/>
        <w:tblLayout w:type="fixed"/>
        <w:tblCellMar>
          <w:top w:w="0" w:type="dxa"/>
          <w:left w:w="108" w:type="dxa"/>
          <w:bottom w:w="0" w:type="dxa"/>
          <w:right w:w="108" w:type="dxa"/>
        </w:tblCellMar>
      </w:tblPr>
      <w:tblGrid>
        <w:gridCol w:w="974"/>
        <w:gridCol w:w="766"/>
        <w:gridCol w:w="810"/>
        <w:gridCol w:w="1035"/>
        <w:gridCol w:w="960"/>
        <w:gridCol w:w="441"/>
        <w:gridCol w:w="441"/>
        <w:gridCol w:w="442"/>
        <w:gridCol w:w="441"/>
        <w:gridCol w:w="442"/>
        <w:gridCol w:w="441"/>
        <w:gridCol w:w="442"/>
        <w:gridCol w:w="645"/>
        <w:gridCol w:w="731"/>
        <w:gridCol w:w="553"/>
        <w:gridCol w:w="691"/>
        <w:gridCol w:w="691"/>
        <w:gridCol w:w="707"/>
        <w:gridCol w:w="815"/>
        <w:gridCol w:w="830"/>
        <w:gridCol w:w="829"/>
        <w:gridCol w:w="830"/>
        <w:gridCol w:w="924"/>
      </w:tblGrid>
      <w:tr>
        <w:tblPrEx>
          <w:tblLayout w:type="fixed"/>
          <w:tblCellMar>
            <w:top w:w="0" w:type="dxa"/>
            <w:left w:w="108" w:type="dxa"/>
            <w:bottom w:w="0" w:type="dxa"/>
            <w:right w:w="108" w:type="dxa"/>
          </w:tblCellMar>
        </w:tblPrEx>
        <w:trPr>
          <w:trHeight w:val="416" w:hRule="atLeast"/>
        </w:trPr>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2"/>
                <w:szCs w:val="16"/>
              </w:rPr>
            </w:pPr>
            <w:r>
              <w:rPr>
                <w:rFonts w:hint="eastAsia" w:ascii="宋体" w:hAnsi="宋体" w:eastAsia="宋体" w:cs="宋体"/>
                <w:sz w:val="22"/>
                <w:szCs w:val="16"/>
              </w:rPr>
              <w:t>序号</w:t>
            </w:r>
          </w:p>
        </w:tc>
        <w:tc>
          <w:tcPr>
            <w:tcW w:w="1576" w:type="dxa"/>
            <w:gridSpan w:val="2"/>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2"/>
                <w:szCs w:val="16"/>
              </w:rPr>
            </w:pPr>
            <w:r>
              <w:rPr>
                <w:rFonts w:hint="eastAsia" w:ascii="宋体" w:hAnsi="宋体" w:eastAsia="宋体" w:cs="宋体"/>
                <w:sz w:val="22"/>
                <w:szCs w:val="16"/>
              </w:rPr>
              <w:t>审批事项</w:t>
            </w:r>
          </w:p>
        </w:tc>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2"/>
                <w:szCs w:val="16"/>
              </w:rPr>
            </w:pPr>
            <w:r>
              <w:rPr>
                <w:rFonts w:hint="eastAsia" w:ascii="宋体" w:hAnsi="宋体" w:eastAsia="宋体" w:cs="宋体"/>
                <w:sz w:val="22"/>
                <w:szCs w:val="16"/>
              </w:rPr>
              <w:t>是否纳入</w:t>
            </w:r>
            <w:r>
              <w:rPr>
                <w:rFonts w:hint="eastAsia" w:ascii="宋体" w:hAnsi="宋体" w:eastAsia="宋体" w:cs="宋体"/>
                <w:sz w:val="22"/>
                <w:szCs w:val="16"/>
                <w:lang w:eastAsia="zh-CN"/>
              </w:rPr>
              <w:t>市</w:t>
            </w:r>
            <w:r>
              <w:rPr>
                <w:rFonts w:hint="eastAsia" w:ascii="宋体" w:hAnsi="宋体" w:eastAsia="宋体" w:cs="宋体"/>
                <w:sz w:val="22"/>
                <w:szCs w:val="16"/>
              </w:rPr>
              <w:t>行政许可事项目录</w:t>
            </w:r>
          </w:p>
        </w:tc>
        <w:tc>
          <w:tcPr>
            <w:tcW w:w="960" w:type="dxa"/>
            <w:vMerge w:val="restart"/>
            <w:tcBorders>
              <w:top w:val="single" w:color="auto" w:sz="4" w:space="0"/>
              <w:left w:val="single" w:color="auto" w:sz="4" w:space="0"/>
              <w:bottom w:val="single" w:color="auto" w:sz="4" w:space="0"/>
              <w:right w:val="nil"/>
            </w:tcBorders>
            <w:noWrap w:val="0"/>
            <w:vAlign w:val="center"/>
          </w:tcPr>
          <w:p>
            <w:pPr>
              <w:spacing w:line="260" w:lineRule="exact"/>
              <w:jc w:val="center"/>
              <w:rPr>
                <w:rFonts w:hint="eastAsia" w:ascii="宋体" w:hAnsi="宋体" w:eastAsia="宋体" w:cs="宋体"/>
                <w:sz w:val="22"/>
                <w:szCs w:val="16"/>
                <w:lang w:val="en-US" w:eastAsia="zh-CN"/>
              </w:rPr>
            </w:pPr>
            <w:r>
              <w:rPr>
                <w:rFonts w:hint="eastAsia" w:ascii="宋体" w:hAnsi="宋体" w:eastAsia="宋体" w:cs="宋体"/>
                <w:sz w:val="22"/>
                <w:szCs w:val="16"/>
              </w:rPr>
              <w:t>是否进驻</w:t>
            </w:r>
            <w:r>
              <w:rPr>
                <w:rFonts w:hint="eastAsia" w:ascii="宋体" w:hAnsi="宋体" w:eastAsia="宋体" w:cs="宋体"/>
                <w:sz w:val="22"/>
                <w:szCs w:val="16"/>
                <w:lang w:eastAsia="zh-CN"/>
              </w:rPr>
              <w:t>省政务服务网</w:t>
            </w:r>
          </w:p>
        </w:tc>
        <w:tc>
          <w:tcPr>
            <w:tcW w:w="3735" w:type="dxa"/>
            <w:gridSpan w:val="8"/>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2"/>
                <w:szCs w:val="16"/>
              </w:rPr>
            </w:pPr>
            <w:r>
              <w:rPr>
                <w:rFonts w:hint="eastAsia" w:ascii="宋体" w:hAnsi="宋体" w:eastAsia="宋体" w:cs="宋体"/>
                <w:sz w:val="22"/>
                <w:szCs w:val="16"/>
              </w:rPr>
              <w:t>全年业务量（件）</w:t>
            </w:r>
          </w:p>
        </w:tc>
        <w:tc>
          <w:tcPr>
            <w:tcW w:w="3373" w:type="dxa"/>
            <w:gridSpan w:val="5"/>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2"/>
                <w:szCs w:val="16"/>
              </w:rPr>
            </w:pPr>
            <w:r>
              <w:rPr>
                <w:rFonts w:hint="eastAsia" w:ascii="宋体" w:hAnsi="宋体" w:eastAsia="宋体" w:cs="宋体"/>
                <w:sz w:val="22"/>
                <w:szCs w:val="16"/>
              </w:rPr>
              <w:t>实施过程</w:t>
            </w:r>
          </w:p>
        </w:tc>
        <w:tc>
          <w:tcPr>
            <w:tcW w:w="4228" w:type="dxa"/>
            <w:gridSpan w:val="5"/>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2"/>
                <w:szCs w:val="16"/>
              </w:rPr>
            </w:pPr>
            <w:r>
              <w:rPr>
                <w:rFonts w:hint="eastAsia" w:ascii="宋体" w:hAnsi="宋体" w:eastAsia="宋体" w:cs="宋体"/>
                <w:sz w:val="22"/>
                <w:szCs w:val="16"/>
              </w:rPr>
              <w:t>监督管理</w:t>
            </w:r>
          </w:p>
        </w:tc>
      </w:tr>
      <w:tr>
        <w:tblPrEx>
          <w:tblLayout w:type="fixed"/>
          <w:tblCellMar>
            <w:top w:w="0" w:type="dxa"/>
            <w:left w:w="108" w:type="dxa"/>
            <w:bottom w:w="0" w:type="dxa"/>
            <w:right w:w="108" w:type="dxa"/>
          </w:tblCellMar>
        </w:tblPrEx>
        <w:trPr>
          <w:trHeight w:val="1990" w:hRule="atLeast"/>
        </w:trPr>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2"/>
                <w:szCs w:val="16"/>
              </w:rPr>
            </w:pPr>
          </w:p>
        </w:tc>
        <w:tc>
          <w:tcPr>
            <w:tcW w:w="766"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2"/>
                <w:szCs w:val="16"/>
              </w:rPr>
            </w:pPr>
            <w:r>
              <w:rPr>
                <w:rFonts w:hint="eastAsia" w:ascii="宋体" w:hAnsi="宋体" w:eastAsia="宋体" w:cs="宋体"/>
                <w:sz w:val="22"/>
                <w:szCs w:val="16"/>
              </w:rPr>
              <w:t>事项</w:t>
            </w:r>
          </w:p>
          <w:p>
            <w:pPr>
              <w:spacing w:line="260" w:lineRule="exact"/>
              <w:jc w:val="center"/>
              <w:rPr>
                <w:rFonts w:hint="eastAsia" w:ascii="宋体" w:hAnsi="宋体" w:eastAsia="宋体" w:cs="宋体"/>
                <w:sz w:val="22"/>
                <w:szCs w:val="16"/>
              </w:rPr>
            </w:pPr>
            <w:r>
              <w:rPr>
                <w:rFonts w:hint="eastAsia" w:ascii="宋体" w:hAnsi="宋体" w:eastAsia="宋体" w:cs="宋体"/>
                <w:sz w:val="22"/>
                <w:szCs w:val="16"/>
              </w:rPr>
              <w:t>名称</w:t>
            </w:r>
          </w:p>
        </w:tc>
        <w:tc>
          <w:tcPr>
            <w:tcW w:w="810" w:type="dxa"/>
            <w:tcBorders>
              <w:top w:val="nil"/>
              <w:left w:val="nil"/>
              <w:bottom w:val="single" w:color="auto" w:sz="4" w:space="0"/>
              <w:right w:val="nil"/>
            </w:tcBorders>
            <w:noWrap w:val="0"/>
            <w:vAlign w:val="center"/>
          </w:tcPr>
          <w:p>
            <w:pPr>
              <w:spacing w:line="260" w:lineRule="exact"/>
              <w:jc w:val="center"/>
              <w:rPr>
                <w:rFonts w:hint="eastAsia" w:ascii="宋体" w:hAnsi="宋体" w:eastAsia="宋体" w:cs="宋体"/>
                <w:sz w:val="22"/>
                <w:szCs w:val="16"/>
              </w:rPr>
            </w:pPr>
            <w:r>
              <w:rPr>
                <w:rFonts w:hint="eastAsia" w:ascii="宋体" w:hAnsi="宋体" w:eastAsia="宋体" w:cs="宋体"/>
                <w:sz w:val="22"/>
                <w:szCs w:val="16"/>
              </w:rPr>
              <w:t>子项</w:t>
            </w:r>
          </w:p>
          <w:p>
            <w:pPr>
              <w:spacing w:line="260" w:lineRule="exact"/>
              <w:jc w:val="center"/>
              <w:rPr>
                <w:rFonts w:hint="eastAsia" w:ascii="宋体" w:hAnsi="宋体" w:eastAsia="宋体" w:cs="宋体"/>
                <w:sz w:val="22"/>
                <w:szCs w:val="16"/>
              </w:rPr>
            </w:pPr>
            <w:r>
              <w:rPr>
                <w:rFonts w:hint="eastAsia" w:ascii="宋体" w:hAnsi="宋体" w:eastAsia="宋体" w:cs="宋体"/>
                <w:sz w:val="22"/>
                <w:szCs w:val="16"/>
              </w:rPr>
              <w:t>名称</w:t>
            </w:r>
          </w:p>
        </w:tc>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2"/>
                <w:szCs w:val="16"/>
              </w:rPr>
            </w:pPr>
          </w:p>
        </w:tc>
        <w:tc>
          <w:tcPr>
            <w:tcW w:w="960" w:type="dxa"/>
            <w:vMerge w:val="continue"/>
            <w:tcBorders>
              <w:top w:val="single" w:color="auto" w:sz="4" w:space="0"/>
              <w:left w:val="single" w:color="auto" w:sz="4" w:space="0"/>
              <w:bottom w:val="single" w:color="auto" w:sz="4" w:space="0"/>
              <w:right w:val="nil"/>
            </w:tcBorders>
            <w:noWrap w:val="0"/>
            <w:vAlign w:val="center"/>
          </w:tcPr>
          <w:p>
            <w:pPr>
              <w:spacing w:line="260" w:lineRule="exact"/>
              <w:jc w:val="center"/>
              <w:rPr>
                <w:rFonts w:hint="eastAsia" w:ascii="宋体" w:hAnsi="宋体" w:eastAsia="宋体" w:cs="宋体"/>
                <w:sz w:val="22"/>
                <w:szCs w:val="16"/>
              </w:rPr>
            </w:pPr>
          </w:p>
        </w:tc>
        <w:tc>
          <w:tcPr>
            <w:tcW w:w="44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2"/>
                <w:szCs w:val="16"/>
              </w:rPr>
            </w:pPr>
            <w:r>
              <w:rPr>
                <w:rFonts w:hint="eastAsia" w:ascii="宋体" w:hAnsi="宋体" w:eastAsia="宋体" w:cs="宋体"/>
                <w:sz w:val="22"/>
                <w:szCs w:val="16"/>
              </w:rPr>
              <w:t>申请量</w:t>
            </w:r>
          </w:p>
        </w:tc>
        <w:tc>
          <w:tcPr>
            <w:tcW w:w="441"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2"/>
                <w:szCs w:val="16"/>
              </w:rPr>
            </w:pPr>
            <w:r>
              <w:rPr>
                <w:rFonts w:hint="eastAsia" w:ascii="宋体" w:hAnsi="宋体" w:eastAsia="宋体" w:cs="宋体"/>
                <w:sz w:val="22"/>
                <w:szCs w:val="16"/>
              </w:rPr>
              <w:t>受理量</w:t>
            </w:r>
          </w:p>
        </w:tc>
        <w:tc>
          <w:tcPr>
            <w:tcW w:w="442"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2"/>
                <w:szCs w:val="16"/>
              </w:rPr>
            </w:pPr>
            <w:r>
              <w:rPr>
                <w:rFonts w:hint="eastAsia" w:ascii="宋体" w:hAnsi="宋体" w:eastAsia="宋体" w:cs="宋体"/>
                <w:sz w:val="22"/>
                <w:szCs w:val="16"/>
              </w:rPr>
              <w:t>不受理量</w:t>
            </w:r>
          </w:p>
        </w:tc>
        <w:tc>
          <w:tcPr>
            <w:tcW w:w="441"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2"/>
                <w:szCs w:val="16"/>
              </w:rPr>
            </w:pPr>
            <w:r>
              <w:rPr>
                <w:rFonts w:hint="eastAsia" w:ascii="宋体" w:hAnsi="宋体" w:eastAsia="宋体" w:cs="宋体"/>
                <w:sz w:val="22"/>
                <w:szCs w:val="16"/>
              </w:rPr>
              <w:t>办结量</w:t>
            </w:r>
          </w:p>
        </w:tc>
        <w:tc>
          <w:tcPr>
            <w:tcW w:w="442"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2"/>
                <w:szCs w:val="16"/>
              </w:rPr>
            </w:pPr>
            <w:r>
              <w:rPr>
                <w:rFonts w:hint="eastAsia" w:ascii="宋体" w:hAnsi="宋体" w:eastAsia="宋体" w:cs="宋体"/>
                <w:sz w:val="22"/>
                <w:szCs w:val="16"/>
              </w:rPr>
              <w:t>审批同意量</w:t>
            </w:r>
          </w:p>
        </w:tc>
        <w:tc>
          <w:tcPr>
            <w:tcW w:w="441"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2"/>
                <w:szCs w:val="16"/>
              </w:rPr>
            </w:pPr>
            <w:r>
              <w:rPr>
                <w:rFonts w:hint="eastAsia" w:ascii="宋体" w:hAnsi="宋体" w:eastAsia="宋体" w:cs="宋体"/>
                <w:sz w:val="22"/>
                <w:szCs w:val="16"/>
              </w:rPr>
              <w:t>审批不同意量</w:t>
            </w:r>
          </w:p>
        </w:tc>
        <w:tc>
          <w:tcPr>
            <w:tcW w:w="442"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2"/>
                <w:szCs w:val="16"/>
              </w:rPr>
            </w:pPr>
            <w:r>
              <w:rPr>
                <w:rFonts w:hint="eastAsia" w:ascii="宋体" w:hAnsi="宋体" w:eastAsia="宋体" w:cs="宋体"/>
                <w:sz w:val="22"/>
                <w:szCs w:val="16"/>
              </w:rPr>
              <w:t>网上受理量</w:t>
            </w:r>
          </w:p>
        </w:tc>
        <w:tc>
          <w:tcPr>
            <w:tcW w:w="645"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2"/>
                <w:szCs w:val="16"/>
              </w:rPr>
            </w:pPr>
            <w:r>
              <w:rPr>
                <w:rFonts w:hint="eastAsia" w:ascii="宋体" w:hAnsi="宋体" w:eastAsia="宋体" w:cs="宋体"/>
                <w:sz w:val="22"/>
                <w:szCs w:val="16"/>
              </w:rPr>
              <w:t>网上全流程办结量</w:t>
            </w:r>
          </w:p>
        </w:tc>
        <w:tc>
          <w:tcPr>
            <w:tcW w:w="731"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2"/>
                <w:szCs w:val="16"/>
              </w:rPr>
            </w:pPr>
            <w:r>
              <w:rPr>
                <w:rFonts w:hint="eastAsia" w:ascii="宋体" w:hAnsi="宋体" w:eastAsia="宋体" w:cs="宋体"/>
                <w:sz w:val="22"/>
                <w:szCs w:val="16"/>
              </w:rPr>
              <w:t>法定办结期限</w:t>
            </w:r>
          </w:p>
        </w:tc>
        <w:tc>
          <w:tcPr>
            <w:tcW w:w="553"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2"/>
                <w:szCs w:val="16"/>
              </w:rPr>
            </w:pPr>
            <w:r>
              <w:rPr>
                <w:rFonts w:hint="eastAsia" w:ascii="宋体" w:hAnsi="宋体" w:eastAsia="宋体" w:cs="宋体"/>
                <w:sz w:val="22"/>
                <w:szCs w:val="16"/>
              </w:rPr>
              <w:t>承诺办结期限</w:t>
            </w:r>
          </w:p>
        </w:tc>
        <w:tc>
          <w:tcPr>
            <w:tcW w:w="691"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2"/>
                <w:szCs w:val="16"/>
              </w:rPr>
            </w:pPr>
            <w:r>
              <w:rPr>
                <w:rFonts w:hint="eastAsia" w:ascii="宋体" w:hAnsi="宋体" w:eastAsia="宋体" w:cs="宋体"/>
                <w:sz w:val="22"/>
                <w:szCs w:val="16"/>
              </w:rPr>
              <w:t>实际平均办结时间</w:t>
            </w:r>
          </w:p>
        </w:tc>
        <w:tc>
          <w:tcPr>
            <w:tcW w:w="691"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2"/>
                <w:szCs w:val="16"/>
              </w:rPr>
            </w:pPr>
            <w:r>
              <w:rPr>
                <w:rFonts w:hint="eastAsia" w:ascii="宋体" w:hAnsi="宋体" w:eastAsia="宋体" w:cs="宋体"/>
                <w:sz w:val="22"/>
                <w:szCs w:val="16"/>
              </w:rPr>
              <w:t>是否向社会公开审批结果</w:t>
            </w:r>
          </w:p>
        </w:tc>
        <w:tc>
          <w:tcPr>
            <w:tcW w:w="707"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2"/>
                <w:szCs w:val="16"/>
              </w:rPr>
            </w:pPr>
            <w:r>
              <w:rPr>
                <w:rFonts w:hint="eastAsia" w:ascii="宋体" w:hAnsi="宋体" w:eastAsia="宋体" w:cs="宋体"/>
                <w:sz w:val="22"/>
                <w:szCs w:val="16"/>
              </w:rPr>
              <w:t>是否公开办事指南和业务手册</w:t>
            </w:r>
          </w:p>
        </w:tc>
        <w:tc>
          <w:tcPr>
            <w:tcW w:w="815"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2"/>
                <w:szCs w:val="16"/>
              </w:rPr>
            </w:pPr>
            <w:r>
              <w:rPr>
                <w:rFonts w:hint="eastAsia" w:ascii="宋体" w:hAnsi="宋体" w:eastAsia="宋体" w:cs="宋体"/>
                <w:sz w:val="22"/>
                <w:szCs w:val="16"/>
              </w:rPr>
              <w:t>是否制定监管标准或制度</w:t>
            </w:r>
          </w:p>
        </w:tc>
        <w:tc>
          <w:tcPr>
            <w:tcW w:w="830"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2"/>
                <w:szCs w:val="16"/>
              </w:rPr>
            </w:pPr>
            <w:r>
              <w:rPr>
                <w:rFonts w:hint="eastAsia" w:ascii="宋体" w:hAnsi="宋体" w:eastAsia="宋体" w:cs="宋体"/>
                <w:sz w:val="22"/>
                <w:szCs w:val="16"/>
              </w:rPr>
              <w:t>开展抽查监管人次</w:t>
            </w:r>
          </w:p>
        </w:tc>
        <w:tc>
          <w:tcPr>
            <w:tcW w:w="829"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2"/>
                <w:szCs w:val="16"/>
              </w:rPr>
            </w:pPr>
            <w:r>
              <w:rPr>
                <w:rFonts w:hint="eastAsia" w:ascii="宋体" w:hAnsi="宋体" w:eastAsia="宋体" w:cs="宋体"/>
                <w:sz w:val="22"/>
                <w:szCs w:val="16"/>
              </w:rPr>
              <w:t>抽查发现违法违规行为件数</w:t>
            </w:r>
          </w:p>
        </w:tc>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2"/>
                <w:szCs w:val="16"/>
              </w:rPr>
            </w:pPr>
            <w:r>
              <w:rPr>
                <w:rFonts w:hint="eastAsia" w:ascii="宋体" w:hAnsi="宋体" w:eastAsia="宋体" w:cs="宋体"/>
                <w:sz w:val="22"/>
                <w:szCs w:val="16"/>
              </w:rPr>
              <w:t>查处违法违规行为件数</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2"/>
                <w:szCs w:val="16"/>
              </w:rPr>
            </w:pPr>
            <w:r>
              <w:rPr>
                <w:rFonts w:hint="eastAsia" w:ascii="宋体" w:hAnsi="宋体" w:eastAsia="宋体" w:cs="宋体"/>
                <w:sz w:val="22"/>
                <w:szCs w:val="16"/>
              </w:rPr>
              <w:t>收到行政相对人有效投诉举报数</w:t>
            </w:r>
          </w:p>
        </w:tc>
      </w:tr>
      <w:tr>
        <w:tblPrEx>
          <w:tblLayout w:type="fixed"/>
          <w:tblCellMar>
            <w:top w:w="0" w:type="dxa"/>
            <w:left w:w="108" w:type="dxa"/>
            <w:bottom w:w="0" w:type="dxa"/>
            <w:right w:w="108" w:type="dxa"/>
          </w:tblCellMar>
        </w:tblPrEx>
        <w:trPr>
          <w:trHeight w:val="511" w:hRule="atLeast"/>
        </w:trPr>
        <w:tc>
          <w:tcPr>
            <w:tcW w:w="974" w:type="dxa"/>
            <w:tcBorders>
              <w:top w:val="nil"/>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cs="Times New Roman"/>
                <w:szCs w:val="21"/>
              </w:rPr>
            </w:pPr>
            <w:r>
              <w:rPr>
                <w:rFonts w:ascii="Times New Roman" w:hAnsi="Times New Roman" w:eastAsia="宋体" w:cs="Times New Roman"/>
                <w:szCs w:val="21"/>
              </w:rPr>
              <w:t>1</w:t>
            </w:r>
          </w:p>
        </w:tc>
        <w:tc>
          <w:tcPr>
            <w:tcW w:w="766"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4"/>
                <w:szCs w:val="18"/>
              </w:rPr>
            </w:pPr>
            <w:r>
              <w:rPr>
                <w:rFonts w:hint="eastAsia" w:ascii="宋体" w:hAnsi="宋体" w:eastAsia="宋体" w:cs="宋体"/>
                <w:sz w:val="24"/>
                <w:szCs w:val="18"/>
              </w:rPr>
              <w:t>对外劳务合作经营资格核准</w:t>
            </w:r>
          </w:p>
        </w:tc>
        <w:tc>
          <w:tcPr>
            <w:tcW w:w="810"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4"/>
                <w:szCs w:val="18"/>
              </w:rPr>
            </w:pPr>
          </w:p>
        </w:tc>
        <w:tc>
          <w:tcPr>
            <w:tcW w:w="1035"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4"/>
                <w:szCs w:val="18"/>
              </w:rPr>
            </w:pPr>
            <w:r>
              <w:rPr>
                <w:rFonts w:hint="eastAsia" w:ascii="宋体" w:hAnsi="宋体" w:eastAsia="宋体" w:cs="宋体"/>
                <w:sz w:val="21"/>
                <w:szCs w:val="15"/>
              </w:rPr>
              <w:t>√</w:t>
            </w:r>
          </w:p>
        </w:tc>
        <w:tc>
          <w:tcPr>
            <w:tcW w:w="960"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4"/>
                <w:szCs w:val="18"/>
              </w:rPr>
            </w:pPr>
            <w:r>
              <w:rPr>
                <w:rFonts w:hint="eastAsia" w:ascii="宋体" w:hAnsi="宋体" w:eastAsia="宋体" w:cs="宋体"/>
                <w:sz w:val="21"/>
                <w:szCs w:val="15"/>
              </w:rPr>
              <w:t>√</w:t>
            </w:r>
          </w:p>
        </w:tc>
        <w:tc>
          <w:tcPr>
            <w:tcW w:w="441"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4"/>
                <w:szCs w:val="18"/>
                <w:lang w:val="en-US" w:eastAsia="zh-CN"/>
              </w:rPr>
            </w:pPr>
            <w:r>
              <w:rPr>
                <w:rFonts w:hint="eastAsia" w:ascii="宋体" w:hAnsi="宋体" w:eastAsia="宋体" w:cs="宋体"/>
                <w:sz w:val="24"/>
                <w:szCs w:val="18"/>
                <w:lang w:val="en-US" w:eastAsia="zh-CN"/>
              </w:rPr>
              <w:t>0</w:t>
            </w:r>
          </w:p>
        </w:tc>
        <w:tc>
          <w:tcPr>
            <w:tcW w:w="441"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4"/>
                <w:szCs w:val="18"/>
                <w:lang w:val="en-US" w:eastAsia="zh-CN"/>
              </w:rPr>
            </w:pPr>
            <w:r>
              <w:rPr>
                <w:rFonts w:hint="eastAsia" w:ascii="宋体" w:hAnsi="宋体" w:eastAsia="宋体" w:cs="宋体"/>
                <w:sz w:val="24"/>
                <w:szCs w:val="18"/>
                <w:lang w:val="en-US" w:eastAsia="zh-CN"/>
              </w:rPr>
              <w:t>0</w:t>
            </w:r>
          </w:p>
        </w:tc>
        <w:tc>
          <w:tcPr>
            <w:tcW w:w="442"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4"/>
                <w:szCs w:val="18"/>
                <w:lang w:val="en-US" w:eastAsia="zh-CN"/>
              </w:rPr>
            </w:pPr>
            <w:r>
              <w:rPr>
                <w:rFonts w:hint="eastAsia" w:ascii="宋体" w:hAnsi="宋体" w:eastAsia="宋体" w:cs="宋体"/>
                <w:sz w:val="24"/>
                <w:szCs w:val="18"/>
                <w:lang w:val="en-US" w:eastAsia="zh-CN"/>
              </w:rPr>
              <w:t>0</w:t>
            </w:r>
          </w:p>
        </w:tc>
        <w:tc>
          <w:tcPr>
            <w:tcW w:w="441"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4"/>
                <w:szCs w:val="18"/>
                <w:lang w:val="en-US" w:eastAsia="zh-CN"/>
              </w:rPr>
            </w:pPr>
            <w:r>
              <w:rPr>
                <w:rFonts w:hint="eastAsia" w:ascii="宋体" w:hAnsi="宋体" w:eastAsia="宋体" w:cs="宋体"/>
                <w:sz w:val="24"/>
                <w:szCs w:val="18"/>
                <w:lang w:val="en-US" w:eastAsia="zh-CN"/>
              </w:rPr>
              <w:t>0</w:t>
            </w:r>
          </w:p>
        </w:tc>
        <w:tc>
          <w:tcPr>
            <w:tcW w:w="442"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4"/>
                <w:szCs w:val="18"/>
                <w:lang w:val="en-US" w:eastAsia="zh-CN"/>
              </w:rPr>
            </w:pPr>
            <w:r>
              <w:rPr>
                <w:rFonts w:hint="eastAsia" w:ascii="宋体" w:hAnsi="宋体" w:eastAsia="宋体" w:cs="宋体"/>
                <w:sz w:val="24"/>
                <w:szCs w:val="18"/>
                <w:lang w:val="en-US" w:eastAsia="zh-CN"/>
              </w:rPr>
              <w:t>0</w:t>
            </w:r>
          </w:p>
        </w:tc>
        <w:tc>
          <w:tcPr>
            <w:tcW w:w="441"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4"/>
                <w:szCs w:val="18"/>
                <w:lang w:val="en-US" w:eastAsia="zh-CN"/>
              </w:rPr>
            </w:pPr>
            <w:r>
              <w:rPr>
                <w:rFonts w:hint="eastAsia" w:ascii="宋体" w:hAnsi="宋体" w:eastAsia="宋体" w:cs="宋体"/>
                <w:sz w:val="24"/>
                <w:szCs w:val="18"/>
                <w:lang w:val="en-US" w:eastAsia="zh-CN"/>
              </w:rPr>
              <w:t>0</w:t>
            </w:r>
          </w:p>
        </w:tc>
        <w:tc>
          <w:tcPr>
            <w:tcW w:w="442"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4"/>
                <w:szCs w:val="18"/>
                <w:lang w:val="en-US" w:eastAsia="zh-CN"/>
              </w:rPr>
            </w:pPr>
            <w:r>
              <w:rPr>
                <w:rFonts w:hint="eastAsia" w:ascii="宋体" w:hAnsi="宋体" w:eastAsia="宋体" w:cs="宋体"/>
                <w:sz w:val="24"/>
                <w:szCs w:val="18"/>
                <w:lang w:val="en-US" w:eastAsia="zh-CN"/>
              </w:rPr>
              <w:t>0</w:t>
            </w:r>
          </w:p>
        </w:tc>
        <w:tc>
          <w:tcPr>
            <w:tcW w:w="645"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4"/>
                <w:szCs w:val="18"/>
                <w:lang w:val="en-US" w:eastAsia="zh-CN"/>
              </w:rPr>
            </w:pPr>
            <w:r>
              <w:rPr>
                <w:rFonts w:hint="eastAsia" w:ascii="宋体" w:hAnsi="宋体" w:eastAsia="宋体" w:cs="宋体"/>
                <w:sz w:val="24"/>
                <w:szCs w:val="18"/>
                <w:lang w:val="en-US" w:eastAsia="zh-CN"/>
              </w:rPr>
              <w:t>0</w:t>
            </w:r>
          </w:p>
        </w:tc>
        <w:tc>
          <w:tcPr>
            <w:tcW w:w="731"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4"/>
                <w:szCs w:val="18"/>
                <w:lang w:val="en-US" w:eastAsia="zh-CN"/>
              </w:rPr>
            </w:pPr>
            <w:r>
              <w:rPr>
                <w:rFonts w:hint="eastAsia" w:ascii="宋体" w:hAnsi="宋体" w:eastAsia="宋体" w:cs="宋体"/>
                <w:sz w:val="24"/>
                <w:szCs w:val="18"/>
                <w:lang w:val="en-US" w:eastAsia="zh-CN"/>
              </w:rPr>
              <w:t>20个工作日</w:t>
            </w:r>
          </w:p>
        </w:tc>
        <w:tc>
          <w:tcPr>
            <w:tcW w:w="553"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4"/>
                <w:szCs w:val="18"/>
                <w:lang w:val="en-US" w:eastAsia="zh-CN"/>
              </w:rPr>
            </w:pPr>
            <w:r>
              <w:rPr>
                <w:rFonts w:hint="eastAsia" w:ascii="宋体" w:hAnsi="宋体" w:eastAsia="宋体" w:cs="宋体"/>
                <w:sz w:val="24"/>
                <w:szCs w:val="18"/>
                <w:lang w:val="en-US" w:eastAsia="zh-CN"/>
              </w:rPr>
              <w:t>1个工作日</w:t>
            </w:r>
          </w:p>
        </w:tc>
        <w:tc>
          <w:tcPr>
            <w:tcW w:w="691"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4"/>
                <w:szCs w:val="18"/>
                <w:lang w:val="en-US" w:eastAsia="zh-CN"/>
              </w:rPr>
            </w:pPr>
            <w:r>
              <w:rPr>
                <w:rFonts w:hint="eastAsia" w:ascii="宋体" w:hAnsi="宋体" w:eastAsia="宋体" w:cs="宋体"/>
                <w:sz w:val="24"/>
                <w:szCs w:val="18"/>
                <w:lang w:val="en-US" w:eastAsia="zh-CN"/>
              </w:rPr>
              <w:t>/</w:t>
            </w:r>
          </w:p>
        </w:tc>
        <w:tc>
          <w:tcPr>
            <w:tcW w:w="691"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4"/>
                <w:szCs w:val="18"/>
              </w:rPr>
            </w:pPr>
            <w:r>
              <w:rPr>
                <w:rFonts w:hint="eastAsia" w:ascii="宋体" w:hAnsi="宋体" w:eastAsia="宋体" w:cs="宋体"/>
                <w:sz w:val="21"/>
                <w:szCs w:val="15"/>
              </w:rPr>
              <w:t>√</w:t>
            </w:r>
          </w:p>
        </w:tc>
        <w:tc>
          <w:tcPr>
            <w:tcW w:w="707"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4"/>
                <w:szCs w:val="18"/>
              </w:rPr>
            </w:pPr>
            <w:r>
              <w:rPr>
                <w:rFonts w:hint="eastAsia" w:ascii="宋体" w:hAnsi="宋体" w:eastAsia="宋体" w:cs="宋体"/>
                <w:sz w:val="21"/>
                <w:szCs w:val="15"/>
              </w:rPr>
              <w:t>√</w:t>
            </w:r>
          </w:p>
        </w:tc>
        <w:tc>
          <w:tcPr>
            <w:tcW w:w="815"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4"/>
                <w:szCs w:val="18"/>
                <w:lang w:val="en-US" w:eastAsia="zh-CN"/>
              </w:rPr>
            </w:pPr>
            <w:r>
              <w:rPr>
                <w:rFonts w:hint="eastAsia" w:ascii="宋体" w:hAnsi="宋体" w:eastAsia="宋体" w:cs="宋体"/>
                <w:sz w:val="24"/>
                <w:szCs w:val="18"/>
              </w:rPr>
              <w:t>×</w:t>
            </w:r>
          </w:p>
        </w:tc>
        <w:tc>
          <w:tcPr>
            <w:tcW w:w="830"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4"/>
                <w:szCs w:val="18"/>
                <w:lang w:val="en-US" w:eastAsia="zh-CN"/>
              </w:rPr>
            </w:pPr>
            <w:r>
              <w:rPr>
                <w:rFonts w:hint="eastAsia" w:ascii="宋体" w:hAnsi="宋体" w:eastAsia="宋体" w:cs="宋体"/>
                <w:sz w:val="24"/>
                <w:szCs w:val="18"/>
                <w:lang w:val="en-US" w:eastAsia="zh-CN"/>
              </w:rPr>
              <w:t>/</w:t>
            </w:r>
          </w:p>
        </w:tc>
        <w:tc>
          <w:tcPr>
            <w:tcW w:w="829"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4"/>
                <w:szCs w:val="18"/>
                <w:lang w:val="en-US" w:eastAsia="zh-CN"/>
              </w:rPr>
            </w:pPr>
            <w:r>
              <w:rPr>
                <w:rFonts w:hint="eastAsia" w:ascii="宋体" w:hAnsi="宋体" w:eastAsia="宋体" w:cs="宋体"/>
                <w:sz w:val="24"/>
                <w:szCs w:val="18"/>
                <w:lang w:val="en-US" w:eastAsia="zh-CN"/>
              </w:rPr>
              <w:t>0</w:t>
            </w:r>
          </w:p>
        </w:tc>
        <w:tc>
          <w:tcPr>
            <w:tcW w:w="830" w:type="dxa"/>
            <w:tcBorders>
              <w:top w:val="nil"/>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4"/>
                <w:szCs w:val="18"/>
                <w:lang w:val="en-US" w:eastAsia="zh-CN"/>
              </w:rPr>
            </w:pPr>
            <w:r>
              <w:rPr>
                <w:rFonts w:hint="eastAsia" w:ascii="宋体" w:hAnsi="宋体" w:eastAsia="宋体" w:cs="宋体"/>
                <w:sz w:val="24"/>
                <w:szCs w:val="18"/>
                <w:lang w:val="en-US" w:eastAsia="zh-CN"/>
              </w:rPr>
              <w:t>0</w:t>
            </w:r>
          </w:p>
        </w:tc>
        <w:tc>
          <w:tcPr>
            <w:tcW w:w="924" w:type="dxa"/>
            <w:tcBorders>
              <w:top w:val="nil"/>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4"/>
                <w:szCs w:val="18"/>
                <w:lang w:val="en-US" w:eastAsia="zh-CN"/>
              </w:rPr>
            </w:pPr>
            <w:r>
              <w:rPr>
                <w:rFonts w:hint="eastAsia" w:ascii="宋体" w:hAnsi="宋体" w:eastAsia="宋体" w:cs="宋体"/>
                <w:sz w:val="24"/>
                <w:szCs w:val="18"/>
                <w:lang w:val="en-US" w:eastAsia="zh-CN"/>
              </w:rPr>
              <w:t>0</w:t>
            </w:r>
          </w:p>
        </w:tc>
      </w:tr>
      <w:tr>
        <w:tblPrEx>
          <w:tblLayout w:type="fixed"/>
          <w:tblCellMar>
            <w:top w:w="0" w:type="dxa"/>
            <w:left w:w="108" w:type="dxa"/>
            <w:bottom w:w="0" w:type="dxa"/>
            <w:right w:w="108" w:type="dxa"/>
          </w:tblCellMar>
        </w:tblPrEx>
        <w:trPr>
          <w:trHeight w:val="914" w:hRule="atLeast"/>
        </w:trPr>
        <w:tc>
          <w:tcPr>
            <w:tcW w:w="974" w:type="dxa"/>
            <w:tcBorders>
              <w:top w:val="nil"/>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cs="Times New Roman"/>
                <w:szCs w:val="21"/>
              </w:rPr>
            </w:pPr>
            <w:r>
              <w:rPr>
                <w:rFonts w:ascii="Times New Roman" w:hAnsi="宋体" w:eastAsia="宋体" w:cs="Times New Roman"/>
                <w:sz w:val="28"/>
                <w:szCs w:val="20"/>
              </w:rPr>
              <w:t>合计</w:t>
            </w:r>
          </w:p>
        </w:tc>
        <w:tc>
          <w:tcPr>
            <w:tcW w:w="766" w:type="dxa"/>
            <w:tcBorders>
              <w:top w:val="nil"/>
              <w:left w:val="nil"/>
              <w:bottom w:val="single" w:color="auto" w:sz="4" w:space="0"/>
              <w:right w:val="single" w:color="auto" w:sz="4" w:space="0"/>
            </w:tcBorders>
            <w:noWrap w:val="0"/>
            <w:vAlign w:val="center"/>
          </w:tcPr>
          <w:p>
            <w:pPr>
              <w:spacing w:line="260" w:lineRule="exact"/>
              <w:jc w:val="center"/>
              <w:rPr>
                <w:rFonts w:ascii="Times New Roman" w:hAnsi="Times New Roman" w:eastAsia="宋体" w:cs="Times New Roman"/>
                <w:szCs w:val="21"/>
              </w:rPr>
            </w:pPr>
          </w:p>
        </w:tc>
        <w:tc>
          <w:tcPr>
            <w:tcW w:w="810" w:type="dxa"/>
            <w:tcBorders>
              <w:top w:val="nil"/>
              <w:left w:val="nil"/>
              <w:bottom w:val="single" w:color="auto" w:sz="4" w:space="0"/>
              <w:right w:val="single" w:color="auto" w:sz="4" w:space="0"/>
            </w:tcBorders>
            <w:noWrap w:val="0"/>
            <w:vAlign w:val="center"/>
          </w:tcPr>
          <w:p>
            <w:pPr>
              <w:spacing w:line="260" w:lineRule="exact"/>
              <w:jc w:val="center"/>
              <w:rPr>
                <w:rFonts w:ascii="Times New Roman" w:hAnsi="Times New Roman" w:eastAsia="宋体" w:cs="Times New Roman"/>
                <w:szCs w:val="21"/>
              </w:rPr>
            </w:pPr>
          </w:p>
        </w:tc>
        <w:tc>
          <w:tcPr>
            <w:tcW w:w="1035" w:type="dxa"/>
            <w:tcBorders>
              <w:top w:val="nil"/>
              <w:left w:val="nil"/>
              <w:bottom w:val="single" w:color="auto" w:sz="4" w:space="0"/>
              <w:right w:val="single" w:color="auto" w:sz="4" w:space="0"/>
            </w:tcBorders>
            <w:noWrap w:val="0"/>
            <w:vAlign w:val="center"/>
          </w:tcPr>
          <w:p>
            <w:pPr>
              <w:spacing w:line="260" w:lineRule="exact"/>
              <w:jc w:val="center"/>
              <w:rPr>
                <w:rFonts w:ascii="Times New Roman" w:hAnsi="Times New Roman" w:eastAsia="宋体" w:cs="Times New Roman"/>
                <w:szCs w:val="21"/>
              </w:rPr>
            </w:pPr>
          </w:p>
        </w:tc>
        <w:tc>
          <w:tcPr>
            <w:tcW w:w="960" w:type="dxa"/>
            <w:tcBorders>
              <w:top w:val="nil"/>
              <w:left w:val="nil"/>
              <w:bottom w:val="single" w:color="auto" w:sz="4" w:space="0"/>
              <w:right w:val="single" w:color="auto" w:sz="4" w:space="0"/>
            </w:tcBorders>
            <w:noWrap w:val="0"/>
            <w:vAlign w:val="center"/>
          </w:tcPr>
          <w:p>
            <w:pPr>
              <w:spacing w:line="260" w:lineRule="exact"/>
              <w:jc w:val="center"/>
              <w:rPr>
                <w:rFonts w:ascii="Times New Roman" w:hAnsi="Times New Roman" w:eastAsia="宋体" w:cs="Times New Roman"/>
                <w:szCs w:val="21"/>
              </w:rPr>
            </w:pPr>
          </w:p>
        </w:tc>
        <w:tc>
          <w:tcPr>
            <w:tcW w:w="441" w:type="dxa"/>
            <w:tcBorders>
              <w:top w:val="nil"/>
              <w:left w:val="nil"/>
              <w:bottom w:val="single" w:color="auto" w:sz="4" w:space="0"/>
              <w:right w:val="single" w:color="auto" w:sz="4" w:space="0"/>
            </w:tcBorders>
            <w:noWrap w:val="0"/>
            <w:vAlign w:val="center"/>
          </w:tcPr>
          <w:p>
            <w:pPr>
              <w:spacing w:line="260" w:lineRule="exact"/>
              <w:jc w:val="center"/>
              <w:rPr>
                <w:rFonts w:ascii="Times New Roman" w:hAnsi="Times New Roman" w:eastAsia="宋体" w:cs="Times New Roman"/>
                <w:szCs w:val="21"/>
              </w:rPr>
            </w:pPr>
          </w:p>
        </w:tc>
        <w:tc>
          <w:tcPr>
            <w:tcW w:w="441" w:type="dxa"/>
            <w:tcBorders>
              <w:top w:val="nil"/>
              <w:left w:val="nil"/>
              <w:bottom w:val="single" w:color="auto" w:sz="4" w:space="0"/>
              <w:right w:val="single" w:color="auto" w:sz="4" w:space="0"/>
            </w:tcBorders>
            <w:noWrap w:val="0"/>
            <w:vAlign w:val="center"/>
          </w:tcPr>
          <w:p>
            <w:pPr>
              <w:spacing w:line="260" w:lineRule="exact"/>
              <w:jc w:val="center"/>
              <w:rPr>
                <w:rFonts w:ascii="Times New Roman" w:hAnsi="Times New Roman" w:eastAsia="宋体" w:cs="Times New Roman"/>
                <w:szCs w:val="21"/>
              </w:rPr>
            </w:pPr>
          </w:p>
        </w:tc>
        <w:tc>
          <w:tcPr>
            <w:tcW w:w="442" w:type="dxa"/>
            <w:tcBorders>
              <w:top w:val="nil"/>
              <w:left w:val="nil"/>
              <w:bottom w:val="single" w:color="auto" w:sz="4" w:space="0"/>
              <w:right w:val="single" w:color="auto" w:sz="4" w:space="0"/>
            </w:tcBorders>
            <w:noWrap w:val="0"/>
            <w:vAlign w:val="center"/>
          </w:tcPr>
          <w:p>
            <w:pPr>
              <w:spacing w:line="260" w:lineRule="exact"/>
              <w:jc w:val="center"/>
              <w:rPr>
                <w:rFonts w:ascii="Times New Roman" w:hAnsi="Times New Roman" w:eastAsia="宋体" w:cs="Times New Roman"/>
                <w:szCs w:val="21"/>
              </w:rPr>
            </w:pPr>
          </w:p>
        </w:tc>
        <w:tc>
          <w:tcPr>
            <w:tcW w:w="441" w:type="dxa"/>
            <w:tcBorders>
              <w:top w:val="nil"/>
              <w:left w:val="nil"/>
              <w:bottom w:val="single" w:color="auto" w:sz="4" w:space="0"/>
              <w:right w:val="single" w:color="auto" w:sz="4" w:space="0"/>
            </w:tcBorders>
            <w:noWrap w:val="0"/>
            <w:vAlign w:val="center"/>
          </w:tcPr>
          <w:p>
            <w:pPr>
              <w:spacing w:line="260" w:lineRule="exact"/>
              <w:jc w:val="center"/>
              <w:rPr>
                <w:rFonts w:ascii="Times New Roman" w:hAnsi="Times New Roman" w:eastAsia="宋体" w:cs="Times New Roman"/>
                <w:szCs w:val="21"/>
              </w:rPr>
            </w:pPr>
          </w:p>
        </w:tc>
        <w:tc>
          <w:tcPr>
            <w:tcW w:w="442" w:type="dxa"/>
            <w:tcBorders>
              <w:top w:val="nil"/>
              <w:left w:val="nil"/>
              <w:bottom w:val="single" w:color="auto" w:sz="4" w:space="0"/>
              <w:right w:val="single" w:color="auto" w:sz="4" w:space="0"/>
            </w:tcBorders>
            <w:noWrap w:val="0"/>
            <w:vAlign w:val="center"/>
          </w:tcPr>
          <w:p>
            <w:pPr>
              <w:spacing w:line="260" w:lineRule="exact"/>
              <w:jc w:val="center"/>
              <w:rPr>
                <w:rFonts w:ascii="Times New Roman" w:hAnsi="Times New Roman" w:eastAsia="宋体" w:cs="Times New Roman"/>
                <w:szCs w:val="21"/>
              </w:rPr>
            </w:pPr>
          </w:p>
        </w:tc>
        <w:tc>
          <w:tcPr>
            <w:tcW w:w="441" w:type="dxa"/>
            <w:tcBorders>
              <w:top w:val="nil"/>
              <w:left w:val="nil"/>
              <w:bottom w:val="single" w:color="auto" w:sz="4" w:space="0"/>
              <w:right w:val="single" w:color="auto" w:sz="4" w:space="0"/>
            </w:tcBorders>
            <w:noWrap w:val="0"/>
            <w:vAlign w:val="center"/>
          </w:tcPr>
          <w:p>
            <w:pPr>
              <w:spacing w:line="260" w:lineRule="exact"/>
              <w:jc w:val="center"/>
              <w:rPr>
                <w:rFonts w:ascii="Times New Roman" w:hAnsi="Times New Roman" w:eastAsia="宋体" w:cs="Times New Roman"/>
                <w:szCs w:val="21"/>
              </w:rPr>
            </w:pPr>
          </w:p>
        </w:tc>
        <w:tc>
          <w:tcPr>
            <w:tcW w:w="442" w:type="dxa"/>
            <w:tcBorders>
              <w:top w:val="nil"/>
              <w:left w:val="nil"/>
              <w:bottom w:val="single" w:color="auto" w:sz="4" w:space="0"/>
              <w:right w:val="single" w:color="auto" w:sz="4" w:space="0"/>
            </w:tcBorders>
            <w:noWrap w:val="0"/>
            <w:vAlign w:val="center"/>
          </w:tcPr>
          <w:p>
            <w:pPr>
              <w:spacing w:line="260" w:lineRule="exact"/>
              <w:jc w:val="center"/>
              <w:rPr>
                <w:rFonts w:ascii="Times New Roman" w:hAnsi="Times New Roman" w:eastAsia="宋体" w:cs="Times New Roman"/>
                <w:szCs w:val="21"/>
              </w:rPr>
            </w:pPr>
          </w:p>
        </w:tc>
        <w:tc>
          <w:tcPr>
            <w:tcW w:w="645" w:type="dxa"/>
            <w:tcBorders>
              <w:top w:val="nil"/>
              <w:left w:val="nil"/>
              <w:bottom w:val="single" w:color="auto" w:sz="4" w:space="0"/>
              <w:right w:val="single" w:color="auto" w:sz="4" w:space="0"/>
            </w:tcBorders>
            <w:noWrap w:val="0"/>
            <w:vAlign w:val="center"/>
          </w:tcPr>
          <w:p>
            <w:pPr>
              <w:spacing w:line="260" w:lineRule="exact"/>
              <w:jc w:val="center"/>
              <w:rPr>
                <w:rFonts w:ascii="Times New Roman" w:hAnsi="Times New Roman" w:eastAsia="宋体" w:cs="Times New Roman"/>
                <w:szCs w:val="21"/>
              </w:rPr>
            </w:pPr>
          </w:p>
        </w:tc>
        <w:tc>
          <w:tcPr>
            <w:tcW w:w="731" w:type="dxa"/>
            <w:tcBorders>
              <w:top w:val="nil"/>
              <w:left w:val="nil"/>
              <w:bottom w:val="single" w:color="auto" w:sz="4" w:space="0"/>
              <w:right w:val="single" w:color="auto" w:sz="4" w:space="0"/>
            </w:tcBorders>
            <w:noWrap w:val="0"/>
            <w:vAlign w:val="center"/>
          </w:tcPr>
          <w:p>
            <w:pPr>
              <w:spacing w:line="260" w:lineRule="exact"/>
              <w:jc w:val="center"/>
              <w:rPr>
                <w:rFonts w:ascii="Times New Roman" w:hAnsi="Times New Roman" w:eastAsia="宋体" w:cs="Times New Roman"/>
                <w:szCs w:val="21"/>
              </w:rPr>
            </w:pPr>
          </w:p>
        </w:tc>
        <w:tc>
          <w:tcPr>
            <w:tcW w:w="553" w:type="dxa"/>
            <w:tcBorders>
              <w:top w:val="nil"/>
              <w:left w:val="nil"/>
              <w:bottom w:val="single" w:color="auto" w:sz="4" w:space="0"/>
              <w:right w:val="single" w:color="auto" w:sz="4" w:space="0"/>
            </w:tcBorders>
            <w:noWrap w:val="0"/>
            <w:vAlign w:val="center"/>
          </w:tcPr>
          <w:p>
            <w:pPr>
              <w:spacing w:line="260" w:lineRule="exact"/>
              <w:jc w:val="center"/>
              <w:rPr>
                <w:rFonts w:ascii="Times New Roman" w:hAnsi="Times New Roman" w:eastAsia="宋体" w:cs="Times New Roman"/>
                <w:szCs w:val="21"/>
              </w:rPr>
            </w:pPr>
          </w:p>
        </w:tc>
        <w:tc>
          <w:tcPr>
            <w:tcW w:w="691" w:type="dxa"/>
            <w:tcBorders>
              <w:top w:val="nil"/>
              <w:left w:val="nil"/>
              <w:bottom w:val="single" w:color="auto" w:sz="4" w:space="0"/>
              <w:right w:val="single" w:color="auto" w:sz="4" w:space="0"/>
            </w:tcBorders>
            <w:noWrap w:val="0"/>
            <w:vAlign w:val="center"/>
          </w:tcPr>
          <w:p>
            <w:pPr>
              <w:spacing w:line="260" w:lineRule="exact"/>
              <w:jc w:val="center"/>
              <w:rPr>
                <w:rFonts w:ascii="Times New Roman" w:hAnsi="Times New Roman" w:eastAsia="宋体" w:cs="Times New Roman"/>
                <w:szCs w:val="21"/>
              </w:rPr>
            </w:pPr>
          </w:p>
        </w:tc>
        <w:tc>
          <w:tcPr>
            <w:tcW w:w="691" w:type="dxa"/>
            <w:tcBorders>
              <w:top w:val="nil"/>
              <w:left w:val="nil"/>
              <w:bottom w:val="single" w:color="auto" w:sz="4" w:space="0"/>
              <w:right w:val="single" w:color="auto" w:sz="4" w:space="0"/>
            </w:tcBorders>
            <w:noWrap w:val="0"/>
            <w:vAlign w:val="center"/>
          </w:tcPr>
          <w:p>
            <w:pPr>
              <w:spacing w:line="260" w:lineRule="exact"/>
              <w:jc w:val="center"/>
              <w:rPr>
                <w:rFonts w:ascii="Times New Roman" w:hAnsi="Times New Roman" w:eastAsia="宋体" w:cs="Times New Roman"/>
                <w:szCs w:val="21"/>
              </w:rPr>
            </w:pPr>
          </w:p>
        </w:tc>
        <w:tc>
          <w:tcPr>
            <w:tcW w:w="707" w:type="dxa"/>
            <w:tcBorders>
              <w:top w:val="nil"/>
              <w:left w:val="nil"/>
              <w:bottom w:val="single" w:color="auto" w:sz="4" w:space="0"/>
              <w:right w:val="single" w:color="auto" w:sz="4" w:space="0"/>
            </w:tcBorders>
            <w:noWrap w:val="0"/>
            <w:vAlign w:val="center"/>
          </w:tcPr>
          <w:p>
            <w:pPr>
              <w:spacing w:line="260" w:lineRule="exact"/>
              <w:jc w:val="center"/>
              <w:rPr>
                <w:rFonts w:ascii="Times New Roman" w:hAnsi="Times New Roman" w:eastAsia="宋体" w:cs="Times New Roman"/>
                <w:szCs w:val="21"/>
              </w:rPr>
            </w:pPr>
          </w:p>
        </w:tc>
        <w:tc>
          <w:tcPr>
            <w:tcW w:w="815" w:type="dxa"/>
            <w:tcBorders>
              <w:top w:val="nil"/>
              <w:left w:val="nil"/>
              <w:bottom w:val="single" w:color="auto" w:sz="4" w:space="0"/>
              <w:right w:val="single" w:color="auto" w:sz="4" w:space="0"/>
            </w:tcBorders>
            <w:noWrap w:val="0"/>
            <w:vAlign w:val="center"/>
          </w:tcPr>
          <w:p>
            <w:pPr>
              <w:spacing w:line="260" w:lineRule="exact"/>
              <w:jc w:val="center"/>
              <w:rPr>
                <w:rFonts w:ascii="Times New Roman" w:hAnsi="Times New Roman" w:eastAsia="宋体" w:cs="Times New Roman"/>
                <w:szCs w:val="21"/>
              </w:rPr>
            </w:pPr>
          </w:p>
        </w:tc>
        <w:tc>
          <w:tcPr>
            <w:tcW w:w="830" w:type="dxa"/>
            <w:tcBorders>
              <w:top w:val="nil"/>
              <w:left w:val="nil"/>
              <w:bottom w:val="single" w:color="auto" w:sz="4" w:space="0"/>
              <w:right w:val="single" w:color="auto" w:sz="4" w:space="0"/>
            </w:tcBorders>
            <w:noWrap w:val="0"/>
            <w:vAlign w:val="center"/>
          </w:tcPr>
          <w:p>
            <w:pPr>
              <w:spacing w:line="260" w:lineRule="exact"/>
              <w:jc w:val="center"/>
              <w:rPr>
                <w:rFonts w:ascii="Times New Roman" w:hAnsi="Times New Roman" w:eastAsia="宋体" w:cs="Times New Roman"/>
                <w:szCs w:val="21"/>
              </w:rPr>
            </w:pPr>
          </w:p>
        </w:tc>
        <w:tc>
          <w:tcPr>
            <w:tcW w:w="829" w:type="dxa"/>
            <w:tcBorders>
              <w:top w:val="nil"/>
              <w:left w:val="nil"/>
              <w:bottom w:val="single" w:color="auto" w:sz="4" w:space="0"/>
              <w:right w:val="single" w:color="auto" w:sz="4" w:space="0"/>
            </w:tcBorders>
            <w:noWrap w:val="0"/>
            <w:vAlign w:val="center"/>
          </w:tcPr>
          <w:p>
            <w:pPr>
              <w:spacing w:line="260" w:lineRule="exact"/>
              <w:jc w:val="center"/>
              <w:rPr>
                <w:rFonts w:ascii="Times New Roman" w:hAnsi="Times New Roman" w:eastAsia="宋体" w:cs="Times New Roman"/>
                <w:szCs w:val="21"/>
              </w:rPr>
            </w:pPr>
          </w:p>
        </w:tc>
        <w:tc>
          <w:tcPr>
            <w:tcW w:w="830" w:type="dxa"/>
            <w:tcBorders>
              <w:top w:val="nil"/>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cs="Times New Roman"/>
                <w:szCs w:val="21"/>
              </w:rPr>
            </w:pPr>
          </w:p>
        </w:tc>
        <w:tc>
          <w:tcPr>
            <w:tcW w:w="924" w:type="dxa"/>
            <w:tcBorders>
              <w:top w:val="nil"/>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cs="Times New Roman"/>
                <w:szCs w:val="21"/>
              </w:rPr>
            </w:pPr>
          </w:p>
        </w:tc>
      </w:tr>
    </w:tbl>
    <w:p>
      <w:pPr>
        <w:spacing w:line="240" w:lineRule="auto"/>
        <w:ind w:firstLine="0" w:firstLineChars="0"/>
        <w:rPr>
          <w:rFonts w:hint="eastAsia" w:ascii="宋体" w:hAnsi="宋体" w:eastAsia="宋体" w:cs="宋体"/>
          <w:sz w:val="24"/>
          <w:szCs w:val="24"/>
          <w:lang w:eastAsia="zh-CN"/>
        </w:rPr>
        <w:sectPr>
          <w:pgSz w:w="16838" w:h="11905" w:orient="landscape"/>
          <w:pgMar w:top="1531" w:right="1984" w:bottom="1531" w:left="1984" w:header="0" w:footer="1417" w:gutter="0"/>
          <w:cols w:space="720" w:num="1"/>
          <w:rtlGutter w:val="0"/>
          <w:docGrid w:type="linesAndChars" w:linePitch="585" w:charSpace="-856"/>
        </w:sectPr>
      </w:pPr>
      <w:r>
        <w:rPr>
          <w:rFonts w:hint="eastAsia" w:ascii="宋体" w:hAnsi="宋体" w:eastAsia="宋体" w:cs="宋体"/>
          <w:sz w:val="24"/>
          <w:szCs w:val="18"/>
        </w:rPr>
        <w:t>注：表格中选项为是的打“√”，否的打“×”。</w:t>
      </w:r>
    </w:p>
    <w:p>
      <w:pPr>
        <w:wordWrap/>
        <w:jc w:val="both"/>
        <w:rPr>
          <w:rFonts w:hint="default"/>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32079"/>
    <w:rsid w:val="048F15BD"/>
    <w:rsid w:val="10873C77"/>
    <w:rsid w:val="13EA34A0"/>
    <w:rsid w:val="14313C62"/>
    <w:rsid w:val="16CC135A"/>
    <w:rsid w:val="1BE621EE"/>
    <w:rsid w:val="1C8001C8"/>
    <w:rsid w:val="1D5154C0"/>
    <w:rsid w:val="2D5135EE"/>
    <w:rsid w:val="3465584B"/>
    <w:rsid w:val="34DF70AB"/>
    <w:rsid w:val="37EE38B6"/>
    <w:rsid w:val="3DFB5D83"/>
    <w:rsid w:val="42364A25"/>
    <w:rsid w:val="47992886"/>
    <w:rsid w:val="56A66644"/>
    <w:rsid w:val="605F5B47"/>
    <w:rsid w:val="723B0FB8"/>
    <w:rsid w:val="729C1D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link w:val="6"/>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6">
    <w:name w:val="Char Char Char Char Char Char1 Char Char Char Char"/>
    <w:basedOn w:val="1"/>
    <w:link w:val="5"/>
    <w:qFormat/>
    <w:uiPriority w:val="0"/>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池启猛</cp:lastModifiedBy>
  <dcterms:modified xsi:type="dcterms:W3CDTF">2023-03-29T03:43:10Z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