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广州市从化区水务局安全生产权力清单及责任清单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为深入贯彻《中华人民共和国安全生产法》《广东省安全生产条例》和《中共中央 国务院关于推进安全生产领域改革发展的意见》国务院安委会《关于进一步强化安全生产责任落实坚决防范 遏制重特大事故的若干措施》《中共广东省委 广东省人民政府关于推进安全生产领域改革发展的实施意见》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广州市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委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广州市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人民政府关于推进安全生产领域改革发展的实施意见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，进一步强化水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安全生产监管责任落实，切实做好水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安全生产监管工作，</w:t>
      </w:r>
      <w:r>
        <w:rPr>
          <w:rFonts w:ascii="Times New Roman" w:hAnsi="Times New Roman" w:eastAsia="仿宋_GB2312" w:cs="Times New Roman"/>
          <w:sz w:val="32"/>
          <w:szCs w:val="32"/>
        </w:rPr>
        <w:t>依据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市水务局</w:t>
      </w:r>
      <w:r>
        <w:rPr>
          <w:rFonts w:ascii="Times New Roman" w:hAnsi="Times New Roman" w:eastAsia="仿宋_GB2312" w:cs="Times New Roman"/>
          <w:sz w:val="32"/>
          <w:szCs w:val="32"/>
        </w:rPr>
        <w:t>《关于建立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广州市水务</w:t>
      </w:r>
      <w:r>
        <w:rPr>
          <w:rFonts w:ascii="Times New Roman" w:hAnsi="Times New Roman" w:eastAsia="仿宋_GB2312" w:cs="Times New Roman"/>
          <w:sz w:val="32"/>
          <w:szCs w:val="32"/>
        </w:rPr>
        <w:t>安全生产监管责任清单的指导意见》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，制定建立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安全生产监管责任清单的指导意见。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一、建立水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务</w:t>
      </w:r>
      <w:r>
        <w:rPr>
          <w:rFonts w:hint="default" w:ascii="Times New Roman" w:hAnsi="Times New Roman" w:eastAsia="黑体" w:cs="Times New Roman"/>
          <w:sz w:val="32"/>
          <w:szCs w:val="32"/>
        </w:rPr>
        <w:t>安全生产监管责任清单的基本原则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（一）“党政同责，一岗双责，齐抓共管，失职追责”。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（二）“管行业必须管安全，管业务必须管安全，管生产经营必须管安全”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“谁主管谁负责”“谁审批谁监管”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（三）属地管理、分级负责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sz w:val="32"/>
          <w:szCs w:val="32"/>
        </w:rPr>
        <w:t>行业指导。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（四）依法依规、职责法定。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（五）遵照本单位“三定”方案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二、水行政主管部门和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直属各单位</w:t>
      </w:r>
      <w:r>
        <w:rPr>
          <w:rFonts w:hint="default" w:ascii="Times New Roman" w:hAnsi="Times New Roman" w:eastAsia="黑体" w:cs="Times New Roman"/>
          <w:sz w:val="32"/>
          <w:szCs w:val="32"/>
        </w:rPr>
        <w:t>安全生产监管责任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（一）监管范围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1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负责对本级所属的企事业单位（以下简称水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务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生产经营单位）进行安全生产监管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color w:val="C0000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（1）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水务局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负责对所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批准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组建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项目法人、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属水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工程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运行管理单位和其他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依法应由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水务局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管理的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生产经营单位进行安全生产监管。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color w:val="C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水投集团、局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直属各单位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负责对其直接管理的水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建设项目法人、运行管理单位和其他所属水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生产经营单位进行安全生产监管。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（3）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级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水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部门按照职责分工，负责对职责范围内的水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建设项目法人、运行管理单位和其他水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生产经营单位进行安全生产监管。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2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负责对下级水行政主管部门安全生产工作的监督指导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（1）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水务局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负责监督和指导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各镇（街、园区、林场）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直属各单位、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水投集团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履行安全生产监管职责。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（2）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各流域管理机构根据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水务局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委托，指导流域内水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安全生产工作，配合做好水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安全生产监督、指导和检查工作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spacing w:beforeLines="0" w:afterLines="0" w:line="600" w:lineRule="exact"/>
        <w:ind w:firstLine="640" w:firstLineChars="200"/>
        <w:jc w:val="left"/>
        <w:outlineLvl w:val="9"/>
        <w:rPr>
          <w:rFonts w:ascii="Times New Roman" w:hAnsi="Times New Roman" w:eastAsia="仿宋_GB2312" w:cs="Times New Roman"/>
          <w:color w:val="C0000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）负责监督和指导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镇、街履行水务相关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安全生产监管职责。</w:t>
      </w:r>
    </w:p>
    <w:p>
      <w:pPr>
        <w:keepNext w:val="0"/>
        <w:keepLines w:val="0"/>
        <w:spacing w:beforeLines="0" w:afterLines="0" w:line="600" w:lineRule="exact"/>
        <w:ind w:firstLine="643" w:firstLineChars="200"/>
        <w:jc w:val="left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负责对属地水务工程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各参建单位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安全生产监督检查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spacing w:beforeLines="0" w:afterLines="0" w:line="600" w:lineRule="exact"/>
        <w:ind w:firstLine="640" w:firstLineChars="200"/>
        <w:jc w:val="left"/>
        <w:outlineLvl w:val="9"/>
        <w:rPr>
          <w:rFonts w:ascii="Times New Roman" w:hAnsi="Times New Roman" w:cs="Times New Roman"/>
          <w:color w:val="C00000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负责对辖区内水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工程建设各参建单位安全生产工作进行监督检查。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（二）监管责任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贯彻执行安全生产有关法律法规、技术标准和上级关于安全生产的政策及工作要求。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建立健全本级安全生产责任制、安全生产规章制度体系和安全生产技术标准体系，并组织实施。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color w:val="C0000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明确本级安全生产监管机构以及综合监管和专业监管职责，监督指导水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工程建设监督机构履行安全生产职责。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4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组织对辖区内水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安全生产状况进行评价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对下级水行政主管部门安全生产工作进行监督指导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制定并实施安全生产年度监督检查计划，对所属水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生产经营单位安全生产工作进行监督检查，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按职责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依法开展水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安全生产行政执法工作，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依法依规查处安全生产违法违规行为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5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保障本级安全生产监管工作所需投入；组织推动水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安全生产标准化、风险分级管控和隐患排查治理等长效机制建设。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color w:val="C0000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6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开展水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安全生产宣传教育培训工作；按照规定负责水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工程施工企业主要负责人、项目负责人和专职安全生产管理人员安全生产考核工作。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7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建立健全举报制度，受理管辖范围内有关水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安全生产举报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，鼓励社会公众通过政务热线、举报电话和网站、来信来访等方式，对安全生产重大风险、事故隐患和违法行为进行举报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；建立辖区内水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生产经营单位安全生产违法行为信息库，对水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生产经营单位安全生产违法行为信息进行记录、统计和应用。当地人民政府有相关规定的，按其规定执行。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8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组织实施安全生产应急管理，建立本级安全生产应急预案体系；负责辖区内水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生产安全事故信息报送和处置督导。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推行水务工程安全生产责任保险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制度。督促参与我区水务工程建设的建筑施工企业，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依法依规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投保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安全生产责任保险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鼓励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引导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生产经营单位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投保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安全生产责任保险。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（三）监管领导责任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各镇（街、园区、林场）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直属各单位、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水投集团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主要负责人为本单位安全生产监管工作第一责任人，对安全生产负全面领导责任。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各镇（街、园区、林场）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直属各单位、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水投集团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分管安全生产工作的负责人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对安全生产负综合监管领导责任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其他负责人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对分管业务范围内的安全生产工作负直接领导责任。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各镇（街、园区、林场）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直属各单位、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水投集团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bidi="ar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领导班子成员在年度考核中，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应当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按照“一岗双责”要求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，将履行安全生产工作责任情况列入述职内容。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（四）综合监管责任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各镇（街、园区、林场）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直属各单位、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水投集团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的安全生产监管部门是水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安全生产监督管理的综合监管部门，承担水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安全生产综合监管责任，按职责权限负责贯彻落实上级安全生产法律法规政策，制定修订本级安全生产法规标准制度等，开展安全生产状况评价、综合性检查、应急管理、统计分析、标准化建设、宣教培训等综合性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（五）业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务</w:t>
      </w:r>
      <w:r>
        <w:rPr>
          <w:rFonts w:ascii="Times New Roman" w:hAnsi="Times New Roman" w:eastAsia="楷体_GB2312" w:cs="Times New Roman"/>
          <w:color w:val="auto"/>
          <w:sz w:val="32"/>
          <w:szCs w:val="32"/>
        </w:rPr>
        <w:t>监管责任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各镇（街、园区、林场）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直属各单位、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水投集团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的相关业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管理部门是水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安全生产监督管理的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业务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监管部门，承担水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安全生产专业监管责任，按照工作职责组织对水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领域安全生产工作进行监督检查，督导相应水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生产经营单位落实安全生产主体责任，督导业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领域安全风险管控到位、事故隐患治理到位。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三、工作机制和要求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各镇（街、园区、林场）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直属各单位、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水投集团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要建立健全安全生产委员会或安全生产领导小组，制订完善安全生产工作规则，制定安全生产综合监管部门和各业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监管部门的安全监管责任清单，分工负责综合监管和业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监管工作。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C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（二）每年初，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各镇（街、园区、林场）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直属各单位、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水投集团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安全生产监督管理部门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会同各业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监管部门，按照安全生产监管职责分工和年度工作要点，统筹综合监管和业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监管要求，制订全年水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安全生产监督检查计划，量化主要任务指标，报安全生产委员会或安全生产领导小组批准，并报上级水行政主管部门备案。计划经批准后应全面实施。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各镇（街、园区、林场）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直属各单位、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水投集团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安全生产委员会或安全生产领导小组要建立安全生产考核制度，根据批准的水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安全生产监督检查计划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对安全生产综合监管部门和各业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监管部门，进行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履责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考核，尽职免责，失职问责。上级对下级水行政主管部门安全生产监管工作的监督指导情况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应反馈给下级水行政主管部门安全生产委员会或安全生产领导小组，作为安全生产工作评价的依据。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（四）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各镇（街、园区、林场）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直属各单位、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水投集团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应全面推进“安全监管+信息化”，利用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水利部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水利安全监管信息系统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智慧水务”等系统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，根据水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生产经营单位上报数据，分析研判所辖各区域、各业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领域安全生产状况，提前预警风险并分级管控。监督检查应以“四不两直”暗访形式为主，线上抽选项目或单位，线下检查情况核实线上报送信息的真实性，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检查中发现隐患应督促及时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整改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。对下级水行政主管部门安全生产监管工作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监督指导时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应抽查有关工程或单位，检验安全生产监管效果。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（五）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各镇（街、园区、林场）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直属各单位、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水投集团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应建立安全生产责任问责制度，对监管不力的单位和个人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依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规进行责任追究。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水务局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对发生人员死亡的一般事故和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虽未发生人员伤亡但影响恶劣的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事故的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各镇（街、园区、林场）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局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直属各单位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水投集团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，进行通报并约谈有关负责人。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（六）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各级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水务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按规定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配备满足安全生产监管需要的安全生产专职人员，保障安全生产监管经费，鼓励采用政府购买服务方式引入社会化力量参与安全监督工作。要逐级逐单位明确安全生产工作联络员，将管辖范围内所有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符合录入要求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监管对象纳入水利安全监管信息系统，及时传达、统计和报送安全生产信息。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color w:val="C0000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（七）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各级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水务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部门在每年1月31日前，协调组织明确辖区内每一个水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生产经营单位（工程）的政府安全生产监管负责人、行业安全生产监管负责人（包括综合监管负责人和专业监管负责人），督促水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生产经营单位做好安全风险分级管控和隐患排查治理工作，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并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在水利安全生产信息系统上填写相关信息，有关信息调整或变动时应及时变更。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（八）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各镇（街、园区、林场）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局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属各单位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水投集团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可以参照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广州市</w:t>
      </w:r>
      <w:r>
        <w:rPr>
          <w:rFonts w:hint="default" w:ascii="Times New Roman" w:hAnsi="Times New Roman" w:cs="Times New Roman"/>
          <w:color w:val="auto"/>
          <w:spacing w:val="-11"/>
          <w:sz w:val="32"/>
          <w:szCs w:val="32"/>
          <w:lang w:val="en-US" w:eastAsia="zh-CN"/>
        </w:rPr>
        <w:t>从化区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cs="Times New Roman"/>
          <w:color w:val="auto"/>
          <w:spacing w:val="-11"/>
          <w:sz w:val="32"/>
          <w:szCs w:val="32"/>
          <w:lang w:val="en-US" w:eastAsia="zh-CN"/>
        </w:rPr>
        <w:t>级</w:t>
      </w:r>
      <w:r>
        <w:rPr>
          <w:rFonts w:hint="eastAsia" w:ascii="Times New Roman" w:hAnsi="Times New Roman" w:cs="Times New Roman"/>
          <w:color w:val="auto"/>
          <w:spacing w:val="-11"/>
          <w:sz w:val="32"/>
          <w:szCs w:val="32"/>
          <w:lang w:eastAsia="zh-CN"/>
        </w:rPr>
        <w:t>水务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  <w:t>部门安全生产监管责任清单（指南）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，按照本单位“三定”方案，结合本单位实际细化确定安全生产监管清单，制定综合监管和业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监管清单。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59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right="0" w:rightChars="0" w:firstLine="623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附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广州市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从化区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各级</w:t>
      </w:r>
      <w:r>
        <w:rPr>
          <w:rFonts w:hint="eastAsia" w:ascii="Times New Roman" w:hAnsi="Times New Roman" w:cs="Times New Roman"/>
          <w:spacing w:val="0"/>
          <w:sz w:val="32"/>
          <w:szCs w:val="32"/>
          <w:lang w:eastAsia="zh-CN"/>
        </w:rPr>
        <w:t>水务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部门安全生产监管责任清单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right="0" w:rightChars="0" w:firstLine="623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2780F"/>
    <w:rsid w:val="0CA2780F"/>
    <w:rsid w:val="588277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Calibri" w:hAnsi="Calibri" w:eastAsia="宋体" w:cs="Times New Roman"/>
      <w:kern w:val="0"/>
      <w:sz w:val="24"/>
      <w:szCs w:val="24"/>
      <w:u w:val="none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从化区水务局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2023-03-10T09:01:00Z</dcterms:created>
  <dc:creator>李流新</dc:creator>
  <cp:lastModifiedBy>李流新</cp:lastModifiedBy>
  <dcterms:modified xsi:type="dcterms:W3CDTF">2023-03-10T09:23:51Z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