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烟花爆竹经营（零售）点周边安全条件说明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65"/>
        <w:gridCol w:w="4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150米范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围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筑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物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386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建筑物名称</w:t>
            </w:r>
          </w:p>
        </w:tc>
        <w:tc>
          <w:tcPr>
            <w:tcW w:w="4231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与零售点距离（米）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865" w:type="dxa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3865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  <w:tc>
          <w:tcPr>
            <w:tcW w:w="4231" w:type="dxa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零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售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点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周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边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条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件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示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图</w:t>
            </w:r>
          </w:p>
        </w:tc>
        <w:tc>
          <w:tcPr>
            <w:tcW w:w="8096" w:type="dxa"/>
            <w:gridSpan w:val="2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40" w:type="dxa"/>
            <w:gridSpan w:val="3"/>
          </w:tcPr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申请单位：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highlight w:val="none"/>
                <w:vertAlign w:val="baseline"/>
                <w:lang w:eastAsia="zh-CN"/>
              </w:rPr>
              <w:t>申请人签名：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C213E"/>
    <w:rsid w:val="697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2022-12-20T07:33:00Z</dcterms:created>
  <dc:creator>邓琨瑶</dc:creator>
  <cp:lastModifiedBy>邓琨瑶</cp:lastModifiedBy>
  <dcterms:modified xsi:type="dcterms:W3CDTF">2022-12-20T07:33:59Z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