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2"/>
        <w:rPr>
          <w:rFonts w:hint="eastAsia"/>
          <w:b/>
          <w:bCs/>
          <w:color w:val="auto"/>
          <w:sz w:val="32"/>
          <w:highlight w:val="none"/>
        </w:rPr>
      </w:pPr>
      <w:r>
        <w:rPr>
          <w:rFonts w:hint="eastAsia" w:ascii="黑体" w:hAnsi="黑体" w:eastAsia="黑体"/>
          <w:color w:val="auto"/>
          <w:kern w:val="0"/>
          <w:sz w:val="32"/>
          <w:szCs w:val="32"/>
          <w:highlight w:val="none"/>
          <w:lang w:val="en-US" w:eastAsia="zh-CN"/>
        </w:rPr>
        <w:t>附件4</w:t>
      </w:r>
    </w:p>
    <w:p>
      <w:pPr>
        <w:ind w:firstLine="315" w:firstLineChars="98"/>
        <w:rPr>
          <w:rFonts w:hint="eastAsia"/>
          <w:b/>
          <w:bCs/>
          <w:color w:val="auto"/>
          <w:sz w:val="32"/>
          <w:highlight w:val="none"/>
        </w:rPr>
      </w:pPr>
      <w:r>
        <w:rPr>
          <w:rFonts w:hint="eastAsia"/>
          <w:b/>
          <w:bCs/>
          <w:color w:val="auto"/>
          <w:sz w:val="32"/>
          <w:highlight w:val="none"/>
        </w:rPr>
        <w:t>申请编号：                       受理编号：</w:t>
      </w:r>
    </w:p>
    <w:p>
      <w:pPr>
        <w:rPr>
          <w:rFonts w:hint="eastAsia"/>
          <w:b/>
          <w:bCs/>
          <w:color w:val="auto"/>
          <w:sz w:val="32"/>
          <w:highlight w:val="none"/>
        </w:rPr>
      </w:pPr>
      <w:r>
        <w:rPr>
          <w:rFonts w:hint="eastAsia"/>
          <w:b/>
          <w:bCs/>
          <w:color w:val="auto"/>
          <w:sz w:val="32"/>
          <w:highlight w:val="none"/>
        </w:rPr>
        <w:t xml:space="preserve">  申请日期：                       受理日期：</w:t>
      </w:r>
    </w:p>
    <w:p>
      <w:pPr>
        <w:rPr>
          <w:rFonts w:hint="eastAsia"/>
          <w:b/>
          <w:bCs/>
          <w:color w:val="auto"/>
          <w:sz w:val="18"/>
          <w:szCs w:val="18"/>
          <w:highlight w:val="none"/>
        </w:rPr>
      </w:pPr>
    </w:p>
    <w:p>
      <w:pPr>
        <w:jc w:val="center"/>
        <w:rPr>
          <w:rFonts w:hint="eastAsia"/>
          <w:b/>
          <w:bCs/>
          <w:color w:val="auto"/>
          <w:sz w:val="18"/>
          <w:szCs w:val="18"/>
          <w:highlight w:val="none"/>
        </w:rPr>
      </w:pPr>
    </w:p>
    <w:p>
      <w:pPr>
        <w:jc w:val="center"/>
        <w:rPr>
          <w:rFonts w:hint="eastAsia" w:ascii="方正小标宋简体" w:eastAsia="方正小标宋简体"/>
          <w:b/>
          <w:bCs/>
          <w:color w:val="auto"/>
          <w:sz w:val="44"/>
          <w:szCs w:val="44"/>
          <w:highlight w:val="none"/>
        </w:rPr>
      </w:pPr>
      <w:r>
        <w:rPr>
          <w:rFonts w:hint="eastAsia" w:ascii="方正小标宋简体" w:eastAsia="方正小标宋简体"/>
          <w:b/>
          <w:bCs/>
          <w:color w:val="auto"/>
          <w:sz w:val="44"/>
          <w:szCs w:val="44"/>
          <w:highlight w:val="none"/>
        </w:rPr>
        <w:t>烟 花 爆 竹</w:t>
      </w:r>
    </w:p>
    <w:p>
      <w:pPr>
        <w:jc w:val="center"/>
        <w:rPr>
          <w:rFonts w:hint="eastAsia" w:ascii="方正小标宋简体" w:eastAsia="方正小标宋简体"/>
          <w:b/>
          <w:bCs/>
          <w:color w:val="auto"/>
          <w:sz w:val="44"/>
          <w:szCs w:val="44"/>
          <w:highlight w:val="none"/>
        </w:rPr>
      </w:pPr>
      <w:r>
        <w:rPr>
          <w:rFonts w:hint="eastAsia" w:ascii="方正小标宋简体" w:eastAsia="方正小标宋简体"/>
          <w:b/>
          <w:bCs/>
          <w:color w:val="auto"/>
          <w:sz w:val="44"/>
          <w:szCs w:val="44"/>
          <w:highlight w:val="none"/>
        </w:rPr>
        <w:t>经 营（零售）许 可 证</w:t>
      </w:r>
    </w:p>
    <w:p>
      <w:pPr>
        <w:jc w:val="center"/>
        <w:rPr>
          <w:rFonts w:hint="eastAsia" w:ascii="方正小标宋简体" w:eastAsia="方正小标宋简体"/>
          <w:b/>
          <w:bCs/>
          <w:color w:val="auto"/>
          <w:sz w:val="44"/>
          <w:szCs w:val="44"/>
          <w:highlight w:val="none"/>
        </w:rPr>
      </w:pPr>
      <w:r>
        <w:rPr>
          <w:rFonts w:hint="eastAsia" w:ascii="方正小标宋简体" w:eastAsia="方正小标宋简体"/>
          <w:b/>
          <w:bCs/>
          <w:color w:val="auto"/>
          <w:sz w:val="44"/>
          <w:szCs w:val="44"/>
          <w:highlight w:val="none"/>
        </w:rPr>
        <w:t>申 请 书</w:t>
      </w:r>
    </w:p>
    <w:p>
      <w:pPr>
        <w:jc w:val="center"/>
        <w:rPr>
          <w:rFonts w:hint="eastAsia" w:ascii="方正小标宋简体" w:eastAsia="方正小标宋简体"/>
          <w:b/>
          <w:bCs/>
          <w:color w:val="auto"/>
          <w:sz w:val="18"/>
          <w:szCs w:val="18"/>
          <w:highlight w:val="none"/>
        </w:rPr>
      </w:pPr>
    </w:p>
    <w:p>
      <w:pPr>
        <w:jc w:val="center"/>
        <w:rPr>
          <w:rFonts w:hint="eastAsia" w:ascii="宋体" w:hAnsi="宋体"/>
          <w:bCs/>
          <w:color w:val="auto"/>
          <w:sz w:val="44"/>
          <w:szCs w:val="44"/>
          <w:highlight w:val="none"/>
        </w:rPr>
      </w:pPr>
      <w:r>
        <w:rPr>
          <w:rFonts w:hint="eastAsia" w:ascii="宋体" w:hAnsi="宋体"/>
          <w:bCs/>
          <w:color w:val="auto"/>
          <w:sz w:val="44"/>
          <w:szCs w:val="44"/>
          <w:highlight w:val="none"/>
        </w:rPr>
        <w:t>□申请   □变更</w:t>
      </w:r>
    </w:p>
    <w:p>
      <w:pPr>
        <w:jc w:val="center"/>
        <w:rPr>
          <w:rFonts w:hint="eastAsia" w:ascii="宋体" w:hAnsi="宋体"/>
          <w:bCs/>
          <w:color w:val="auto"/>
          <w:sz w:val="18"/>
          <w:szCs w:val="18"/>
          <w:highlight w:val="none"/>
        </w:rPr>
      </w:pPr>
    </w:p>
    <w:p>
      <w:pPr>
        <w:jc w:val="center"/>
        <w:rPr>
          <w:rFonts w:hint="eastAsia" w:ascii="宋体" w:hAnsi="宋体"/>
          <w:bCs/>
          <w:color w:val="auto"/>
          <w:sz w:val="18"/>
          <w:szCs w:val="18"/>
          <w:highlight w:val="none"/>
        </w:rPr>
      </w:pPr>
    </w:p>
    <w:p>
      <w:pPr>
        <w:jc w:val="center"/>
        <w:rPr>
          <w:rFonts w:hint="eastAsia" w:ascii="宋体" w:hAnsi="宋体"/>
          <w:bCs/>
          <w:color w:val="auto"/>
          <w:sz w:val="18"/>
          <w:szCs w:val="18"/>
          <w:highlight w:val="none"/>
        </w:rPr>
      </w:pPr>
    </w:p>
    <w:p>
      <w:pPr>
        <w:ind w:firstLine="885" w:firstLineChars="245"/>
        <w:rPr>
          <w:rFonts w:hint="eastAsia"/>
          <w:b/>
          <w:bCs/>
          <w:color w:val="auto"/>
          <w:sz w:val="36"/>
          <w:szCs w:val="36"/>
          <w:highlight w:val="none"/>
        </w:rPr>
      </w:pPr>
      <w:r>
        <w:rPr>
          <w:rFonts w:hint="eastAsia" w:ascii="宋体" w:hAnsi="宋体"/>
          <w:b/>
          <w:bCs/>
          <w:color w:val="auto"/>
          <w:sz w:val="36"/>
          <w:szCs w:val="36"/>
          <w:highlight w:val="none"/>
        </w:rPr>
        <w:t xml:space="preserve">单位名称 </w:t>
      </w:r>
      <w:r>
        <w:rPr>
          <w:rFonts w:hint="eastAsia" w:ascii="宋体" w:hAnsi="宋体"/>
          <w:b/>
          <w:bCs/>
          <w:color w:val="auto"/>
          <w:sz w:val="36"/>
          <w:szCs w:val="36"/>
          <w:highlight w:val="none"/>
          <w:u w:val="single"/>
        </w:rPr>
        <w:t xml:space="preserve">                          </w:t>
      </w:r>
      <w:r>
        <w:rPr>
          <w:rFonts w:hint="eastAsia" w:ascii="宋体" w:hAnsi="宋体"/>
          <w:b/>
          <w:bCs/>
          <w:color w:val="auto"/>
          <w:sz w:val="2"/>
          <w:szCs w:val="2"/>
          <w:highlight w:val="none"/>
          <w:u w:val="single"/>
          <w:lang w:eastAsia="zh-CN"/>
        </w:rPr>
        <w:t>。</w:t>
      </w:r>
      <w:r>
        <w:rPr>
          <w:rFonts w:hint="eastAsia" w:ascii="宋体" w:hAnsi="宋体"/>
          <w:b/>
          <w:bCs/>
          <w:color w:val="auto"/>
          <w:sz w:val="36"/>
          <w:szCs w:val="36"/>
          <w:highlight w:val="none"/>
          <w:u w:val="single"/>
        </w:rPr>
        <w:t xml:space="preserve">    </w:t>
      </w:r>
      <w:r>
        <w:rPr>
          <w:rFonts w:hint="eastAsia"/>
          <w:b/>
          <w:bCs/>
          <w:color w:val="auto"/>
          <w:sz w:val="36"/>
          <w:szCs w:val="36"/>
          <w:highlight w:val="none"/>
        </w:rPr>
        <w:t xml:space="preserve">   </w:t>
      </w:r>
    </w:p>
    <w:p>
      <w:pPr>
        <w:rPr>
          <w:rFonts w:hint="eastAsia"/>
          <w:b/>
          <w:bCs/>
          <w:color w:val="auto"/>
          <w:sz w:val="36"/>
          <w:szCs w:val="36"/>
          <w:highlight w:val="none"/>
        </w:rPr>
      </w:pPr>
    </w:p>
    <w:p>
      <w:pPr>
        <w:ind w:firstLine="885" w:firstLineChars="245"/>
        <w:rPr>
          <w:rFonts w:hint="eastAsia" w:ascii="宋体" w:hAnsi="宋体"/>
          <w:b/>
          <w:bCs/>
          <w:color w:val="auto"/>
          <w:sz w:val="36"/>
          <w:szCs w:val="36"/>
          <w:highlight w:val="none"/>
          <w:u w:val="single"/>
        </w:rPr>
      </w:pPr>
      <w:r>
        <w:rPr>
          <w:rFonts w:hint="eastAsia" w:ascii="宋体" w:hAnsi="宋体"/>
          <w:b/>
          <w:bCs/>
          <w:color w:val="auto"/>
          <w:sz w:val="36"/>
          <w:szCs w:val="36"/>
          <w:highlight w:val="none"/>
        </w:rPr>
        <w:t xml:space="preserve">经 办 人 </w:t>
      </w:r>
      <w:r>
        <w:rPr>
          <w:rFonts w:hint="eastAsia" w:ascii="宋体" w:hAnsi="宋体"/>
          <w:b/>
          <w:bCs/>
          <w:color w:val="auto"/>
          <w:sz w:val="36"/>
          <w:szCs w:val="36"/>
          <w:highlight w:val="none"/>
          <w:u w:val="single"/>
        </w:rPr>
        <w:t xml:space="preserve">                          </w:t>
      </w:r>
      <w:r>
        <w:rPr>
          <w:rFonts w:hint="eastAsia" w:ascii="宋体" w:hAnsi="宋体"/>
          <w:b/>
          <w:bCs/>
          <w:color w:val="auto"/>
          <w:sz w:val="2"/>
          <w:szCs w:val="2"/>
          <w:highlight w:val="none"/>
          <w:u w:val="single"/>
          <w:lang w:eastAsia="zh-CN"/>
        </w:rPr>
        <w:t>。</w:t>
      </w:r>
      <w:r>
        <w:rPr>
          <w:rFonts w:hint="eastAsia" w:ascii="宋体" w:hAnsi="宋体"/>
          <w:b/>
          <w:bCs/>
          <w:color w:val="auto"/>
          <w:sz w:val="36"/>
          <w:szCs w:val="36"/>
          <w:highlight w:val="none"/>
          <w:u w:val="single"/>
        </w:rPr>
        <w:t xml:space="preserve">    </w:t>
      </w:r>
    </w:p>
    <w:p>
      <w:pPr>
        <w:rPr>
          <w:rFonts w:hint="eastAsia" w:ascii="宋体" w:hAnsi="宋体"/>
          <w:b/>
          <w:bCs/>
          <w:color w:val="auto"/>
          <w:sz w:val="36"/>
          <w:szCs w:val="36"/>
          <w:highlight w:val="none"/>
        </w:rPr>
      </w:pPr>
    </w:p>
    <w:p>
      <w:pPr>
        <w:ind w:firstLine="885" w:firstLineChars="245"/>
        <w:rPr>
          <w:rFonts w:hint="eastAsia" w:ascii="宋体" w:hAnsi="宋体"/>
          <w:b/>
          <w:bCs/>
          <w:color w:val="auto"/>
          <w:sz w:val="36"/>
          <w:szCs w:val="36"/>
          <w:highlight w:val="none"/>
          <w:u w:val="single"/>
        </w:rPr>
      </w:pPr>
      <w:r>
        <w:rPr>
          <w:rFonts w:hint="eastAsia" w:ascii="宋体" w:hAnsi="宋体"/>
          <w:b/>
          <w:bCs/>
          <w:color w:val="auto"/>
          <w:sz w:val="36"/>
          <w:szCs w:val="36"/>
          <w:highlight w:val="none"/>
        </w:rPr>
        <w:t xml:space="preserve">联系电话 </w:t>
      </w:r>
      <w:r>
        <w:rPr>
          <w:rFonts w:hint="eastAsia" w:ascii="宋体" w:hAnsi="宋体"/>
          <w:b/>
          <w:bCs/>
          <w:color w:val="auto"/>
          <w:sz w:val="36"/>
          <w:szCs w:val="36"/>
          <w:highlight w:val="none"/>
          <w:u w:val="single"/>
        </w:rPr>
        <w:t xml:space="preserve">                          </w:t>
      </w:r>
      <w:r>
        <w:rPr>
          <w:rFonts w:hint="eastAsia" w:ascii="宋体" w:hAnsi="宋体"/>
          <w:b/>
          <w:bCs/>
          <w:color w:val="auto"/>
          <w:sz w:val="2"/>
          <w:szCs w:val="2"/>
          <w:highlight w:val="none"/>
          <w:u w:val="single"/>
          <w:lang w:eastAsia="zh-CN"/>
        </w:rPr>
        <w:t>。</w:t>
      </w:r>
      <w:r>
        <w:rPr>
          <w:rFonts w:hint="eastAsia" w:ascii="宋体" w:hAnsi="宋体"/>
          <w:b/>
          <w:bCs/>
          <w:color w:val="auto"/>
          <w:sz w:val="36"/>
          <w:szCs w:val="36"/>
          <w:highlight w:val="none"/>
          <w:u w:val="single"/>
        </w:rPr>
        <w:t xml:space="preserve">    </w:t>
      </w:r>
    </w:p>
    <w:p>
      <w:pPr>
        <w:rPr>
          <w:rFonts w:hint="eastAsia"/>
          <w:b/>
          <w:bCs/>
          <w:color w:val="auto"/>
          <w:sz w:val="32"/>
          <w:highlight w:val="none"/>
        </w:rPr>
      </w:pPr>
    </w:p>
    <w:p>
      <w:pPr>
        <w:rPr>
          <w:rFonts w:hint="eastAsia"/>
          <w:b/>
          <w:bCs/>
          <w:color w:val="auto"/>
          <w:sz w:val="32"/>
          <w:highlight w:val="none"/>
          <w:u w:val="single"/>
        </w:rPr>
      </w:pPr>
      <w:r>
        <w:rPr>
          <w:rFonts w:hint="eastAsia"/>
          <w:b/>
          <w:bCs/>
          <w:color w:val="auto"/>
          <w:sz w:val="32"/>
          <w:highlight w:val="none"/>
        </w:rPr>
        <w:t xml:space="preserve">     </w:t>
      </w:r>
      <w:r>
        <w:rPr>
          <w:rFonts w:hint="eastAsia" w:ascii="宋体" w:hAnsi="宋体"/>
          <w:b/>
          <w:bCs/>
          <w:color w:val="auto"/>
          <w:sz w:val="36"/>
          <w:szCs w:val="36"/>
          <w:highlight w:val="none"/>
        </w:rPr>
        <w:t xml:space="preserve">填写日期 </w:t>
      </w:r>
      <w:r>
        <w:rPr>
          <w:rFonts w:hint="eastAsia" w:ascii="宋体" w:hAnsi="宋体"/>
          <w:b/>
          <w:bCs/>
          <w:color w:val="auto"/>
          <w:sz w:val="36"/>
          <w:szCs w:val="36"/>
          <w:highlight w:val="none"/>
          <w:u w:val="single"/>
        </w:rPr>
        <w:t xml:space="preserve">                      </w:t>
      </w:r>
      <w:r>
        <w:rPr>
          <w:rFonts w:hint="eastAsia" w:ascii="宋体" w:hAnsi="宋体"/>
          <w:b/>
          <w:bCs/>
          <w:color w:val="auto"/>
          <w:sz w:val="36"/>
          <w:szCs w:val="36"/>
          <w:highlight w:val="none"/>
          <w:u w:val="single"/>
          <w:lang w:val="en-US" w:eastAsia="zh-CN"/>
        </w:rPr>
        <w:t xml:space="preserve"> </w:t>
      </w:r>
      <w:r>
        <w:rPr>
          <w:rFonts w:hint="eastAsia" w:ascii="宋体" w:hAnsi="宋体"/>
          <w:b/>
          <w:bCs/>
          <w:color w:val="auto"/>
          <w:sz w:val="36"/>
          <w:szCs w:val="36"/>
          <w:highlight w:val="none"/>
          <w:u w:val="single"/>
        </w:rPr>
        <w:t xml:space="preserve">    </w:t>
      </w:r>
      <w:r>
        <w:rPr>
          <w:rFonts w:hint="eastAsia" w:ascii="宋体" w:hAnsi="宋体"/>
          <w:b/>
          <w:bCs/>
          <w:color w:val="auto"/>
          <w:sz w:val="2"/>
          <w:szCs w:val="2"/>
          <w:highlight w:val="none"/>
          <w:u w:val="single"/>
          <w:lang w:eastAsia="zh-CN"/>
        </w:rPr>
        <w:t>。</w:t>
      </w:r>
      <w:r>
        <w:rPr>
          <w:rFonts w:hint="eastAsia" w:ascii="宋体" w:hAnsi="宋体"/>
          <w:b/>
          <w:bCs/>
          <w:color w:val="auto"/>
          <w:sz w:val="36"/>
          <w:szCs w:val="36"/>
          <w:highlight w:val="none"/>
          <w:u w:val="single"/>
        </w:rPr>
        <w:t xml:space="preserve">     </w:t>
      </w:r>
    </w:p>
    <w:p>
      <w:pPr>
        <w:rPr>
          <w:rFonts w:hint="eastAsia"/>
          <w:b/>
          <w:bCs/>
          <w:color w:val="auto"/>
          <w:sz w:val="32"/>
          <w:highlight w:val="none"/>
        </w:rPr>
      </w:pPr>
    </w:p>
    <w:p>
      <w:pPr>
        <w:jc w:val="center"/>
        <w:rPr>
          <w:rFonts w:hint="eastAsia"/>
          <w:b/>
          <w:bCs/>
          <w:color w:val="auto"/>
          <w:sz w:val="36"/>
          <w:szCs w:val="36"/>
          <w:highlight w:val="none"/>
        </w:rPr>
      </w:pPr>
    </w:p>
    <w:p>
      <w:pPr>
        <w:jc w:val="center"/>
        <w:rPr>
          <w:rFonts w:hint="eastAsia"/>
          <w:b/>
          <w:bCs/>
          <w:color w:val="auto"/>
          <w:sz w:val="36"/>
          <w:szCs w:val="36"/>
          <w:highlight w:val="none"/>
        </w:rPr>
      </w:pPr>
      <w:r>
        <w:rPr>
          <w:rFonts w:hint="eastAsia"/>
          <w:b/>
          <w:bCs/>
          <w:color w:val="auto"/>
          <w:sz w:val="36"/>
          <w:szCs w:val="36"/>
          <w:highlight w:val="none"/>
          <w:lang w:eastAsia="zh-CN"/>
        </w:rPr>
        <w:t>广州市</w:t>
      </w:r>
      <w:r>
        <w:rPr>
          <w:rFonts w:hint="eastAsia"/>
          <w:b/>
          <w:bCs/>
          <w:color w:val="auto"/>
          <w:sz w:val="36"/>
          <w:szCs w:val="36"/>
          <w:highlight w:val="none"/>
        </w:rPr>
        <w:t>从化</w:t>
      </w:r>
      <w:r>
        <w:rPr>
          <w:rFonts w:hint="eastAsia"/>
          <w:b/>
          <w:bCs/>
          <w:color w:val="auto"/>
          <w:sz w:val="36"/>
          <w:szCs w:val="36"/>
          <w:highlight w:val="none"/>
          <w:lang w:eastAsia="zh-CN"/>
        </w:rPr>
        <w:t>区应急</w:t>
      </w:r>
      <w:r>
        <w:rPr>
          <w:rFonts w:hint="eastAsia"/>
          <w:b/>
          <w:bCs/>
          <w:color w:val="auto"/>
          <w:sz w:val="36"/>
          <w:szCs w:val="36"/>
          <w:highlight w:val="none"/>
        </w:rPr>
        <w:t>管理局制</w:t>
      </w:r>
    </w:p>
    <w:p>
      <w:pPr>
        <w:jc w:val="center"/>
        <w:rPr>
          <w:rFonts w:ascii="宋体" w:hAnsi="宋体"/>
          <w:b/>
          <w:bCs/>
          <w:color w:val="auto"/>
          <w:sz w:val="36"/>
          <w:highlight w:val="none"/>
        </w:rPr>
      </w:pPr>
    </w:p>
    <w:p>
      <w:pPr>
        <w:adjustRightInd w:val="0"/>
        <w:snapToGrid w:val="0"/>
        <w:spacing w:line="560" w:lineRule="exact"/>
        <w:jc w:val="center"/>
        <w:rPr>
          <w:b/>
          <w:bCs/>
          <w:color w:val="auto"/>
          <w:sz w:val="32"/>
          <w:highlight w:val="none"/>
        </w:rPr>
      </w:pPr>
      <w:r>
        <w:rPr>
          <w:rFonts w:hint="eastAsia"/>
          <w:b/>
          <w:bCs/>
          <w:color w:val="auto"/>
          <w:sz w:val="32"/>
          <w:highlight w:val="none"/>
        </w:rPr>
        <w:t>填</w:t>
      </w:r>
      <w:r>
        <w:rPr>
          <w:b/>
          <w:bCs/>
          <w:color w:val="auto"/>
          <w:sz w:val="32"/>
          <w:highlight w:val="none"/>
        </w:rPr>
        <w:t xml:space="preserve">  </w:t>
      </w:r>
      <w:r>
        <w:rPr>
          <w:rFonts w:hint="eastAsia"/>
          <w:b/>
          <w:bCs/>
          <w:color w:val="auto"/>
          <w:sz w:val="32"/>
          <w:highlight w:val="none"/>
        </w:rPr>
        <w:t>写</w:t>
      </w:r>
      <w:r>
        <w:rPr>
          <w:b/>
          <w:bCs/>
          <w:color w:val="auto"/>
          <w:sz w:val="32"/>
          <w:highlight w:val="none"/>
        </w:rPr>
        <w:t xml:space="preserve">  </w:t>
      </w:r>
      <w:r>
        <w:rPr>
          <w:rFonts w:hint="eastAsia"/>
          <w:b/>
          <w:bCs/>
          <w:color w:val="auto"/>
          <w:sz w:val="32"/>
          <w:highlight w:val="none"/>
        </w:rPr>
        <w:t>说</w:t>
      </w:r>
      <w:r>
        <w:rPr>
          <w:b/>
          <w:bCs/>
          <w:color w:val="auto"/>
          <w:sz w:val="32"/>
          <w:highlight w:val="none"/>
        </w:rPr>
        <w:t xml:space="preserve">  </w:t>
      </w:r>
      <w:r>
        <w:rPr>
          <w:rFonts w:hint="eastAsia"/>
          <w:b/>
          <w:bCs/>
          <w:color w:val="auto"/>
          <w:sz w:val="32"/>
          <w:highlight w:val="none"/>
        </w:rPr>
        <w:t>明</w:t>
      </w:r>
    </w:p>
    <w:p>
      <w:pPr>
        <w:adjustRightInd w:val="0"/>
        <w:snapToGrid w:val="0"/>
        <w:spacing w:line="560" w:lineRule="exact"/>
        <w:jc w:val="center"/>
        <w:rPr>
          <w:rFonts w:eastAsia="仿宋_GB2312"/>
          <w:color w:val="auto"/>
          <w:highlight w:val="none"/>
        </w:rPr>
      </w:pPr>
    </w:p>
    <w:p>
      <w:pPr>
        <w:adjustRightInd w:val="0"/>
        <w:snapToGrid w:val="0"/>
        <w:spacing w:line="560" w:lineRule="exact"/>
        <w:ind w:firstLine="560" w:firstLineChars="200"/>
        <w:rPr>
          <w:rFonts w:eastAsia="仿宋_GB2312"/>
          <w:color w:val="auto"/>
          <w:sz w:val="28"/>
          <w:szCs w:val="28"/>
          <w:highlight w:val="none"/>
        </w:rPr>
      </w:pPr>
      <w:r>
        <w:rPr>
          <w:rFonts w:eastAsia="仿宋_GB2312"/>
          <w:color w:val="auto"/>
          <w:sz w:val="28"/>
          <w:szCs w:val="28"/>
          <w:highlight w:val="none"/>
        </w:rPr>
        <w:t>1.</w:t>
      </w:r>
      <w:r>
        <w:rPr>
          <w:rFonts w:hint="eastAsia" w:eastAsia="仿宋_GB2312"/>
          <w:color w:val="auto"/>
          <w:sz w:val="28"/>
          <w:szCs w:val="28"/>
          <w:highlight w:val="none"/>
        </w:rPr>
        <w:t>烟花爆竹</w:t>
      </w:r>
      <w:r>
        <w:rPr>
          <w:rFonts w:hint="eastAsia" w:eastAsia="仿宋_GB2312"/>
          <w:color w:val="auto"/>
          <w:sz w:val="28"/>
          <w:szCs w:val="28"/>
          <w:highlight w:val="none"/>
          <w:lang w:eastAsia="zh-CN"/>
        </w:rPr>
        <w:t>经营（零售）</w:t>
      </w:r>
      <w:r>
        <w:rPr>
          <w:rFonts w:hint="eastAsia" w:eastAsia="仿宋_GB2312"/>
          <w:color w:val="auto"/>
          <w:sz w:val="28"/>
          <w:szCs w:val="28"/>
          <w:highlight w:val="none"/>
        </w:rPr>
        <w:t>许可证申请和变更</w:t>
      </w:r>
      <w:r>
        <w:rPr>
          <w:rFonts w:hint="eastAsia" w:eastAsia="仿宋_GB2312"/>
          <w:color w:val="auto"/>
          <w:sz w:val="28"/>
          <w:szCs w:val="28"/>
          <w:highlight w:val="none"/>
          <w:lang w:eastAsia="zh-CN"/>
        </w:rPr>
        <w:t>均使用本申请表</w:t>
      </w:r>
      <w:r>
        <w:rPr>
          <w:rFonts w:hint="eastAsia" w:eastAsia="仿宋_GB2312"/>
          <w:color w:val="auto"/>
          <w:sz w:val="28"/>
          <w:szCs w:val="28"/>
          <w:highlight w:val="none"/>
        </w:rPr>
        <w:t>。</w:t>
      </w:r>
    </w:p>
    <w:p>
      <w:pPr>
        <w:adjustRightInd w:val="0"/>
        <w:snapToGrid w:val="0"/>
        <w:spacing w:line="560" w:lineRule="exact"/>
        <w:ind w:firstLine="560" w:firstLineChars="200"/>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本申请书一式二份，用</w:t>
      </w:r>
      <w:r>
        <w:rPr>
          <w:rFonts w:hint="eastAsia" w:eastAsia="仿宋_GB2312"/>
          <w:color w:val="auto"/>
          <w:sz w:val="28"/>
          <w:szCs w:val="28"/>
          <w:highlight w:val="none"/>
          <w:lang w:eastAsia="zh-CN"/>
        </w:rPr>
        <w:t>黑色</w:t>
      </w:r>
      <w:r>
        <w:rPr>
          <w:rFonts w:hint="eastAsia" w:eastAsia="仿宋_GB2312"/>
          <w:color w:val="auto"/>
          <w:sz w:val="28"/>
          <w:szCs w:val="28"/>
          <w:highlight w:val="none"/>
        </w:rPr>
        <w:t>钢笔、签字笔填写或者用打印机打印，字迹要清晰、工整</w:t>
      </w:r>
      <w:r>
        <w:rPr>
          <w:rFonts w:hint="eastAsia" w:eastAsia="仿宋_GB2312"/>
          <w:color w:val="auto"/>
          <w:sz w:val="28"/>
          <w:szCs w:val="28"/>
          <w:highlight w:val="none"/>
          <w:lang w:eastAsia="zh-CN"/>
        </w:rPr>
        <w:t>；不得有涂改</w:t>
      </w:r>
      <w:r>
        <w:rPr>
          <w:rFonts w:hint="eastAsia" w:eastAsia="仿宋_GB2312"/>
          <w:color w:val="auto"/>
          <w:sz w:val="28"/>
          <w:szCs w:val="28"/>
          <w:highlight w:val="none"/>
        </w:rPr>
        <w:t>。</w:t>
      </w:r>
    </w:p>
    <w:p>
      <w:pPr>
        <w:adjustRightInd w:val="0"/>
        <w:snapToGrid w:val="0"/>
        <w:spacing w:line="560" w:lineRule="exact"/>
        <w:ind w:firstLine="560" w:firstLineChars="200"/>
        <w:rPr>
          <w:rFonts w:hint="eastAsia" w:eastAsia="仿宋_GB2312"/>
          <w:color w:val="auto"/>
          <w:sz w:val="28"/>
          <w:szCs w:val="28"/>
          <w:highlight w:val="none"/>
        </w:rPr>
      </w:pPr>
      <w:r>
        <w:rPr>
          <w:rFonts w:eastAsia="仿宋_GB2312"/>
          <w:color w:val="auto"/>
          <w:sz w:val="28"/>
          <w:szCs w:val="28"/>
          <w:highlight w:val="none"/>
        </w:rPr>
        <w:t>3.</w:t>
      </w:r>
      <w:r>
        <w:rPr>
          <w:rFonts w:hint="eastAsia" w:eastAsia="仿宋_GB2312"/>
          <w:color w:val="auto"/>
          <w:sz w:val="28"/>
          <w:szCs w:val="28"/>
          <w:highlight w:val="none"/>
        </w:rPr>
        <w:t>申请书封面的</w:t>
      </w:r>
      <w:r>
        <w:rPr>
          <w:rFonts w:eastAsia="仿宋_GB2312"/>
          <w:color w:val="auto"/>
          <w:sz w:val="28"/>
          <w:szCs w:val="28"/>
          <w:highlight w:val="none"/>
        </w:rPr>
        <w:t>“</w:t>
      </w:r>
      <w:r>
        <w:rPr>
          <w:rFonts w:hint="eastAsia" w:eastAsia="仿宋_GB2312"/>
          <w:color w:val="auto"/>
          <w:sz w:val="28"/>
          <w:szCs w:val="28"/>
          <w:highlight w:val="none"/>
        </w:rPr>
        <w:t>申请编号</w:t>
      </w:r>
      <w:r>
        <w:rPr>
          <w:rFonts w:eastAsia="仿宋_GB2312"/>
          <w:color w:val="auto"/>
          <w:sz w:val="28"/>
          <w:szCs w:val="28"/>
          <w:highlight w:val="none"/>
        </w:rPr>
        <w:t>”</w:t>
      </w:r>
      <w:r>
        <w:rPr>
          <w:rFonts w:hint="eastAsia" w:eastAsia="仿宋_GB2312"/>
          <w:color w:val="auto"/>
          <w:sz w:val="28"/>
          <w:szCs w:val="28"/>
          <w:highlight w:val="none"/>
        </w:rPr>
        <w:t>、</w:t>
      </w:r>
      <w:r>
        <w:rPr>
          <w:rFonts w:eastAsia="仿宋_GB2312"/>
          <w:color w:val="auto"/>
          <w:sz w:val="28"/>
          <w:szCs w:val="28"/>
          <w:highlight w:val="none"/>
        </w:rPr>
        <w:t>“</w:t>
      </w:r>
      <w:r>
        <w:rPr>
          <w:rFonts w:hint="eastAsia" w:eastAsia="仿宋_GB2312"/>
          <w:color w:val="auto"/>
          <w:sz w:val="28"/>
          <w:szCs w:val="28"/>
          <w:highlight w:val="none"/>
        </w:rPr>
        <w:t>申请日期</w:t>
      </w:r>
      <w:r>
        <w:rPr>
          <w:rFonts w:eastAsia="仿宋_GB2312"/>
          <w:color w:val="auto"/>
          <w:sz w:val="28"/>
          <w:szCs w:val="28"/>
          <w:highlight w:val="none"/>
        </w:rPr>
        <w:t>”</w:t>
      </w:r>
      <w:r>
        <w:rPr>
          <w:rFonts w:hint="eastAsia" w:eastAsia="仿宋_GB2312"/>
          <w:color w:val="auto"/>
          <w:sz w:val="28"/>
          <w:szCs w:val="28"/>
          <w:highlight w:val="none"/>
        </w:rPr>
        <w:t>、</w:t>
      </w:r>
      <w:r>
        <w:rPr>
          <w:rFonts w:eastAsia="仿宋_GB2312"/>
          <w:color w:val="auto"/>
          <w:sz w:val="28"/>
          <w:szCs w:val="28"/>
          <w:highlight w:val="none"/>
        </w:rPr>
        <w:t>“</w:t>
      </w:r>
      <w:r>
        <w:rPr>
          <w:rFonts w:hint="eastAsia" w:eastAsia="仿宋_GB2312"/>
          <w:color w:val="auto"/>
          <w:sz w:val="28"/>
          <w:szCs w:val="28"/>
          <w:highlight w:val="none"/>
        </w:rPr>
        <w:t>受理编号</w:t>
      </w:r>
      <w:r>
        <w:rPr>
          <w:rFonts w:eastAsia="仿宋_GB2312"/>
          <w:color w:val="auto"/>
          <w:sz w:val="28"/>
          <w:szCs w:val="28"/>
          <w:highlight w:val="none"/>
        </w:rPr>
        <w:t>”</w:t>
      </w:r>
      <w:r>
        <w:rPr>
          <w:rFonts w:hint="eastAsia" w:eastAsia="仿宋_GB2312"/>
          <w:color w:val="auto"/>
          <w:sz w:val="28"/>
          <w:szCs w:val="28"/>
          <w:highlight w:val="none"/>
        </w:rPr>
        <w:t>、</w:t>
      </w:r>
      <w:r>
        <w:rPr>
          <w:rFonts w:eastAsia="仿宋_GB2312"/>
          <w:color w:val="auto"/>
          <w:sz w:val="28"/>
          <w:szCs w:val="28"/>
          <w:highlight w:val="none"/>
        </w:rPr>
        <w:t>“</w:t>
      </w:r>
      <w:r>
        <w:rPr>
          <w:rFonts w:hint="eastAsia" w:eastAsia="仿宋_GB2312"/>
          <w:color w:val="auto"/>
          <w:sz w:val="28"/>
          <w:szCs w:val="28"/>
          <w:highlight w:val="none"/>
        </w:rPr>
        <w:t>受理日期</w:t>
      </w:r>
      <w:r>
        <w:rPr>
          <w:rFonts w:eastAsia="仿宋_GB2312"/>
          <w:color w:val="auto"/>
          <w:sz w:val="28"/>
          <w:szCs w:val="28"/>
          <w:highlight w:val="none"/>
        </w:rPr>
        <w:t>”</w:t>
      </w:r>
      <w:r>
        <w:rPr>
          <w:rFonts w:hint="eastAsia" w:eastAsia="仿宋_GB2312"/>
          <w:color w:val="auto"/>
          <w:sz w:val="28"/>
          <w:szCs w:val="28"/>
          <w:highlight w:val="none"/>
          <w:lang w:eastAsia="zh-CN"/>
        </w:rPr>
        <w:t>以及《</w:t>
      </w:r>
      <w:r>
        <w:rPr>
          <w:rFonts w:hint="eastAsia" w:eastAsia="仿宋_GB2312"/>
          <w:color w:val="auto"/>
          <w:sz w:val="28"/>
          <w:szCs w:val="28"/>
          <w:highlight w:val="none"/>
        </w:rPr>
        <w:t>烟花爆竹经营</w:t>
      </w:r>
      <w:r>
        <w:rPr>
          <w:rFonts w:hint="eastAsia" w:eastAsia="仿宋_GB2312"/>
          <w:color w:val="auto"/>
          <w:sz w:val="28"/>
          <w:szCs w:val="28"/>
          <w:highlight w:val="none"/>
          <w:lang w:eastAsia="zh-CN"/>
        </w:rPr>
        <w:t>（零售）</w:t>
      </w:r>
      <w:r>
        <w:rPr>
          <w:rFonts w:hint="eastAsia" w:eastAsia="仿宋_GB2312"/>
          <w:color w:val="auto"/>
          <w:sz w:val="28"/>
          <w:szCs w:val="28"/>
          <w:highlight w:val="none"/>
        </w:rPr>
        <w:t>许可证申请表</w:t>
      </w:r>
      <w:r>
        <w:rPr>
          <w:rFonts w:hint="eastAsia" w:eastAsia="仿宋_GB2312"/>
          <w:color w:val="auto"/>
          <w:sz w:val="28"/>
          <w:szCs w:val="28"/>
          <w:highlight w:val="none"/>
          <w:lang w:eastAsia="zh-CN"/>
        </w:rPr>
        <w:t>》中“审查意见”、“承办科室意见”、“发证机关意见”</w:t>
      </w:r>
      <w:r>
        <w:rPr>
          <w:rFonts w:hint="eastAsia" w:eastAsia="仿宋_GB2312"/>
          <w:color w:val="auto"/>
          <w:sz w:val="28"/>
          <w:szCs w:val="28"/>
          <w:highlight w:val="none"/>
        </w:rPr>
        <w:t>由许可证颁发管理机关填写</w:t>
      </w:r>
      <w:r>
        <w:rPr>
          <w:rFonts w:hint="eastAsia" w:eastAsia="仿宋_GB2312"/>
          <w:color w:val="auto"/>
          <w:sz w:val="28"/>
          <w:szCs w:val="28"/>
          <w:highlight w:val="none"/>
          <w:lang w:eastAsia="zh-CN"/>
        </w:rPr>
        <w:t>；其余内容由申请人填写。</w:t>
      </w:r>
    </w:p>
    <w:p>
      <w:pPr>
        <w:adjustRightInd w:val="0"/>
        <w:snapToGrid w:val="0"/>
        <w:spacing w:line="560" w:lineRule="exact"/>
        <w:ind w:firstLine="560" w:firstLineChars="200"/>
        <w:rPr>
          <w:rFonts w:eastAsia="仿宋_GB2312"/>
          <w:color w:val="auto"/>
          <w:sz w:val="28"/>
          <w:szCs w:val="28"/>
          <w:highlight w:val="none"/>
        </w:rPr>
      </w:pPr>
      <w:r>
        <w:rPr>
          <w:rFonts w:eastAsia="仿宋_GB2312"/>
          <w:color w:val="auto"/>
          <w:sz w:val="28"/>
          <w:szCs w:val="28"/>
          <w:highlight w:val="none"/>
        </w:rPr>
        <w:t>4.</w:t>
      </w:r>
      <w:r>
        <w:rPr>
          <w:rFonts w:hint="eastAsia" w:eastAsia="仿宋_GB2312"/>
          <w:color w:val="auto"/>
          <w:sz w:val="28"/>
          <w:szCs w:val="28"/>
          <w:highlight w:val="none"/>
        </w:rPr>
        <w:t>申请书中</w:t>
      </w:r>
      <w:r>
        <w:rPr>
          <w:rFonts w:eastAsia="仿宋_GB2312"/>
          <w:color w:val="auto"/>
          <w:sz w:val="28"/>
          <w:szCs w:val="28"/>
          <w:highlight w:val="none"/>
        </w:rPr>
        <w:t>“</w:t>
      </w:r>
      <w:r>
        <w:rPr>
          <w:rFonts w:hint="eastAsia" w:eastAsia="仿宋_GB2312"/>
          <w:color w:val="auto"/>
          <w:sz w:val="28"/>
          <w:szCs w:val="28"/>
          <w:highlight w:val="none"/>
        </w:rPr>
        <w:t>单位名称</w:t>
      </w:r>
      <w:r>
        <w:rPr>
          <w:rFonts w:eastAsia="仿宋_GB2312"/>
          <w:color w:val="auto"/>
          <w:sz w:val="28"/>
          <w:szCs w:val="28"/>
          <w:highlight w:val="none"/>
        </w:rPr>
        <w:t>”</w:t>
      </w:r>
      <w:r>
        <w:rPr>
          <w:rFonts w:hint="eastAsia" w:eastAsia="仿宋_GB2312"/>
          <w:color w:val="auto"/>
          <w:sz w:val="28"/>
          <w:szCs w:val="28"/>
          <w:highlight w:val="none"/>
        </w:rPr>
        <w:t>指申请烟花爆竹</w:t>
      </w:r>
      <w:r>
        <w:rPr>
          <w:rFonts w:hint="eastAsia" w:eastAsia="仿宋_GB2312"/>
          <w:color w:val="auto"/>
          <w:sz w:val="28"/>
          <w:szCs w:val="28"/>
          <w:highlight w:val="none"/>
          <w:lang w:eastAsia="zh-CN"/>
        </w:rPr>
        <w:t>经营（零售）</w:t>
      </w:r>
      <w:r>
        <w:rPr>
          <w:rFonts w:hint="eastAsia" w:eastAsia="仿宋_GB2312"/>
          <w:color w:val="auto"/>
          <w:sz w:val="28"/>
          <w:szCs w:val="28"/>
          <w:highlight w:val="none"/>
        </w:rPr>
        <w:t>许可证的单位在工商行政管理部门登记注册的单位名称；</w:t>
      </w:r>
      <w:r>
        <w:rPr>
          <w:rFonts w:eastAsia="仿宋_GB2312"/>
          <w:color w:val="auto"/>
          <w:sz w:val="28"/>
          <w:szCs w:val="28"/>
          <w:highlight w:val="none"/>
        </w:rPr>
        <w:t>“</w:t>
      </w:r>
      <w:r>
        <w:rPr>
          <w:rFonts w:hint="eastAsia" w:eastAsia="仿宋_GB2312"/>
          <w:color w:val="auto"/>
          <w:sz w:val="28"/>
          <w:szCs w:val="28"/>
          <w:highlight w:val="none"/>
        </w:rPr>
        <w:t>经办人</w:t>
      </w:r>
      <w:r>
        <w:rPr>
          <w:rFonts w:eastAsia="仿宋_GB2312"/>
          <w:color w:val="auto"/>
          <w:sz w:val="28"/>
          <w:szCs w:val="28"/>
          <w:highlight w:val="none"/>
        </w:rPr>
        <w:t>”</w:t>
      </w:r>
      <w:r>
        <w:rPr>
          <w:rFonts w:hint="eastAsia" w:eastAsia="仿宋_GB2312"/>
          <w:color w:val="auto"/>
          <w:sz w:val="28"/>
          <w:szCs w:val="28"/>
          <w:highlight w:val="none"/>
        </w:rPr>
        <w:t>是指申请单位指定的办理申请事宜的人员；</w:t>
      </w:r>
      <w:r>
        <w:rPr>
          <w:rFonts w:eastAsia="仿宋_GB2312"/>
          <w:color w:val="auto"/>
          <w:sz w:val="28"/>
          <w:szCs w:val="28"/>
          <w:highlight w:val="none"/>
        </w:rPr>
        <w:t>“</w:t>
      </w:r>
      <w:r>
        <w:rPr>
          <w:rFonts w:hint="eastAsia" w:eastAsia="仿宋_GB2312"/>
          <w:color w:val="auto"/>
          <w:sz w:val="28"/>
          <w:szCs w:val="28"/>
          <w:highlight w:val="none"/>
        </w:rPr>
        <w:t>联系电话</w:t>
      </w:r>
      <w:r>
        <w:rPr>
          <w:rFonts w:eastAsia="仿宋_GB2312"/>
          <w:color w:val="auto"/>
          <w:sz w:val="28"/>
          <w:szCs w:val="28"/>
          <w:highlight w:val="none"/>
        </w:rPr>
        <w:t>”</w:t>
      </w:r>
      <w:r>
        <w:rPr>
          <w:rFonts w:hint="eastAsia" w:eastAsia="仿宋_GB2312"/>
          <w:color w:val="auto"/>
          <w:sz w:val="28"/>
          <w:szCs w:val="28"/>
          <w:highlight w:val="none"/>
        </w:rPr>
        <w:t>是指经办人的电话。</w:t>
      </w:r>
    </w:p>
    <w:p>
      <w:pPr>
        <w:adjustRightInd w:val="0"/>
        <w:snapToGrid w:val="0"/>
        <w:spacing w:line="560" w:lineRule="exact"/>
        <w:ind w:firstLine="560" w:firstLineChars="200"/>
        <w:rPr>
          <w:rFonts w:eastAsia="仿宋_GB2312"/>
          <w:color w:val="auto"/>
          <w:sz w:val="28"/>
          <w:szCs w:val="28"/>
          <w:highlight w:val="none"/>
        </w:rPr>
      </w:pPr>
      <w:r>
        <w:rPr>
          <w:rFonts w:eastAsia="仿宋_GB2312"/>
          <w:color w:val="auto"/>
          <w:sz w:val="28"/>
          <w:szCs w:val="28"/>
          <w:highlight w:val="none"/>
        </w:rPr>
        <w:t>5.</w:t>
      </w:r>
      <w:r>
        <w:rPr>
          <w:rFonts w:hint="eastAsia" w:eastAsia="仿宋_GB2312"/>
          <w:color w:val="auto"/>
          <w:sz w:val="28"/>
          <w:szCs w:val="28"/>
          <w:highlight w:val="none"/>
        </w:rPr>
        <w:t>申请书封面</w:t>
      </w:r>
      <w:r>
        <w:rPr>
          <w:rFonts w:eastAsia="仿宋_GB2312"/>
          <w:color w:val="auto"/>
          <w:sz w:val="28"/>
          <w:szCs w:val="28"/>
          <w:highlight w:val="none"/>
        </w:rPr>
        <w:t>“</w:t>
      </w:r>
      <w:r>
        <w:rPr>
          <w:rFonts w:hint="eastAsia" w:eastAsia="仿宋_GB2312"/>
          <w:color w:val="auto"/>
          <w:sz w:val="28"/>
          <w:szCs w:val="28"/>
          <w:highlight w:val="none"/>
        </w:rPr>
        <w:t>单位名称</w:t>
      </w:r>
      <w:r>
        <w:rPr>
          <w:rFonts w:eastAsia="仿宋_GB2312"/>
          <w:color w:val="auto"/>
          <w:sz w:val="28"/>
          <w:szCs w:val="28"/>
          <w:highlight w:val="none"/>
        </w:rPr>
        <w:t>”</w:t>
      </w:r>
      <w:r>
        <w:rPr>
          <w:rFonts w:hint="eastAsia" w:eastAsia="仿宋_GB2312"/>
          <w:color w:val="auto"/>
          <w:sz w:val="28"/>
          <w:szCs w:val="28"/>
          <w:highlight w:val="none"/>
        </w:rPr>
        <w:t>处应盖申请单位公章。</w:t>
      </w:r>
    </w:p>
    <w:p>
      <w:pPr>
        <w:adjustRightInd w:val="0"/>
        <w:snapToGrid w:val="0"/>
        <w:spacing w:line="560" w:lineRule="exact"/>
        <w:ind w:firstLine="560" w:firstLineChars="200"/>
        <w:rPr>
          <w:rFonts w:eastAsia="仿宋_GB2312"/>
          <w:color w:val="auto"/>
          <w:sz w:val="28"/>
          <w:szCs w:val="28"/>
          <w:highlight w:val="none"/>
        </w:rPr>
      </w:pPr>
      <w:r>
        <w:rPr>
          <w:rFonts w:eastAsia="仿宋_GB2312"/>
          <w:color w:val="auto"/>
          <w:sz w:val="28"/>
          <w:szCs w:val="28"/>
          <w:highlight w:val="none"/>
        </w:rPr>
        <w:t>6.</w:t>
      </w:r>
      <w:r>
        <w:rPr>
          <w:rFonts w:hint="eastAsia" w:eastAsia="仿宋_GB2312"/>
          <w:color w:val="auto"/>
          <w:sz w:val="28"/>
          <w:szCs w:val="28"/>
          <w:highlight w:val="none"/>
        </w:rPr>
        <w:t>申请书表格中申请书与营业执照所载的事项相同的，按营业执照登记的内容填写。</w:t>
      </w:r>
    </w:p>
    <w:p>
      <w:pPr>
        <w:adjustRightInd w:val="0"/>
        <w:snapToGrid w:val="0"/>
        <w:spacing w:line="560" w:lineRule="exact"/>
        <w:ind w:firstLine="560" w:firstLineChars="200"/>
        <w:rPr>
          <w:rFonts w:eastAsia="仿宋_GB2312"/>
          <w:color w:val="auto"/>
          <w:sz w:val="28"/>
          <w:szCs w:val="28"/>
          <w:highlight w:val="none"/>
        </w:rPr>
      </w:pPr>
      <w:r>
        <w:rPr>
          <w:rFonts w:eastAsia="仿宋_GB2312"/>
          <w:color w:val="auto"/>
          <w:sz w:val="28"/>
          <w:szCs w:val="28"/>
          <w:highlight w:val="none"/>
        </w:rPr>
        <w:t>“</w:t>
      </w:r>
      <w:r>
        <w:rPr>
          <w:rFonts w:hint="eastAsia" w:eastAsia="仿宋_GB2312"/>
          <w:color w:val="auto"/>
          <w:sz w:val="28"/>
          <w:szCs w:val="28"/>
          <w:highlight w:val="none"/>
        </w:rPr>
        <w:t>登记机关</w:t>
      </w:r>
      <w:r>
        <w:rPr>
          <w:rFonts w:eastAsia="仿宋_GB2312"/>
          <w:color w:val="auto"/>
          <w:sz w:val="28"/>
          <w:szCs w:val="28"/>
          <w:highlight w:val="none"/>
        </w:rPr>
        <w:t>”</w:t>
      </w:r>
      <w:r>
        <w:rPr>
          <w:rFonts w:hint="eastAsia" w:eastAsia="仿宋_GB2312"/>
          <w:color w:val="auto"/>
          <w:sz w:val="28"/>
          <w:szCs w:val="28"/>
          <w:highlight w:val="none"/>
        </w:rPr>
        <w:t>是指颁发营业执照的工商行政管理部门的全称。</w:t>
      </w:r>
    </w:p>
    <w:p>
      <w:pPr>
        <w:autoSpaceDE w:val="0"/>
        <w:autoSpaceDN w:val="0"/>
        <w:adjustRightInd w:val="0"/>
        <w:spacing w:line="500" w:lineRule="exact"/>
        <w:ind w:firstLine="560" w:firstLineChars="200"/>
        <w:jc w:val="left"/>
        <w:rPr>
          <w:rFonts w:hint="eastAsia" w:ascii="仿宋_GB2312" w:hAnsi="宋体" w:eastAsia="仿宋_GB2312"/>
          <w:color w:val="auto"/>
          <w:kern w:val="0"/>
          <w:sz w:val="28"/>
          <w:szCs w:val="28"/>
          <w:highlight w:val="none"/>
        </w:rPr>
      </w:pPr>
      <w:r>
        <w:rPr>
          <w:rFonts w:hint="eastAsia" w:ascii="仿宋_GB2312" w:hAnsi="宋体" w:eastAsia="仿宋_GB2312"/>
          <w:color w:val="000000"/>
          <w:kern w:val="0"/>
          <w:sz w:val="28"/>
          <w:szCs w:val="28"/>
          <w:highlight w:val="none"/>
        </w:rPr>
        <w:t>本表中的“</w:t>
      </w:r>
      <w:r>
        <w:rPr>
          <w:rFonts w:hint="eastAsia" w:ascii="仿宋_GB2312" w:hAnsi="宋体" w:eastAsia="仿宋_GB2312"/>
          <w:color w:val="000000"/>
          <w:kern w:val="0"/>
          <w:sz w:val="28"/>
          <w:szCs w:val="28"/>
          <w:highlight w:val="none"/>
          <w:lang w:eastAsia="zh-CN"/>
        </w:rPr>
        <w:t>经济</w:t>
      </w:r>
      <w:r>
        <w:rPr>
          <w:rFonts w:hint="eastAsia" w:ascii="仿宋_GB2312" w:hAnsi="宋体" w:eastAsia="仿宋_GB2312"/>
          <w:color w:val="000000"/>
          <w:kern w:val="0"/>
          <w:sz w:val="28"/>
          <w:szCs w:val="28"/>
          <w:highlight w:val="none"/>
        </w:rPr>
        <w:t>类型”，按照国家统计局</w:t>
      </w:r>
      <w:r>
        <w:rPr>
          <w:rFonts w:hint="eastAsia" w:ascii="仿宋_GB2312" w:hAnsi="宋体" w:eastAsia="仿宋_GB2312"/>
          <w:color w:val="000000"/>
          <w:kern w:val="0"/>
          <w:sz w:val="28"/>
          <w:szCs w:val="28"/>
          <w:highlight w:val="none"/>
          <w:lang w:eastAsia="zh-CN"/>
        </w:rPr>
        <w:t>、</w:t>
      </w:r>
      <w:r>
        <w:rPr>
          <w:rFonts w:hint="eastAsia" w:ascii="仿宋_GB2312" w:hAnsi="宋体" w:eastAsia="仿宋_GB2312"/>
          <w:color w:val="000000"/>
          <w:kern w:val="0"/>
          <w:sz w:val="28"/>
          <w:szCs w:val="28"/>
          <w:highlight w:val="none"/>
        </w:rPr>
        <w:t>国家工商行政管理总局</w:t>
      </w:r>
      <w:r>
        <w:rPr>
          <w:rFonts w:hint="eastAsia" w:ascii="仿宋_GB2312" w:hAnsi="宋体" w:eastAsia="仿宋_GB2312"/>
          <w:color w:val="000000"/>
          <w:kern w:val="0"/>
          <w:sz w:val="28"/>
          <w:szCs w:val="28"/>
          <w:highlight w:val="none"/>
          <w:lang w:eastAsia="zh-CN"/>
        </w:rPr>
        <w:t>《</w:t>
      </w:r>
      <w:r>
        <w:rPr>
          <w:rFonts w:hint="eastAsia" w:ascii="仿宋_GB2312" w:hAnsi="宋体" w:eastAsia="仿宋_GB2312"/>
          <w:color w:val="000000"/>
          <w:kern w:val="0"/>
          <w:sz w:val="28"/>
          <w:szCs w:val="28"/>
          <w:highlight w:val="none"/>
        </w:rPr>
        <w:t>国家统计局 国家工商总局关于划分企业登记注册类型的规定调</w:t>
      </w:r>
      <w:r>
        <w:rPr>
          <w:rFonts w:hint="eastAsia" w:ascii="仿宋_GB2312" w:hAnsi="宋体" w:eastAsia="仿宋_GB2312"/>
          <w:color w:val="auto"/>
          <w:kern w:val="0"/>
          <w:sz w:val="28"/>
          <w:szCs w:val="28"/>
          <w:highlight w:val="none"/>
        </w:rPr>
        <w:t>整的通知</w:t>
      </w:r>
      <w:r>
        <w:rPr>
          <w:rFonts w:hint="eastAsia" w:ascii="仿宋_GB2312" w:hAnsi="宋体" w:eastAsia="仿宋_GB2312"/>
          <w:color w:val="auto"/>
          <w:kern w:val="0"/>
          <w:sz w:val="28"/>
          <w:szCs w:val="28"/>
          <w:highlight w:val="none"/>
          <w:lang w:eastAsia="zh-CN"/>
        </w:rPr>
        <w:t>》（</w:t>
      </w:r>
      <w:r>
        <w:rPr>
          <w:rFonts w:hint="eastAsia" w:ascii="仿宋_GB2312" w:hAnsi="宋体" w:eastAsia="仿宋_GB2312"/>
          <w:color w:val="auto"/>
          <w:kern w:val="0"/>
          <w:sz w:val="28"/>
          <w:szCs w:val="28"/>
          <w:highlight w:val="none"/>
        </w:rPr>
        <w:t>国统字〔2011〕86号</w:t>
      </w:r>
      <w:r>
        <w:rPr>
          <w:rFonts w:hint="eastAsia" w:ascii="仿宋_GB2312" w:hAnsi="宋体" w:eastAsia="仿宋_GB2312"/>
          <w:color w:val="auto"/>
          <w:kern w:val="0"/>
          <w:sz w:val="28"/>
          <w:szCs w:val="28"/>
          <w:highlight w:val="none"/>
          <w:lang w:eastAsia="zh-CN"/>
        </w:rPr>
        <w:t>）</w:t>
      </w:r>
      <w:r>
        <w:rPr>
          <w:rFonts w:hint="eastAsia" w:ascii="仿宋_GB2312" w:hAnsi="宋体" w:eastAsia="仿宋_GB2312"/>
          <w:color w:val="auto"/>
          <w:kern w:val="0"/>
          <w:sz w:val="28"/>
          <w:szCs w:val="28"/>
          <w:highlight w:val="none"/>
        </w:rPr>
        <w:t>划分的企业类型填写。</w:t>
      </w:r>
    </w:p>
    <w:p>
      <w:pPr>
        <w:adjustRightInd w:val="0"/>
        <w:snapToGrid w:val="0"/>
        <w:spacing w:line="560" w:lineRule="exact"/>
        <w:ind w:firstLine="560" w:firstLineChars="200"/>
        <w:rPr>
          <w:rFonts w:eastAsia="仿宋_GB2312"/>
          <w:color w:val="auto"/>
          <w:sz w:val="28"/>
          <w:szCs w:val="28"/>
          <w:highlight w:val="none"/>
        </w:rPr>
      </w:pPr>
      <w:r>
        <w:rPr>
          <w:rFonts w:eastAsia="仿宋_GB2312"/>
          <w:color w:val="auto"/>
          <w:sz w:val="28"/>
          <w:szCs w:val="28"/>
          <w:highlight w:val="none"/>
        </w:rPr>
        <w:t>“</w:t>
      </w:r>
      <w:r>
        <w:rPr>
          <w:rFonts w:hint="eastAsia" w:eastAsia="仿宋_GB2312"/>
          <w:color w:val="auto"/>
          <w:sz w:val="28"/>
          <w:szCs w:val="28"/>
          <w:highlight w:val="none"/>
        </w:rPr>
        <w:t>申请经营</w:t>
      </w:r>
      <w:r>
        <w:rPr>
          <w:rFonts w:hint="eastAsia" w:eastAsia="仿宋_GB2312"/>
          <w:color w:val="auto"/>
          <w:sz w:val="28"/>
          <w:szCs w:val="28"/>
          <w:highlight w:val="none"/>
          <w:lang w:eastAsia="zh-CN"/>
        </w:rPr>
        <w:t>类别</w:t>
      </w:r>
      <w:r>
        <w:rPr>
          <w:rFonts w:eastAsia="仿宋_GB2312"/>
          <w:color w:val="auto"/>
          <w:sz w:val="28"/>
          <w:szCs w:val="28"/>
          <w:highlight w:val="none"/>
        </w:rPr>
        <w:t>”</w:t>
      </w:r>
      <w:r>
        <w:rPr>
          <w:rFonts w:hint="eastAsia" w:eastAsia="仿宋_GB2312"/>
          <w:color w:val="auto"/>
          <w:sz w:val="28"/>
          <w:szCs w:val="28"/>
          <w:highlight w:val="none"/>
          <w:lang w:eastAsia="zh-CN"/>
        </w:rPr>
        <w:t>、“经营场所所有权”、“自查情况”等选择项，</w:t>
      </w:r>
      <w:r>
        <w:rPr>
          <w:rFonts w:hint="eastAsia" w:eastAsia="仿宋_GB2312"/>
          <w:color w:val="auto"/>
          <w:sz w:val="28"/>
          <w:szCs w:val="28"/>
          <w:highlight w:val="none"/>
        </w:rPr>
        <w:t>在选择项后的</w:t>
      </w:r>
      <w:r>
        <w:rPr>
          <w:rFonts w:eastAsia="仿宋_GB2312"/>
          <w:color w:val="auto"/>
          <w:sz w:val="28"/>
          <w:szCs w:val="28"/>
          <w:highlight w:val="none"/>
        </w:rPr>
        <w:t>[   ]</w:t>
      </w:r>
      <w:r>
        <w:rPr>
          <w:rFonts w:hint="eastAsia" w:eastAsia="仿宋_GB2312"/>
          <w:color w:val="auto"/>
          <w:sz w:val="28"/>
          <w:szCs w:val="28"/>
          <w:highlight w:val="none"/>
        </w:rPr>
        <w:t>内划</w:t>
      </w:r>
      <w:r>
        <w:rPr>
          <w:rFonts w:eastAsia="仿宋_GB2312"/>
          <w:color w:val="auto"/>
          <w:sz w:val="28"/>
          <w:szCs w:val="28"/>
          <w:highlight w:val="none"/>
        </w:rPr>
        <w:t>“√”</w:t>
      </w:r>
      <w:r>
        <w:rPr>
          <w:rFonts w:hint="eastAsia" w:eastAsia="仿宋_GB2312"/>
          <w:color w:val="auto"/>
          <w:sz w:val="28"/>
          <w:szCs w:val="28"/>
          <w:highlight w:val="none"/>
        </w:rPr>
        <w:t>。</w:t>
      </w:r>
    </w:p>
    <w:p>
      <w:pPr>
        <w:jc w:val="center"/>
        <w:rPr>
          <w:rFonts w:ascii="宋体" w:hAnsi="宋体"/>
          <w:b/>
          <w:bCs/>
          <w:color w:val="auto"/>
          <w:sz w:val="36"/>
          <w:highlight w:val="none"/>
        </w:rPr>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pPr>
    </w:p>
    <w:p>
      <w:pPr>
        <w:jc w:val="center"/>
        <w:rPr>
          <w:rFonts w:hint="eastAsia" w:ascii="宋体" w:hAnsi="宋体"/>
          <w:b/>
          <w:color w:val="auto"/>
          <w:sz w:val="36"/>
          <w:highlight w:val="none"/>
        </w:rPr>
      </w:pPr>
      <w:r>
        <w:rPr>
          <w:rFonts w:hint="eastAsia" w:ascii="宋体" w:hAnsi="宋体"/>
          <w:b/>
          <w:bCs/>
          <w:color w:val="auto"/>
          <w:sz w:val="36"/>
          <w:highlight w:val="none"/>
        </w:rPr>
        <w:t>烟花爆竹经营</w:t>
      </w:r>
      <w:r>
        <w:rPr>
          <w:rFonts w:hint="eastAsia" w:ascii="宋体" w:hAnsi="宋体"/>
          <w:b/>
          <w:bCs/>
          <w:color w:val="auto"/>
          <w:sz w:val="36"/>
          <w:highlight w:val="none"/>
          <w:lang w:eastAsia="zh-CN"/>
        </w:rPr>
        <w:t>（零售）</w:t>
      </w:r>
      <w:r>
        <w:rPr>
          <w:rFonts w:hint="eastAsia" w:ascii="宋体" w:hAnsi="宋体"/>
          <w:b/>
          <w:color w:val="auto"/>
          <w:sz w:val="36"/>
          <w:highlight w:val="none"/>
        </w:rPr>
        <w:t>许可证申请表</w:t>
      </w:r>
    </w:p>
    <w:tbl>
      <w:tblPr>
        <w:tblStyle w:val="5"/>
        <w:tblW w:w="9900" w:type="dxa"/>
        <w:tblInd w:w="-3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64"/>
        <w:gridCol w:w="1977"/>
        <w:gridCol w:w="1095"/>
        <w:gridCol w:w="2349"/>
        <w:gridCol w:w="1215"/>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trPr>
        <w:tc>
          <w:tcPr>
            <w:tcW w:w="1764" w:type="dxa"/>
            <w:vMerge w:val="restart"/>
            <w:tcBorders>
              <w:top w:val="single" w:color="auto" w:sz="4" w:space="0"/>
              <w:left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4"/>
                <w:highlight w:val="none"/>
              </w:rPr>
              <w:t>单 位 名 称</w:t>
            </w:r>
          </w:p>
        </w:tc>
        <w:tc>
          <w:tcPr>
            <w:tcW w:w="3072"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b/>
                <w:bCs/>
                <w:color w:val="auto"/>
                <w:sz w:val="24"/>
                <w:highlight w:val="none"/>
              </w:rPr>
            </w:pPr>
          </w:p>
        </w:tc>
        <w:tc>
          <w:tcPr>
            <w:tcW w:w="23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olor w:val="auto"/>
                <w:sz w:val="22"/>
                <w:szCs w:val="22"/>
                <w:highlight w:val="none"/>
                <w:lang w:val="en-US" w:eastAsia="zh-CN"/>
              </w:rPr>
            </w:pPr>
            <w:r>
              <w:rPr>
                <w:rFonts w:hint="eastAsia"/>
                <w:b w:val="0"/>
                <w:bCs w:val="0"/>
                <w:color w:val="auto"/>
                <w:sz w:val="22"/>
                <w:szCs w:val="22"/>
                <w:highlight w:val="none"/>
                <w:lang w:val="en-US" w:eastAsia="zh-CN"/>
              </w:rPr>
              <w:t>主要</w:t>
            </w:r>
            <w:r>
              <w:rPr>
                <w:rFonts w:hint="eastAsia"/>
                <w:b w:val="0"/>
                <w:bCs w:val="0"/>
                <w:color w:val="auto"/>
                <w:sz w:val="22"/>
                <w:szCs w:val="22"/>
                <w:highlight w:val="none"/>
              </w:rPr>
              <w:t>负责人</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auto"/>
                <w:sz w:val="24"/>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trPr>
        <w:tc>
          <w:tcPr>
            <w:tcW w:w="1764" w:type="dxa"/>
            <w:vMerge w:val="continue"/>
            <w:tcBorders>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p>
        </w:tc>
        <w:tc>
          <w:tcPr>
            <w:tcW w:w="3072" w:type="dxa"/>
            <w:gridSpan w:val="2"/>
            <w:vMerge w:val="continue"/>
            <w:tcBorders>
              <w:left w:val="single" w:color="auto" w:sz="4" w:space="0"/>
              <w:bottom w:val="single" w:color="auto" w:sz="4" w:space="0"/>
              <w:right w:val="single" w:color="auto" w:sz="4" w:space="0"/>
            </w:tcBorders>
            <w:noWrap w:val="0"/>
            <w:vAlign w:val="center"/>
          </w:tcPr>
          <w:p>
            <w:pPr>
              <w:jc w:val="center"/>
              <w:rPr>
                <w:rFonts w:hint="eastAsia"/>
                <w:b/>
                <w:bCs/>
                <w:color w:val="auto"/>
                <w:sz w:val="24"/>
                <w:highlight w:val="none"/>
              </w:rPr>
            </w:pPr>
          </w:p>
        </w:tc>
        <w:tc>
          <w:tcPr>
            <w:tcW w:w="23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auto"/>
                <w:sz w:val="22"/>
                <w:szCs w:val="22"/>
                <w:highlight w:val="none"/>
                <w:lang w:val="en-US" w:eastAsia="zh-CN"/>
              </w:rPr>
            </w:pPr>
            <w:r>
              <w:rPr>
                <w:rFonts w:hint="eastAsia"/>
                <w:b w:val="0"/>
                <w:bCs w:val="0"/>
                <w:color w:val="auto"/>
                <w:sz w:val="22"/>
                <w:szCs w:val="22"/>
                <w:highlight w:val="none"/>
                <w:lang w:val="en-US" w:eastAsia="zh-CN"/>
              </w:rPr>
              <w:t>主要</w:t>
            </w:r>
            <w:r>
              <w:rPr>
                <w:rFonts w:hint="eastAsia"/>
                <w:b w:val="0"/>
                <w:bCs w:val="0"/>
                <w:color w:val="auto"/>
                <w:sz w:val="22"/>
                <w:szCs w:val="22"/>
                <w:highlight w:val="none"/>
              </w:rPr>
              <w:t>负责人</w:t>
            </w:r>
            <w:r>
              <w:rPr>
                <w:rFonts w:hint="eastAsia"/>
                <w:b w:val="0"/>
                <w:bCs w:val="0"/>
                <w:color w:val="auto"/>
                <w:sz w:val="22"/>
                <w:szCs w:val="22"/>
                <w:highlight w:val="none"/>
                <w:lang w:val="en-US" w:eastAsia="zh-CN"/>
              </w:rPr>
              <w:t>电话</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b/>
                <w:bCs/>
                <w:color w:val="auto"/>
                <w:sz w:val="24"/>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trPr>
        <w:tc>
          <w:tcPr>
            <w:tcW w:w="17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4"/>
                <w:highlight w:val="none"/>
              </w:rPr>
              <w:t>注 册 地 址</w:t>
            </w:r>
          </w:p>
        </w:tc>
        <w:tc>
          <w:tcPr>
            <w:tcW w:w="307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color w:val="auto"/>
                <w:sz w:val="24"/>
                <w:highlight w:val="none"/>
                <w:lang w:val="en-US" w:eastAsia="zh-CN"/>
              </w:rPr>
            </w:pPr>
          </w:p>
        </w:tc>
        <w:tc>
          <w:tcPr>
            <w:tcW w:w="23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2"/>
                <w:szCs w:val="22"/>
                <w:highlight w:val="none"/>
              </w:rPr>
            </w:pPr>
            <w:r>
              <w:rPr>
                <w:rFonts w:hint="eastAsia"/>
                <w:b w:val="0"/>
                <w:bCs w:val="0"/>
                <w:color w:val="auto"/>
                <w:sz w:val="20"/>
                <w:szCs w:val="20"/>
                <w:highlight w:val="none"/>
                <w:lang w:val="en-US" w:eastAsia="zh-CN"/>
              </w:rPr>
              <w:t>主要</w:t>
            </w:r>
            <w:r>
              <w:rPr>
                <w:rFonts w:hint="eastAsia"/>
                <w:b w:val="0"/>
                <w:bCs w:val="0"/>
                <w:color w:val="auto"/>
                <w:sz w:val="20"/>
                <w:szCs w:val="20"/>
                <w:highlight w:val="none"/>
              </w:rPr>
              <w:t>负责人</w:t>
            </w:r>
            <w:r>
              <w:rPr>
                <w:rFonts w:hint="eastAsia"/>
                <w:b w:val="0"/>
                <w:bCs w:val="0"/>
                <w:color w:val="auto"/>
                <w:sz w:val="20"/>
                <w:szCs w:val="20"/>
                <w:highlight w:val="none"/>
                <w:lang w:val="en-US" w:eastAsia="zh-CN"/>
              </w:rPr>
              <w:t>身份证号码</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trPr>
        <w:tc>
          <w:tcPr>
            <w:tcW w:w="1764" w:type="dxa"/>
            <w:vMerge w:val="restart"/>
            <w:tcBorders>
              <w:top w:val="single" w:color="auto" w:sz="4" w:space="0"/>
              <w:left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4"/>
                <w:highlight w:val="none"/>
              </w:rPr>
              <w:t>经 济 类 型</w:t>
            </w:r>
          </w:p>
        </w:tc>
        <w:tc>
          <w:tcPr>
            <w:tcW w:w="3072" w:type="dxa"/>
            <w:gridSpan w:val="2"/>
            <w:vMerge w:val="restart"/>
            <w:tcBorders>
              <w:top w:val="single" w:color="auto" w:sz="4" w:space="0"/>
              <w:left w:val="single" w:color="auto" w:sz="4" w:space="0"/>
              <w:right w:val="single" w:color="auto" w:sz="4" w:space="0"/>
            </w:tcBorders>
            <w:noWrap w:val="0"/>
            <w:vAlign w:val="center"/>
          </w:tcPr>
          <w:p>
            <w:pPr>
              <w:jc w:val="center"/>
              <w:rPr>
                <w:rFonts w:hint="default" w:eastAsia="宋体"/>
                <w:color w:val="auto"/>
                <w:sz w:val="24"/>
                <w:highlight w:val="none"/>
                <w:lang w:val="en-US" w:eastAsia="zh-CN"/>
              </w:rPr>
            </w:pPr>
          </w:p>
        </w:tc>
        <w:tc>
          <w:tcPr>
            <w:tcW w:w="23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2"/>
                <w:szCs w:val="22"/>
                <w:highlight w:val="none"/>
              </w:rPr>
            </w:pPr>
            <w:r>
              <w:rPr>
                <w:rFonts w:hint="eastAsia"/>
                <w:color w:val="auto"/>
                <w:sz w:val="22"/>
                <w:szCs w:val="22"/>
                <w:highlight w:val="none"/>
                <w:lang w:val="en-US" w:eastAsia="zh-CN"/>
              </w:rPr>
              <w:t>销售人员</w:t>
            </w:r>
            <w:r>
              <w:rPr>
                <w:rFonts w:hint="eastAsia"/>
                <w:b w:val="0"/>
                <w:bCs w:val="0"/>
                <w:color w:val="auto"/>
                <w:sz w:val="22"/>
                <w:szCs w:val="22"/>
                <w:highlight w:val="none"/>
                <w:lang w:val="en-US" w:eastAsia="zh-CN"/>
              </w:rPr>
              <w:t>姓名</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auto"/>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trPr>
        <w:tc>
          <w:tcPr>
            <w:tcW w:w="1764" w:type="dxa"/>
            <w:vMerge w:val="continue"/>
            <w:tcBorders>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p>
        </w:tc>
        <w:tc>
          <w:tcPr>
            <w:tcW w:w="3072" w:type="dxa"/>
            <w:gridSpan w:val="2"/>
            <w:vMerge w:val="continue"/>
            <w:tcBorders>
              <w:left w:val="single" w:color="auto" w:sz="4" w:space="0"/>
              <w:bottom w:val="single" w:color="auto" w:sz="4" w:space="0"/>
              <w:right w:val="single" w:color="auto" w:sz="4" w:space="0"/>
            </w:tcBorders>
            <w:noWrap w:val="0"/>
            <w:vAlign w:val="center"/>
          </w:tcPr>
          <w:p>
            <w:pPr>
              <w:jc w:val="center"/>
              <w:rPr>
                <w:rFonts w:hint="eastAsia"/>
                <w:color w:val="auto"/>
                <w:sz w:val="24"/>
                <w:highlight w:val="none"/>
                <w:lang w:eastAsia="zh-CN"/>
              </w:rPr>
            </w:pPr>
          </w:p>
        </w:tc>
        <w:tc>
          <w:tcPr>
            <w:tcW w:w="23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2"/>
                <w:szCs w:val="22"/>
                <w:highlight w:val="none"/>
              </w:rPr>
            </w:pPr>
            <w:r>
              <w:rPr>
                <w:rFonts w:hint="eastAsia"/>
                <w:color w:val="auto"/>
                <w:sz w:val="22"/>
                <w:szCs w:val="22"/>
                <w:highlight w:val="none"/>
                <w:lang w:val="en-US" w:eastAsia="zh-CN"/>
              </w:rPr>
              <w:t>销售人员</w:t>
            </w:r>
            <w:r>
              <w:rPr>
                <w:rFonts w:hint="eastAsia"/>
                <w:b w:val="0"/>
                <w:bCs w:val="0"/>
                <w:color w:val="auto"/>
                <w:sz w:val="22"/>
                <w:szCs w:val="22"/>
                <w:highlight w:val="none"/>
                <w:lang w:val="en-US" w:eastAsia="zh-CN"/>
              </w:rPr>
              <w:t>电话</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auto"/>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7" w:hRule="atLeast"/>
        </w:trPr>
        <w:tc>
          <w:tcPr>
            <w:tcW w:w="17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2"/>
                <w:szCs w:val="22"/>
                <w:highlight w:val="none"/>
                <w:lang w:val="en-US" w:eastAsia="zh-CN"/>
              </w:rPr>
              <w:t>统一社会代码</w:t>
            </w:r>
          </w:p>
        </w:tc>
        <w:tc>
          <w:tcPr>
            <w:tcW w:w="307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p>
        </w:tc>
        <w:tc>
          <w:tcPr>
            <w:tcW w:w="23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auto"/>
                <w:sz w:val="22"/>
                <w:szCs w:val="22"/>
                <w:highlight w:val="none"/>
                <w:lang w:val="en-US" w:eastAsia="zh-CN"/>
              </w:rPr>
            </w:pPr>
            <w:r>
              <w:rPr>
                <w:rFonts w:hint="eastAsia"/>
                <w:color w:val="auto"/>
                <w:sz w:val="20"/>
                <w:szCs w:val="20"/>
                <w:highlight w:val="none"/>
                <w:lang w:val="en-US" w:eastAsia="zh-CN"/>
              </w:rPr>
              <w:t>销售人员</w:t>
            </w:r>
            <w:r>
              <w:rPr>
                <w:rFonts w:hint="eastAsia"/>
                <w:b w:val="0"/>
                <w:bCs w:val="0"/>
                <w:color w:val="auto"/>
                <w:sz w:val="20"/>
                <w:szCs w:val="20"/>
                <w:highlight w:val="none"/>
                <w:lang w:val="en-US" w:eastAsia="zh-CN"/>
              </w:rPr>
              <w:t>身份证号码</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7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4"/>
                <w:highlight w:val="none"/>
              </w:rPr>
              <w:t>登 记 机 关</w:t>
            </w:r>
          </w:p>
        </w:tc>
        <w:tc>
          <w:tcPr>
            <w:tcW w:w="307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color w:val="auto"/>
                <w:sz w:val="24"/>
                <w:highlight w:val="none"/>
                <w:lang w:val="en-US" w:eastAsia="zh-CN"/>
              </w:rPr>
            </w:pPr>
            <w:r>
              <w:rPr>
                <w:rFonts w:hint="eastAsia"/>
                <w:color w:val="auto"/>
                <w:sz w:val="24"/>
                <w:highlight w:val="none"/>
                <w:lang w:val="en-US" w:eastAsia="zh-CN"/>
              </w:rPr>
              <w:t>从化区市场监督管理局</w:t>
            </w:r>
          </w:p>
        </w:tc>
        <w:tc>
          <w:tcPr>
            <w:tcW w:w="23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4"/>
                <w:highlight w:val="none"/>
              </w:rPr>
              <w:t>登记日期</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color w:val="auto"/>
                <w:sz w:val="24"/>
                <w:highlight w:val="none"/>
                <w:lang w:val="en-US" w:eastAsia="zh-CN"/>
              </w:rPr>
            </w:pPr>
            <w:r>
              <w:rPr>
                <w:rFonts w:hint="eastAsia"/>
                <w:color w:val="auto"/>
                <w:sz w:val="24"/>
                <w:highlight w:val="none"/>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48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2"/>
                <w:szCs w:val="22"/>
                <w:highlight w:val="none"/>
                <w:lang w:val="en-US" w:eastAsia="zh-CN"/>
              </w:rPr>
            </w:pPr>
            <w:r>
              <w:rPr>
                <w:rFonts w:hint="eastAsia"/>
                <w:color w:val="auto"/>
                <w:sz w:val="22"/>
                <w:szCs w:val="22"/>
                <w:highlight w:val="none"/>
              </w:rPr>
              <w:t>主要负责人</w:t>
            </w:r>
            <w:r>
              <w:rPr>
                <w:rFonts w:hint="eastAsia"/>
                <w:color w:val="auto"/>
                <w:sz w:val="22"/>
                <w:szCs w:val="22"/>
                <w:highlight w:val="none"/>
                <w:lang w:val="en-US" w:eastAsia="zh-CN"/>
              </w:rPr>
              <w:t>安全生产知识和管理能力</w:t>
            </w:r>
          </w:p>
          <w:p>
            <w:pPr>
              <w:jc w:val="center"/>
              <w:rPr>
                <w:rFonts w:hint="eastAsia"/>
                <w:color w:val="auto"/>
                <w:sz w:val="24"/>
                <w:highlight w:val="none"/>
                <w:lang w:val="en-US" w:eastAsia="zh-CN"/>
              </w:rPr>
            </w:pPr>
            <w:r>
              <w:rPr>
                <w:rFonts w:hint="eastAsia"/>
                <w:color w:val="auto"/>
                <w:sz w:val="22"/>
                <w:szCs w:val="22"/>
                <w:highlight w:val="none"/>
                <w:lang w:val="en-US" w:eastAsia="zh-CN"/>
              </w:rPr>
              <w:t>考核合格</w:t>
            </w:r>
            <w:r>
              <w:rPr>
                <w:rFonts w:hint="eastAsia"/>
                <w:color w:val="auto"/>
                <w:sz w:val="22"/>
                <w:szCs w:val="22"/>
                <w:highlight w:val="none"/>
              </w:rPr>
              <w:t>证</w:t>
            </w:r>
            <w:r>
              <w:rPr>
                <w:rFonts w:hint="eastAsia"/>
                <w:color w:val="auto"/>
                <w:sz w:val="22"/>
                <w:szCs w:val="22"/>
                <w:highlight w:val="none"/>
                <w:lang w:val="en-US" w:eastAsia="zh-CN"/>
              </w:rPr>
              <w:t>档案</w:t>
            </w:r>
            <w:r>
              <w:rPr>
                <w:rFonts w:hint="eastAsia"/>
                <w:color w:val="auto"/>
                <w:sz w:val="22"/>
                <w:szCs w:val="22"/>
                <w:highlight w:val="none"/>
              </w:rPr>
              <w:t>编号</w:t>
            </w:r>
          </w:p>
        </w:tc>
        <w:tc>
          <w:tcPr>
            <w:tcW w:w="506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17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4"/>
                <w:highlight w:val="none"/>
              </w:rPr>
              <w:t>从 业 人 员</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4"/>
                <w:highlight w:val="none"/>
              </w:rPr>
              <w:t xml:space="preserve">         人</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4"/>
                <w:highlight w:val="none"/>
              </w:rPr>
              <w:t>负责人</w:t>
            </w:r>
          </w:p>
        </w:tc>
        <w:tc>
          <w:tcPr>
            <w:tcW w:w="23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4"/>
                <w:highlight w:val="none"/>
              </w:rPr>
              <w:t xml:space="preserve">   </w:t>
            </w:r>
            <w:r>
              <w:rPr>
                <w:rFonts w:hint="eastAsia"/>
                <w:color w:val="auto"/>
                <w:sz w:val="24"/>
                <w:highlight w:val="none"/>
                <w:lang w:val="en-US" w:eastAsia="zh-CN"/>
              </w:rPr>
              <w:t xml:space="preserve">   </w:t>
            </w:r>
            <w:r>
              <w:rPr>
                <w:rFonts w:hint="eastAsia"/>
                <w:color w:val="auto"/>
                <w:sz w:val="24"/>
                <w:highlight w:val="none"/>
              </w:rPr>
              <w:t xml:space="preserve">  人</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4"/>
                <w:highlight w:val="none"/>
              </w:rPr>
              <w:t>销售人员</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4"/>
                <w:highlight w:val="none"/>
                <w:lang w:val="en-US" w:eastAsia="zh-CN"/>
              </w:rPr>
              <w:t xml:space="preserve">    </w:t>
            </w:r>
            <w:r>
              <w:rPr>
                <w:rFonts w:hint="eastAsia"/>
                <w:color w:val="auto"/>
                <w:sz w:val="24"/>
                <w:highlight w:val="none"/>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7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4"/>
                <w:highlight w:val="none"/>
              </w:rPr>
              <w:t>申请经营类别</w:t>
            </w:r>
          </w:p>
        </w:tc>
        <w:tc>
          <w:tcPr>
            <w:tcW w:w="542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4"/>
                <w:highlight w:val="none"/>
              </w:rPr>
              <w:t>专店〔   〕</w:t>
            </w:r>
          </w:p>
          <w:p>
            <w:pPr>
              <w:jc w:val="left"/>
              <w:rPr>
                <w:rFonts w:hint="eastAsia"/>
                <w:color w:val="auto"/>
                <w:sz w:val="24"/>
                <w:highlight w:val="none"/>
              </w:rPr>
            </w:pPr>
            <w:r>
              <w:rPr>
                <w:rFonts w:hint="eastAsia"/>
                <w:color w:val="auto"/>
                <w:sz w:val="24"/>
                <w:highlight w:val="none"/>
              </w:rPr>
              <w:t>（经营范围：烟花类〔C〕〔D〕</w:t>
            </w:r>
            <w:r>
              <w:rPr>
                <w:rFonts w:hint="eastAsia"/>
                <w:color w:val="auto"/>
                <w:sz w:val="24"/>
                <w:highlight w:val="none"/>
                <w:lang w:eastAsia="zh-CN"/>
              </w:rPr>
              <w:t>、</w:t>
            </w:r>
            <w:r>
              <w:rPr>
                <w:rFonts w:hint="eastAsia"/>
                <w:color w:val="auto"/>
                <w:sz w:val="24"/>
                <w:highlight w:val="none"/>
              </w:rPr>
              <w:t>爆竹类〔C〕）</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lang w:eastAsia="zh-CN"/>
              </w:rPr>
            </w:pPr>
            <w:r>
              <w:rPr>
                <w:rFonts w:hint="eastAsia"/>
                <w:color w:val="auto"/>
                <w:sz w:val="24"/>
                <w:highlight w:val="none"/>
                <w:lang w:eastAsia="zh-CN"/>
              </w:rPr>
              <w:t>经营场所</w:t>
            </w:r>
          </w:p>
          <w:p>
            <w:pPr>
              <w:jc w:val="center"/>
              <w:rPr>
                <w:rFonts w:hint="eastAsia"/>
                <w:color w:val="auto"/>
                <w:sz w:val="24"/>
                <w:highlight w:val="none"/>
              </w:rPr>
            </w:pPr>
            <w:r>
              <w:rPr>
                <w:rFonts w:hint="eastAsia"/>
                <w:color w:val="auto"/>
                <w:sz w:val="24"/>
                <w:highlight w:val="none"/>
              </w:rPr>
              <w:t>所有权</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lang w:val="en-US" w:eastAsia="zh-CN"/>
              </w:rPr>
            </w:pPr>
            <w:r>
              <w:rPr>
                <w:rFonts w:hint="eastAsia"/>
                <w:color w:val="auto"/>
                <w:sz w:val="24"/>
                <w:highlight w:val="none"/>
              </w:rPr>
              <w:t>自有〔   〕</w:t>
            </w:r>
            <w:r>
              <w:rPr>
                <w:rFonts w:hint="eastAsia"/>
                <w:color w:val="auto"/>
                <w:sz w:val="24"/>
                <w:highlight w:val="none"/>
                <w:lang w:val="en-US" w:eastAsia="zh-CN"/>
              </w:rPr>
              <w:t xml:space="preserve"> </w:t>
            </w:r>
          </w:p>
          <w:p>
            <w:pPr>
              <w:jc w:val="center"/>
              <w:rPr>
                <w:rFonts w:hint="eastAsia"/>
                <w:color w:val="auto"/>
                <w:sz w:val="24"/>
                <w:highlight w:val="none"/>
              </w:rPr>
            </w:pPr>
            <w:r>
              <w:rPr>
                <w:rFonts w:hint="eastAsia"/>
                <w:color w:val="auto"/>
                <w:sz w:val="24"/>
                <w:highlight w:val="none"/>
              </w:rPr>
              <w:t>租赁〔   〕</w:t>
            </w:r>
            <w:r>
              <w:rPr>
                <w:rFonts w:hint="eastAsia"/>
                <w:color w:val="auto"/>
                <w:sz w:val="24"/>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4" w:hRule="atLeast"/>
        </w:trPr>
        <w:tc>
          <w:tcPr>
            <w:tcW w:w="17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4"/>
                <w:highlight w:val="none"/>
              </w:rPr>
              <w:t>场所实际</w:t>
            </w:r>
            <w:r>
              <w:rPr>
                <w:rFonts w:hint="eastAsia"/>
                <w:color w:val="auto"/>
                <w:sz w:val="24"/>
                <w:highlight w:val="none"/>
                <w:lang w:eastAsia="zh-CN"/>
              </w:rPr>
              <w:t>面积</w:t>
            </w:r>
          </w:p>
        </w:tc>
        <w:tc>
          <w:tcPr>
            <w:tcW w:w="307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 xml:space="preserve">      </w:t>
            </w:r>
            <w:r>
              <w:rPr>
                <w:rFonts w:hint="eastAsia"/>
                <w:color w:val="auto"/>
                <w:sz w:val="24"/>
                <w:highlight w:val="none"/>
              </w:rPr>
              <w:t xml:space="preserve">   ）平方</w:t>
            </w:r>
            <w:r>
              <w:rPr>
                <w:rFonts w:hint="eastAsia"/>
                <w:color w:val="auto"/>
                <w:sz w:val="24"/>
                <w:highlight w:val="none"/>
                <w:lang w:eastAsia="zh-CN"/>
              </w:rPr>
              <w:t>米</w:t>
            </w:r>
          </w:p>
        </w:tc>
        <w:tc>
          <w:tcPr>
            <w:tcW w:w="23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lang w:val="en-US" w:eastAsia="zh-CN"/>
              </w:rPr>
            </w:pPr>
            <w:r>
              <w:rPr>
                <w:rFonts w:hint="eastAsia"/>
                <w:color w:val="auto"/>
                <w:sz w:val="24"/>
                <w:highlight w:val="none"/>
              </w:rPr>
              <w:t>申请存放量</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 xml:space="preserve">         </w:t>
            </w:r>
            <w:r>
              <w:rPr>
                <w:rFonts w:hint="eastAsia"/>
                <w:color w:val="auto"/>
                <w:sz w:val="24"/>
                <w:highlight w:val="none"/>
                <w:lang w:eastAsia="zh-CN"/>
              </w:rPr>
              <w:t>）</w:t>
            </w:r>
            <w:r>
              <w:rPr>
                <w:rFonts w:hint="eastAsia"/>
                <w:color w:val="auto"/>
                <w:sz w:val="24"/>
                <w:highlight w:val="none"/>
              </w:rPr>
              <w:t>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764"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auto"/>
                <w:sz w:val="28"/>
                <w:szCs w:val="28"/>
                <w:highlight w:val="none"/>
              </w:rPr>
            </w:pPr>
            <w:r>
              <w:rPr>
                <w:rFonts w:hint="eastAsia"/>
                <w:color w:val="auto"/>
                <w:sz w:val="28"/>
                <w:szCs w:val="28"/>
                <w:highlight w:val="none"/>
              </w:rPr>
              <w:t>企      业    自     查</w:t>
            </w:r>
          </w:p>
          <w:p>
            <w:pPr>
              <w:ind w:left="113" w:right="113"/>
              <w:jc w:val="center"/>
              <w:rPr>
                <w:rFonts w:hint="eastAsia"/>
                <w:color w:val="auto"/>
                <w:sz w:val="28"/>
                <w:szCs w:val="28"/>
                <w:highlight w:val="none"/>
              </w:rPr>
            </w:pPr>
            <w:r>
              <w:rPr>
                <w:rFonts w:hint="eastAsia"/>
                <w:color w:val="auto"/>
                <w:sz w:val="28"/>
                <w:szCs w:val="28"/>
                <w:highlight w:val="none"/>
              </w:rPr>
              <w:t>（安全条件说明）</w:t>
            </w:r>
          </w:p>
        </w:tc>
        <w:tc>
          <w:tcPr>
            <w:tcW w:w="542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auto"/>
                <w:sz w:val="24"/>
                <w:highlight w:val="none"/>
              </w:rPr>
            </w:pPr>
            <w:r>
              <w:rPr>
                <w:rFonts w:hint="eastAsia"/>
                <w:b/>
                <w:bCs/>
                <w:color w:val="auto"/>
                <w:sz w:val="24"/>
                <w:highlight w:val="none"/>
              </w:rPr>
              <w:t>自查内容</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auto"/>
                <w:sz w:val="24"/>
                <w:highlight w:val="none"/>
              </w:rPr>
            </w:pPr>
            <w:r>
              <w:rPr>
                <w:rFonts w:hint="eastAsia"/>
                <w:b/>
                <w:bCs/>
                <w:color w:val="auto"/>
                <w:sz w:val="24"/>
                <w:highlight w:val="none"/>
              </w:rPr>
              <w:t>自查情况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764"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4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1.烟花爆竹零售点不应布置在地下室、桥下及涵洞</w:t>
            </w:r>
            <w:r>
              <w:rPr>
                <w:rFonts w:hint="eastAsia" w:ascii="宋体" w:hAnsi="宋体" w:cs="宋体"/>
                <w:color w:val="auto"/>
                <w:sz w:val="20"/>
                <w:szCs w:val="20"/>
                <w:highlight w:val="none"/>
                <w:lang w:val="en-US" w:eastAsia="zh-CN"/>
              </w:rPr>
              <w:t>。不应有“前店后宅”“下店上宅”“人员住宿”情形。</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color w:val="auto"/>
                <w:sz w:val="20"/>
                <w:szCs w:val="20"/>
                <w:highlight w:val="none"/>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764" w:type="dxa"/>
            <w:vMerge w:val="continue"/>
            <w:tcBorders>
              <w:left w:val="single" w:color="auto" w:sz="4" w:space="0"/>
              <w:bottom w:val="single" w:color="auto" w:sz="4" w:space="0"/>
              <w:right w:val="single" w:color="auto" w:sz="4" w:space="0"/>
            </w:tcBorders>
            <w:noWrap w:val="0"/>
            <w:textDirection w:val="tbRlV"/>
            <w:vAlign w:val="center"/>
          </w:tcPr>
          <w:p>
            <w:pPr>
              <w:jc w:val="center"/>
              <w:rPr>
                <w:color w:val="auto"/>
                <w:highlight w:val="none"/>
              </w:rPr>
            </w:pPr>
          </w:p>
        </w:tc>
        <w:tc>
          <w:tcPr>
            <w:tcW w:w="54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20"/>
                <w:szCs w:val="20"/>
                <w:highlight w:val="none"/>
              </w:rPr>
            </w:pPr>
            <w:r>
              <w:rPr>
                <w:rFonts w:hint="eastAsia" w:ascii="宋体" w:hAnsi="宋体" w:eastAsia="宋体" w:cs="宋体"/>
                <w:color w:val="auto"/>
                <w:sz w:val="20"/>
                <w:szCs w:val="20"/>
                <w:highlight w:val="none"/>
                <w:lang w:val="en-US" w:eastAsia="zh-CN"/>
              </w:rPr>
              <w:t>2.当烟花爆竹零售点布置在两层建筑物内时，其正上方不应有人员活动场所，上下层之间不应有楼梯和洞口；</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olor w:val="auto"/>
                <w:sz w:val="20"/>
                <w:szCs w:val="20"/>
                <w:highlight w:val="none"/>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trPr>
        <w:tc>
          <w:tcPr>
            <w:tcW w:w="1764" w:type="dxa"/>
            <w:vMerge w:val="continue"/>
            <w:tcBorders>
              <w:left w:val="single" w:color="auto" w:sz="4" w:space="0"/>
              <w:bottom w:val="single" w:color="auto" w:sz="4" w:space="0"/>
              <w:right w:val="single" w:color="auto" w:sz="4" w:space="0"/>
            </w:tcBorders>
            <w:noWrap w:val="0"/>
            <w:textDirection w:val="tbRlV"/>
            <w:vAlign w:val="center"/>
          </w:tcPr>
          <w:p>
            <w:pPr>
              <w:jc w:val="center"/>
              <w:rPr>
                <w:color w:val="auto"/>
                <w:highlight w:val="none"/>
              </w:rPr>
            </w:pPr>
          </w:p>
        </w:tc>
        <w:tc>
          <w:tcPr>
            <w:tcW w:w="54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20"/>
                <w:szCs w:val="20"/>
                <w:highlight w:val="none"/>
              </w:rPr>
            </w:pPr>
            <w:r>
              <w:rPr>
                <w:rFonts w:hint="eastAsia" w:ascii="宋体" w:hAnsi="宋体" w:eastAsia="宋体" w:cs="宋体"/>
                <w:color w:val="auto"/>
                <w:sz w:val="20"/>
                <w:szCs w:val="20"/>
                <w:highlight w:val="none"/>
                <w:lang w:val="en-US" w:eastAsia="zh-CN"/>
              </w:rPr>
              <w:t>3.当烟花爆竹零售点毗邻其他建筑物时，其毗邻墙体应为不燃材料墙体，且不应有门窗和洞口；</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color w:val="auto"/>
                <w:sz w:val="16"/>
                <w:szCs w:val="16"/>
                <w:highlight w:val="none"/>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764" w:type="dxa"/>
            <w:vMerge w:val="continue"/>
            <w:tcBorders>
              <w:left w:val="single" w:color="auto" w:sz="4" w:space="0"/>
              <w:bottom w:val="single" w:color="auto" w:sz="4" w:space="0"/>
              <w:right w:val="single" w:color="auto" w:sz="4" w:space="0"/>
            </w:tcBorders>
            <w:noWrap w:val="0"/>
            <w:textDirection w:val="tbRlV"/>
            <w:vAlign w:val="center"/>
          </w:tcPr>
          <w:p>
            <w:pPr>
              <w:jc w:val="center"/>
              <w:rPr>
                <w:color w:val="auto"/>
                <w:highlight w:val="none"/>
              </w:rPr>
            </w:pPr>
          </w:p>
        </w:tc>
        <w:tc>
          <w:tcPr>
            <w:tcW w:w="54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20"/>
                <w:szCs w:val="20"/>
                <w:highlight w:val="none"/>
              </w:rPr>
            </w:pPr>
            <w:r>
              <w:rPr>
                <w:rFonts w:hint="eastAsia" w:ascii="宋体" w:hAnsi="宋体" w:eastAsia="宋体" w:cs="宋体"/>
                <w:color w:val="auto"/>
                <w:sz w:val="20"/>
                <w:szCs w:val="20"/>
                <w:highlight w:val="none"/>
                <w:lang w:val="en-US" w:eastAsia="zh-CN"/>
              </w:rPr>
              <w:t>4.烟花爆竹零售点内部应将产品堆放区和销售柜台分区布置，确保安全疏散通道畅通；</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color w:val="auto"/>
                <w:sz w:val="16"/>
                <w:szCs w:val="16"/>
                <w:highlight w:val="none"/>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1" w:hRule="atLeast"/>
        </w:trPr>
        <w:tc>
          <w:tcPr>
            <w:tcW w:w="1764" w:type="dxa"/>
            <w:vMerge w:val="continue"/>
            <w:tcBorders>
              <w:left w:val="single" w:color="auto" w:sz="4" w:space="0"/>
              <w:bottom w:val="single" w:color="auto" w:sz="4" w:space="0"/>
              <w:right w:val="single" w:color="auto" w:sz="4" w:space="0"/>
            </w:tcBorders>
            <w:noWrap w:val="0"/>
            <w:textDirection w:val="tbRlV"/>
            <w:vAlign w:val="center"/>
          </w:tcPr>
          <w:p>
            <w:pPr>
              <w:jc w:val="center"/>
              <w:rPr>
                <w:color w:val="auto"/>
                <w:highlight w:val="none"/>
              </w:rPr>
            </w:pPr>
          </w:p>
        </w:tc>
        <w:tc>
          <w:tcPr>
            <w:tcW w:w="54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20"/>
                <w:szCs w:val="20"/>
                <w:highlight w:val="none"/>
              </w:rPr>
            </w:pPr>
            <w:r>
              <w:rPr>
                <w:rFonts w:hint="eastAsia" w:ascii="宋体" w:hAnsi="宋体" w:eastAsia="宋体" w:cs="宋体"/>
                <w:color w:val="auto"/>
                <w:sz w:val="20"/>
                <w:szCs w:val="20"/>
                <w:highlight w:val="none"/>
                <w:lang w:val="en-US" w:eastAsia="zh-CN"/>
              </w:rPr>
              <w:t>5.严禁将烟花爆竹零售点作为其他经营场所和生活场所的人员进出入通道；</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color w:val="auto"/>
                <w:sz w:val="16"/>
                <w:szCs w:val="16"/>
                <w:highlight w:val="none"/>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764" w:type="dxa"/>
            <w:vMerge w:val="continue"/>
            <w:tcBorders>
              <w:left w:val="single" w:color="auto" w:sz="4" w:space="0"/>
              <w:bottom w:val="single" w:color="auto" w:sz="4" w:space="0"/>
              <w:right w:val="single" w:color="auto" w:sz="4" w:space="0"/>
            </w:tcBorders>
            <w:noWrap w:val="0"/>
            <w:textDirection w:val="tbRlV"/>
            <w:vAlign w:val="center"/>
          </w:tcPr>
          <w:p>
            <w:pPr>
              <w:jc w:val="center"/>
              <w:rPr>
                <w:color w:val="auto"/>
                <w:highlight w:val="none"/>
              </w:rPr>
            </w:pPr>
          </w:p>
        </w:tc>
        <w:tc>
          <w:tcPr>
            <w:tcW w:w="54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20"/>
                <w:szCs w:val="20"/>
                <w:highlight w:val="none"/>
              </w:rPr>
            </w:pPr>
            <w:r>
              <w:rPr>
                <w:rFonts w:hint="eastAsia" w:ascii="宋体" w:hAnsi="宋体" w:eastAsia="宋体" w:cs="宋体"/>
                <w:color w:val="auto"/>
                <w:sz w:val="20"/>
                <w:szCs w:val="20"/>
                <w:highlight w:val="none"/>
                <w:lang w:val="en-US" w:eastAsia="zh-CN"/>
              </w:rPr>
              <w:t>6.在烟花爆竹零售点的醒目位置应悬挂营业执照；</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color w:val="auto"/>
                <w:sz w:val="16"/>
                <w:szCs w:val="16"/>
                <w:highlight w:val="none"/>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764" w:type="dxa"/>
            <w:vMerge w:val="continue"/>
            <w:tcBorders>
              <w:left w:val="single" w:color="auto" w:sz="4" w:space="0"/>
              <w:bottom w:val="single" w:color="auto" w:sz="4" w:space="0"/>
              <w:right w:val="single" w:color="auto" w:sz="4" w:space="0"/>
            </w:tcBorders>
            <w:noWrap w:val="0"/>
            <w:textDirection w:val="tbRlV"/>
            <w:vAlign w:val="center"/>
          </w:tcPr>
          <w:p>
            <w:pPr>
              <w:jc w:val="center"/>
              <w:rPr>
                <w:color w:val="auto"/>
                <w:highlight w:val="none"/>
              </w:rPr>
            </w:pPr>
          </w:p>
        </w:tc>
        <w:tc>
          <w:tcPr>
            <w:tcW w:w="54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20"/>
                <w:szCs w:val="20"/>
                <w:highlight w:val="none"/>
              </w:rPr>
            </w:pPr>
            <w:r>
              <w:rPr>
                <w:rFonts w:hint="eastAsia" w:ascii="宋体" w:hAnsi="宋体" w:eastAsia="宋体" w:cs="宋体"/>
                <w:color w:val="auto"/>
                <w:sz w:val="20"/>
                <w:szCs w:val="20"/>
                <w:highlight w:val="none"/>
                <w:lang w:val="en-US" w:eastAsia="zh-CN"/>
              </w:rPr>
              <w:t>7.在烟花爆竹零售点的醒目位置设置“禁止烟火”“易燃易爆”，且周边设置“严禁燃放烟花爆竹”等安全警示标识；</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color w:val="auto"/>
                <w:sz w:val="16"/>
                <w:szCs w:val="16"/>
                <w:highlight w:val="none"/>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1764" w:type="dxa"/>
            <w:vMerge w:val="continue"/>
            <w:tcBorders>
              <w:left w:val="single" w:color="auto" w:sz="4" w:space="0"/>
              <w:bottom w:val="single" w:color="auto" w:sz="4" w:space="0"/>
              <w:right w:val="single" w:color="auto" w:sz="4" w:space="0"/>
            </w:tcBorders>
            <w:noWrap w:val="0"/>
            <w:textDirection w:val="tbRlV"/>
            <w:vAlign w:val="center"/>
          </w:tcPr>
          <w:p>
            <w:pPr>
              <w:jc w:val="center"/>
              <w:rPr>
                <w:color w:val="auto"/>
                <w:highlight w:val="none"/>
              </w:rPr>
            </w:pPr>
          </w:p>
        </w:tc>
        <w:tc>
          <w:tcPr>
            <w:tcW w:w="54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20"/>
                <w:szCs w:val="20"/>
                <w:highlight w:val="none"/>
              </w:rPr>
            </w:pPr>
            <w:r>
              <w:rPr>
                <w:rFonts w:hint="eastAsia" w:ascii="宋体" w:hAnsi="宋体" w:eastAsia="宋体" w:cs="宋体"/>
                <w:color w:val="auto"/>
                <w:sz w:val="20"/>
                <w:szCs w:val="20"/>
                <w:highlight w:val="none"/>
                <w:lang w:val="en-US" w:eastAsia="zh-CN"/>
              </w:rPr>
              <w:t>8.烟花爆竹零售点不得与居住场所设置在同一建筑物内，不得设置在城镇居民集中居住小区内；</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color w:val="auto"/>
                <w:sz w:val="16"/>
                <w:szCs w:val="16"/>
                <w:highlight w:val="none"/>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1764" w:type="dxa"/>
            <w:vMerge w:val="continue"/>
            <w:tcBorders>
              <w:left w:val="single" w:color="auto" w:sz="4" w:space="0"/>
              <w:bottom w:val="single" w:color="auto" w:sz="4" w:space="0"/>
              <w:right w:val="single" w:color="auto" w:sz="4" w:space="0"/>
            </w:tcBorders>
            <w:noWrap w:val="0"/>
            <w:textDirection w:val="tbRlV"/>
            <w:vAlign w:val="center"/>
          </w:tcPr>
          <w:p>
            <w:pPr>
              <w:jc w:val="center"/>
              <w:rPr>
                <w:color w:val="auto"/>
                <w:highlight w:val="none"/>
              </w:rPr>
            </w:pPr>
          </w:p>
        </w:tc>
        <w:tc>
          <w:tcPr>
            <w:tcW w:w="54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20"/>
                <w:szCs w:val="20"/>
                <w:highlight w:val="none"/>
              </w:rPr>
            </w:pPr>
            <w:r>
              <w:rPr>
                <w:rFonts w:hint="eastAsia" w:ascii="宋体" w:hAnsi="宋体" w:eastAsia="宋体" w:cs="宋体"/>
                <w:color w:val="auto"/>
                <w:sz w:val="20"/>
                <w:szCs w:val="20"/>
                <w:highlight w:val="none"/>
                <w:lang w:val="en-US" w:eastAsia="zh-CN"/>
              </w:rPr>
              <w:t>9.烟花爆竹零售点不应布置在军事管理区、风景名胜区、文物保护区等禁止燃放烟花爆竹区域内；</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color w:val="auto"/>
                <w:sz w:val="16"/>
                <w:szCs w:val="16"/>
                <w:highlight w:val="none"/>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1764" w:type="dxa"/>
            <w:vMerge w:val="continue"/>
            <w:tcBorders>
              <w:left w:val="single" w:color="auto" w:sz="4" w:space="0"/>
              <w:bottom w:val="single" w:color="auto" w:sz="4" w:space="0"/>
              <w:right w:val="single" w:color="auto" w:sz="4" w:space="0"/>
            </w:tcBorders>
            <w:noWrap w:val="0"/>
            <w:textDirection w:val="tbRlV"/>
            <w:vAlign w:val="center"/>
          </w:tcPr>
          <w:p>
            <w:pPr>
              <w:jc w:val="center"/>
              <w:rPr>
                <w:color w:val="auto"/>
                <w:highlight w:val="none"/>
              </w:rPr>
            </w:pPr>
          </w:p>
        </w:tc>
        <w:tc>
          <w:tcPr>
            <w:tcW w:w="54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20"/>
                <w:szCs w:val="20"/>
                <w:highlight w:val="none"/>
              </w:rPr>
            </w:pPr>
            <w:r>
              <w:rPr>
                <w:rFonts w:hint="eastAsia" w:ascii="宋体" w:hAnsi="宋体" w:eastAsia="宋体" w:cs="宋体"/>
                <w:color w:val="auto"/>
                <w:sz w:val="20"/>
                <w:szCs w:val="20"/>
                <w:highlight w:val="none"/>
                <w:lang w:val="en-US" w:eastAsia="zh-CN"/>
              </w:rPr>
              <w:t>10.</w:t>
            </w:r>
            <w:r>
              <w:rPr>
                <w:rFonts w:hint="eastAsia" w:ascii="宋体" w:hAnsi="宋体" w:eastAsia="宋体" w:cs="宋体"/>
                <w:color w:val="auto"/>
                <w:sz w:val="20"/>
                <w:szCs w:val="20"/>
                <w:highlight w:val="none"/>
              </w:rPr>
              <w:t>零售场所的面积不小于10㎡，</w:t>
            </w:r>
            <w:r>
              <w:rPr>
                <w:rFonts w:hint="eastAsia" w:ascii="宋体" w:hAnsi="宋体" w:eastAsia="宋体" w:cs="宋体"/>
                <w:color w:val="auto"/>
                <w:sz w:val="20"/>
                <w:szCs w:val="20"/>
                <w:highlight w:val="none"/>
                <w:lang w:val="en-US" w:eastAsia="zh-CN"/>
              </w:rPr>
              <w:t>且不应大于200</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且相邻</w:t>
            </w:r>
            <w:r>
              <w:rPr>
                <w:rFonts w:hint="eastAsia" w:ascii="宋体" w:hAnsi="宋体" w:eastAsia="宋体" w:cs="宋体"/>
                <w:color w:val="auto"/>
                <w:sz w:val="20"/>
                <w:szCs w:val="20"/>
                <w:highlight w:val="none"/>
                <w:lang w:eastAsia="zh-CN"/>
              </w:rPr>
              <w:t>零售点</w:t>
            </w:r>
            <w:r>
              <w:rPr>
                <w:rFonts w:hint="eastAsia" w:ascii="宋体" w:hAnsi="宋体" w:eastAsia="宋体" w:cs="宋体"/>
                <w:color w:val="auto"/>
                <w:sz w:val="20"/>
                <w:szCs w:val="20"/>
                <w:highlight w:val="none"/>
              </w:rPr>
              <w:t>之间的距离不小于50米</w:t>
            </w:r>
            <w:r>
              <w:rPr>
                <w:rFonts w:hint="eastAsia" w:ascii="宋体" w:hAnsi="宋体" w:eastAsia="宋体" w:cs="宋体"/>
                <w:color w:val="auto"/>
                <w:sz w:val="20"/>
                <w:szCs w:val="20"/>
                <w:highlight w:val="none"/>
                <w:lang w:eastAsia="zh-CN"/>
              </w:rPr>
              <w:t>；</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color w:val="auto"/>
                <w:sz w:val="16"/>
                <w:szCs w:val="16"/>
                <w:highlight w:val="none"/>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764" w:type="dxa"/>
            <w:vMerge w:val="continue"/>
            <w:tcBorders>
              <w:left w:val="single" w:color="auto" w:sz="4" w:space="0"/>
              <w:bottom w:val="single" w:color="auto" w:sz="4" w:space="0"/>
              <w:right w:val="single" w:color="auto" w:sz="4" w:space="0"/>
            </w:tcBorders>
            <w:noWrap w:val="0"/>
            <w:textDirection w:val="tbRlV"/>
            <w:vAlign w:val="center"/>
          </w:tcPr>
          <w:p>
            <w:pPr>
              <w:jc w:val="center"/>
              <w:rPr>
                <w:color w:val="auto"/>
                <w:highlight w:val="none"/>
              </w:rPr>
            </w:pPr>
          </w:p>
        </w:tc>
        <w:tc>
          <w:tcPr>
            <w:tcW w:w="54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20"/>
                <w:szCs w:val="20"/>
                <w:highlight w:val="none"/>
              </w:rPr>
            </w:pPr>
            <w:r>
              <w:rPr>
                <w:rFonts w:hint="eastAsia" w:ascii="宋体" w:hAnsi="宋体" w:eastAsia="宋体" w:cs="宋体"/>
                <w:color w:val="auto"/>
                <w:sz w:val="20"/>
                <w:szCs w:val="20"/>
                <w:highlight w:val="none"/>
                <w:lang w:val="en-US" w:eastAsia="zh-CN"/>
              </w:rPr>
              <w:t>11.</w:t>
            </w:r>
            <w:r>
              <w:rPr>
                <w:rFonts w:hint="eastAsia" w:ascii="宋体" w:hAnsi="宋体" w:eastAsia="宋体" w:cs="宋体"/>
                <w:color w:val="auto"/>
                <w:sz w:val="20"/>
                <w:szCs w:val="20"/>
                <w:highlight w:val="none"/>
              </w:rPr>
              <w:t>距离党政机关办公楼、重要的通信和指挥调度建筑物、大型金融机构办公楼、省部级及以上广播电视建筑物50米以上</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color w:val="auto"/>
                <w:sz w:val="16"/>
                <w:szCs w:val="16"/>
                <w:highlight w:val="none"/>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764"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color w:val="auto"/>
                <w:highlight w:val="none"/>
              </w:rPr>
            </w:pPr>
          </w:p>
        </w:tc>
        <w:tc>
          <w:tcPr>
            <w:tcW w:w="54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20"/>
                <w:szCs w:val="20"/>
                <w:highlight w:val="none"/>
              </w:rPr>
            </w:pPr>
            <w:r>
              <w:rPr>
                <w:rFonts w:hint="eastAsia" w:ascii="宋体" w:hAnsi="宋体" w:eastAsia="宋体" w:cs="宋体"/>
                <w:color w:val="auto"/>
                <w:sz w:val="20"/>
                <w:szCs w:val="20"/>
                <w:highlight w:val="none"/>
                <w:lang w:val="en-US" w:eastAsia="zh-CN"/>
              </w:rPr>
              <w:t>12.</w:t>
            </w:r>
            <w:r>
              <w:rPr>
                <w:rFonts w:hint="eastAsia" w:ascii="宋体" w:hAnsi="宋体" w:eastAsia="宋体" w:cs="宋体"/>
                <w:color w:val="auto"/>
                <w:sz w:val="20"/>
                <w:szCs w:val="20"/>
                <w:highlight w:val="none"/>
              </w:rPr>
              <w:t>距离重要的大型图书馆、文物古迹、博物馆、展览馆、档案馆等建筑物50米以上；</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color w:val="auto"/>
                <w:sz w:val="16"/>
                <w:szCs w:val="16"/>
                <w:highlight w:val="none"/>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764" w:type="dxa"/>
            <w:vMerge w:val="continue"/>
            <w:tcBorders>
              <w:left w:val="single" w:color="auto" w:sz="4" w:space="0"/>
              <w:bottom w:val="single" w:color="auto" w:sz="4" w:space="0"/>
              <w:right w:val="single" w:color="auto" w:sz="4" w:space="0"/>
            </w:tcBorders>
            <w:noWrap w:val="0"/>
            <w:textDirection w:val="tbRlV"/>
            <w:vAlign w:val="center"/>
          </w:tcPr>
          <w:p>
            <w:pPr>
              <w:jc w:val="center"/>
              <w:rPr>
                <w:color w:val="auto"/>
                <w:highlight w:val="none"/>
              </w:rPr>
            </w:pPr>
          </w:p>
        </w:tc>
        <w:tc>
          <w:tcPr>
            <w:tcW w:w="54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20"/>
                <w:szCs w:val="20"/>
                <w:highlight w:val="none"/>
              </w:rPr>
            </w:pPr>
            <w:r>
              <w:rPr>
                <w:rFonts w:hint="eastAsia" w:ascii="宋体" w:hAnsi="宋体" w:eastAsia="宋体" w:cs="宋体"/>
                <w:color w:val="auto"/>
                <w:sz w:val="20"/>
                <w:szCs w:val="20"/>
                <w:highlight w:val="none"/>
                <w:lang w:val="en-US" w:eastAsia="zh-CN"/>
              </w:rPr>
              <w:t>13.</w:t>
            </w:r>
            <w:r>
              <w:rPr>
                <w:rFonts w:hint="eastAsia" w:ascii="宋体" w:hAnsi="宋体" w:eastAsia="宋体" w:cs="宋体"/>
                <w:color w:val="auto"/>
                <w:sz w:val="20"/>
                <w:szCs w:val="20"/>
                <w:highlight w:val="none"/>
              </w:rPr>
              <w:t>距离</w:t>
            </w:r>
            <w:r>
              <w:rPr>
                <w:rFonts w:hint="eastAsia" w:ascii="宋体" w:hAnsi="宋体" w:eastAsia="宋体" w:cs="宋体"/>
                <w:color w:val="auto"/>
                <w:sz w:val="20"/>
                <w:szCs w:val="20"/>
                <w:highlight w:val="none"/>
                <w:lang w:eastAsia="zh-CN"/>
              </w:rPr>
              <w:t>加油站、加气站</w:t>
            </w:r>
            <w:r>
              <w:rPr>
                <w:rFonts w:hint="eastAsia" w:ascii="宋体" w:hAnsi="宋体" w:eastAsia="宋体" w:cs="宋体"/>
                <w:color w:val="auto"/>
                <w:sz w:val="20"/>
                <w:szCs w:val="20"/>
                <w:highlight w:val="none"/>
              </w:rPr>
              <w:t>等甲类易燃、易爆危险物品储存场所100米以上；</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color w:val="auto"/>
                <w:sz w:val="16"/>
                <w:szCs w:val="16"/>
                <w:highlight w:val="none"/>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764"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4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14.</w:t>
            </w:r>
            <w:r>
              <w:rPr>
                <w:rFonts w:hint="eastAsia" w:ascii="宋体" w:hAnsi="宋体" w:eastAsia="宋体" w:cs="宋体"/>
                <w:color w:val="auto"/>
                <w:sz w:val="20"/>
                <w:szCs w:val="20"/>
                <w:highlight w:val="none"/>
              </w:rPr>
              <w:t>距离中小学校、幼儿园、托儿所等建筑物100米以上；距离残障人员康复院、养老院、医院</w:t>
            </w:r>
            <w:r>
              <w:rPr>
                <w:rFonts w:hint="eastAsia" w:ascii="宋体" w:hAnsi="宋体" w:cs="宋体"/>
                <w:color w:val="auto"/>
                <w:sz w:val="20"/>
                <w:szCs w:val="20"/>
                <w:highlight w:val="none"/>
                <w:lang w:val="en-US" w:eastAsia="zh-CN"/>
              </w:rPr>
              <w:t>等</w:t>
            </w:r>
            <w:r>
              <w:rPr>
                <w:rFonts w:hint="eastAsia" w:ascii="宋体" w:hAnsi="宋体" w:eastAsia="宋体" w:cs="宋体"/>
                <w:color w:val="auto"/>
                <w:sz w:val="20"/>
                <w:szCs w:val="20"/>
                <w:highlight w:val="none"/>
              </w:rPr>
              <w:t>建筑物100米以上；</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color w:val="auto"/>
                <w:sz w:val="20"/>
                <w:szCs w:val="20"/>
                <w:highlight w:val="none"/>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1764" w:type="dxa"/>
            <w:vMerge w:val="restart"/>
            <w:tcBorders>
              <w:top w:val="single" w:color="auto" w:sz="4" w:space="0"/>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4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15.</w:t>
            </w:r>
            <w:r>
              <w:rPr>
                <w:rFonts w:hint="eastAsia" w:ascii="宋体" w:hAnsi="宋体" w:eastAsia="宋体" w:cs="宋体"/>
                <w:color w:val="auto"/>
                <w:sz w:val="20"/>
                <w:szCs w:val="20"/>
                <w:highlight w:val="none"/>
              </w:rPr>
              <w:t>距离220KV及以上的区域变电站围墙、220KV以上的架空输电线路80米以上；距离220KV以下的区域变电站围墙、220KV架空输电线路50米以上；距离220KV以下、35KV以上（含35KV）架空输电线路40米以上；</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trPr>
        <w:tc>
          <w:tcPr>
            <w:tcW w:w="1764"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4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16.</w:t>
            </w:r>
            <w:r>
              <w:rPr>
                <w:rFonts w:hint="eastAsia" w:ascii="宋体" w:hAnsi="宋体" w:eastAsia="宋体" w:cs="宋体"/>
                <w:color w:val="auto"/>
                <w:sz w:val="20"/>
                <w:szCs w:val="20"/>
                <w:highlight w:val="none"/>
              </w:rPr>
              <w:t>距离重要军事设施围墙100米以上；</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符合（ ）不符合（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trPr>
        <w:tc>
          <w:tcPr>
            <w:tcW w:w="1764"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4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17.</w:t>
            </w:r>
            <w:r>
              <w:rPr>
                <w:rFonts w:hint="eastAsia" w:ascii="宋体" w:hAnsi="宋体" w:eastAsia="宋体" w:cs="宋体"/>
                <w:color w:val="auto"/>
                <w:sz w:val="20"/>
                <w:szCs w:val="20"/>
                <w:highlight w:val="none"/>
              </w:rPr>
              <w:t>距离城市干道交叉路口50米以上；</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符合（ ）不符合（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1764"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4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18.距离</w:t>
            </w:r>
            <w:r>
              <w:rPr>
                <w:rFonts w:hint="eastAsia" w:ascii="宋体" w:hAnsi="宋体" w:eastAsia="宋体" w:cs="宋体"/>
                <w:color w:val="auto"/>
                <w:sz w:val="20"/>
                <w:szCs w:val="20"/>
                <w:highlight w:val="none"/>
              </w:rPr>
              <w:t>明火或散发火花地点周边</w:t>
            </w:r>
            <w:r>
              <w:rPr>
                <w:rFonts w:hint="eastAsia" w:ascii="宋体" w:hAnsi="宋体" w:eastAsia="宋体" w:cs="宋体"/>
                <w:color w:val="auto"/>
                <w:sz w:val="20"/>
                <w:szCs w:val="20"/>
                <w:highlight w:val="none"/>
                <w:lang w:val="en-US" w:eastAsia="zh-CN"/>
              </w:rPr>
              <w:t>25</w:t>
            </w:r>
            <w:r>
              <w:rPr>
                <w:rFonts w:hint="eastAsia" w:ascii="宋体" w:hAnsi="宋体" w:eastAsia="宋体" w:cs="宋体"/>
                <w:color w:val="auto"/>
                <w:sz w:val="20"/>
                <w:szCs w:val="20"/>
                <w:highlight w:val="none"/>
              </w:rPr>
              <w:t>米以上</w:t>
            </w:r>
            <w:r>
              <w:rPr>
                <w:rFonts w:hint="eastAsia" w:ascii="宋体" w:hAnsi="宋体" w:eastAsia="宋体" w:cs="宋体"/>
                <w:color w:val="auto"/>
                <w:sz w:val="20"/>
                <w:szCs w:val="20"/>
                <w:highlight w:val="none"/>
                <w:lang w:val="en-US" w:eastAsia="zh-CN"/>
              </w:rPr>
              <w:t>,且应有不燃材料实体隔档</w:t>
            </w:r>
            <w:r>
              <w:rPr>
                <w:rFonts w:hint="eastAsia" w:ascii="宋体" w:hAnsi="宋体" w:eastAsia="宋体" w:cs="宋体"/>
                <w:color w:val="auto"/>
                <w:sz w:val="20"/>
                <w:szCs w:val="20"/>
                <w:highlight w:val="none"/>
              </w:rPr>
              <w:t>；</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符合（ ）不符合（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 w:hRule="atLeast"/>
        </w:trPr>
        <w:tc>
          <w:tcPr>
            <w:tcW w:w="1764"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4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19.距离市人民政府确定和公布的其他禁止燃放烟花爆竹的区域100米以上；</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1764"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4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20.烟花爆竹零售点建筑物的耐火等级不应低于三级；采用搭棚形式设置时，应采用不燃或难燃材料搭建；</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5" w:hRule="atLeast"/>
        </w:trPr>
        <w:tc>
          <w:tcPr>
            <w:tcW w:w="1764"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4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21.烟花爆竹零售点与其他场所联建时，其隔墙应为厚度不小于180毫米的密实砖墙，或者耐火极限不低于3小时的其他密实墙；</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8" w:hRule="atLeast"/>
        </w:trPr>
        <w:tc>
          <w:tcPr>
            <w:tcW w:w="1764"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4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22.烟花爆竹零售点的安全疏散门宜采用向外开启的平开门；采用其他形式的门时，应符合消防安全疏散要求，面积大于100</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时，应不少于2个安全出口，且店内任一点到安全出口的距离不应大于15m；</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764"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4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23.顾客进出的门洞宽不应小于1.5米，搬运产品进出的门洞宽不宜小于1.2米；</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 w:hRule="atLeast"/>
        </w:trPr>
        <w:tc>
          <w:tcPr>
            <w:tcW w:w="1764"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4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24.烟花爆竹零售点上空禁止1千伏及以上的电力线路跨越；</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 w:hRule="atLeast"/>
        </w:trPr>
        <w:tc>
          <w:tcPr>
            <w:tcW w:w="1764"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4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25.烟花爆竹零售点禁止使用白炽灯、射灯等容易产生高温的灯具，电气线路应穿钢管敷设；</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 w:hRule="atLeast"/>
        </w:trPr>
        <w:tc>
          <w:tcPr>
            <w:tcW w:w="1764"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4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26.烟花爆竹零售点采用普通导线钢管敷设时，接头防护等级应不低于IP54接线盒，电器应与产品保持不小于1.2米的水平投影距离；</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764"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4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27.烟花爆竹零售点不应采用产生明火和有强热辐射的采暖设备,且烟花爆竹与采暖设备的距离不应小于300mm</w:t>
            </w:r>
            <w:r>
              <w:rPr>
                <w:rFonts w:hint="eastAsia" w:ascii="宋体" w:hAnsi="宋体" w:cs="宋体"/>
                <w:color w:val="auto"/>
                <w:sz w:val="20"/>
                <w:szCs w:val="20"/>
                <w:highlight w:val="none"/>
                <w:lang w:val="en-US" w:eastAsia="zh-CN"/>
              </w:rPr>
              <w:t>；</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764"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4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28.烟花爆竹零售点应配备至少两具5公斤及以上的磷酸铵盐干粉灭火器，灭火器放置位置应便于取用；大于100</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时，应至少配4具且分2个设置；</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764"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421"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29.</w:t>
            </w:r>
            <w:r>
              <w:rPr>
                <w:rFonts w:hint="eastAsia" w:ascii="宋体" w:hAnsi="宋体" w:eastAsia="宋体" w:cs="宋体"/>
                <w:color w:val="auto"/>
                <w:sz w:val="20"/>
                <w:szCs w:val="20"/>
                <w:highlight w:val="none"/>
              </w:rPr>
              <w:t>专店销售的存放量限制在每10㎡</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rPr>
              <w:t>0箱以下，</w:t>
            </w:r>
            <w:r>
              <w:rPr>
                <w:rFonts w:hint="eastAsia" w:ascii="宋体" w:hAnsi="宋体" w:eastAsia="宋体" w:cs="宋体"/>
                <w:color w:val="auto"/>
                <w:sz w:val="20"/>
                <w:szCs w:val="20"/>
                <w:highlight w:val="none"/>
                <w:lang w:val="en-US" w:eastAsia="zh-CN"/>
              </w:rPr>
              <w:t>且</w:t>
            </w:r>
            <w:r>
              <w:rPr>
                <w:rFonts w:hint="eastAsia" w:ascii="宋体" w:hAnsi="宋体" w:eastAsia="宋体" w:cs="宋体"/>
                <w:color w:val="auto"/>
                <w:sz w:val="20"/>
                <w:szCs w:val="20"/>
                <w:highlight w:val="none"/>
              </w:rPr>
              <w:t>总药量≦</w:t>
            </w:r>
            <w:r>
              <w:rPr>
                <w:rFonts w:hint="eastAsia" w:ascii="宋体" w:hAnsi="宋体" w:eastAsia="宋体" w:cs="宋体"/>
                <w:color w:val="auto"/>
                <w:sz w:val="20"/>
                <w:szCs w:val="20"/>
                <w:highlight w:val="none"/>
                <w:lang w:val="en-US" w:eastAsia="zh-CN"/>
              </w:rPr>
              <w:t>50</w:t>
            </w:r>
            <w:r>
              <w:rPr>
                <w:rFonts w:hint="eastAsia" w:ascii="宋体" w:hAnsi="宋体" w:eastAsia="宋体" w:cs="宋体"/>
                <w:color w:val="auto"/>
                <w:sz w:val="20"/>
                <w:szCs w:val="20"/>
                <w:highlight w:val="none"/>
              </w:rPr>
              <w:t>kg</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70-200</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时，最大允许</w:t>
            </w:r>
            <w:r>
              <w:rPr>
                <w:rFonts w:hint="eastAsia" w:ascii="宋体" w:hAnsi="宋体" w:eastAsia="宋体" w:cs="宋体"/>
                <w:color w:val="auto"/>
                <w:sz w:val="20"/>
                <w:szCs w:val="20"/>
                <w:highlight w:val="none"/>
                <w:lang w:eastAsia="zh-CN"/>
              </w:rPr>
              <w:t>药量</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300kg。</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764"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421"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30.</w:t>
            </w:r>
            <w:r>
              <w:rPr>
                <w:rFonts w:hint="eastAsia" w:ascii="宋体" w:hAnsi="宋体" w:eastAsia="宋体" w:cs="宋体"/>
                <w:color w:val="auto"/>
                <w:sz w:val="20"/>
                <w:szCs w:val="20"/>
                <w:highlight w:val="none"/>
                <w:lang w:val="en-US" w:eastAsia="zh-CN"/>
              </w:rPr>
              <w:t>专店经营</w:t>
            </w:r>
            <w:r>
              <w:rPr>
                <w:rFonts w:hint="eastAsia" w:ascii="宋体" w:hAnsi="宋体" w:cs="宋体"/>
                <w:color w:val="auto"/>
                <w:sz w:val="20"/>
                <w:szCs w:val="20"/>
                <w:highlight w:val="none"/>
                <w:lang w:val="en-US" w:eastAsia="zh-CN"/>
              </w:rPr>
              <w:t>：符合在商店内依法仅从事烟花爆竹零售业务。</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1764"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421" w:type="dxa"/>
            <w:gridSpan w:val="3"/>
            <w:tcBorders>
              <w:top w:val="single" w:color="auto" w:sz="4" w:space="0"/>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31.零售场所设置醒目的相关安全警示标示、应急联系电话、营业执照等。</w:t>
            </w:r>
          </w:p>
        </w:tc>
        <w:tc>
          <w:tcPr>
            <w:tcW w:w="2715"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0"/>
                <w:szCs w:val="20"/>
                <w:highlight w:val="none"/>
                <w:lang w:eastAsia="zh-CN"/>
              </w:rPr>
            </w:pPr>
            <w:r>
              <w:rPr>
                <w:rFonts w:hint="eastAsia"/>
                <w:sz w:val="20"/>
                <w:szCs w:val="22"/>
                <w:lang w:eastAsia="zh-CN"/>
              </w:rPr>
              <w:t>符合（</w:t>
            </w:r>
            <w:r>
              <w:rPr>
                <w:rFonts w:hint="eastAsia"/>
                <w:sz w:val="20"/>
                <w:szCs w:val="22"/>
                <w:lang w:val="en-US" w:eastAsia="zh-CN"/>
              </w:rPr>
              <w:t xml:space="preserve"> </w:t>
            </w:r>
            <w:r>
              <w:rPr>
                <w:rFonts w:hint="eastAsia"/>
                <w:sz w:val="20"/>
                <w:szCs w:val="22"/>
                <w:lang w:eastAsia="zh-CN"/>
              </w:rPr>
              <w:t>）</w:t>
            </w:r>
            <w:r>
              <w:rPr>
                <w:rFonts w:hint="eastAsia"/>
                <w:sz w:val="20"/>
                <w:szCs w:val="22"/>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trPr>
        <w:tc>
          <w:tcPr>
            <w:tcW w:w="1764"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421" w:type="dxa"/>
            <w:gridSpan w:val="3"/>
            <w:tcBorders>
              <w:top w:val="single" w:color="auto" w:sz="4" w:space="0"/>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32.零售场所张贴相关的安全责任制、管理制度、隐患排查制度、搬运存放规程等。</w:t>
            </w:r>
          </w:p>
        </w:tc>
        <w:tc>
          <w:tcPr>
            <w:tcW w:w="2715"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0"/>
                <w:szCs w:val="20"/>
                <w:highlight w:val="none"/>
                <w:lang w:eastAsia="zh-CN"/>
              </w:rPr>
            </w:pPr>
            <w:r>
              <w:rPr>
                <w:rFonts w:hint="eastAsia"/>
                <w:sz w:val="20"/>
                <w:szCs w:val="22"/>
                <w:lang w:eastAsia="zh-CN"/>
              </w:rPr>
              <w:t>符合（</w:t>
            </w:r>
            <w:r>
              <w:rPr>
                <w:rFonts w:hint="eastAsia"/>
                <w:sz w:val="20"/>
                <w:szCs w:val="22"/>
                <w:lang w:val="en-US" w:eastAsia="zh-CN"/>
              </w:rPr>
              <w:t xml:space="preserve"> </w:t>
            </w:r>
            <w:r>
              <w:rPr>
                <w:rFonts w:hint="eastAsia"/>
                <w:sz w:val="20"/>
                <w:szCs w:val="22"/>
                <w:lang w:eastAsia="zh-CN"/>
              </w:rPr>
              <w:t>）</w:t>
            </w:r>
            <w:r>
              <w:rPr>
                <w:rFonts w:hint="eastAsia"/>
                <w:sz w:val="20"/>
                <w:szCs w:val="22"/>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05" w:hRule="atLeast"/>
        </w:trPr>
        <w:tc>
          <w:tcPr>
            <w:tcW w:w="9900"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color w:val="auto"/>
                <w:sz w:val="24"/>
                <w:highlight w:val="none"/>
              </w:rPr>
            </w:pPr>
            <w:r>
              <w:rPr>
                <w:rFonts w:hint="eastAsia"/>
                <w:color w:val="auto"/>
                <w:sz w:val="24"/>
                <w:highlight w:val="none"/>
              </w:rPr>
              <w:t xml:space="preserve">    本单位符合</w:t>
            </w:r>
            <w:r>
              <w:rPr>
                <w:rFonts w:hint="eastAsia"/>
                <w:color w:val="auto"/>
                <w:sz w:val="24"/>
                <w:highlight w:val="none"/>
                <w:lang w:val="en-US" w:eastAsia="zh-CN"/>
              </w:rPr>
              <w:t>相关法律、法规</w:t>
            </w:r>
            <w:r>
              <w:rPr>
                <w:rFonts w:hint="eastAsia"/>
                <w:color w:val="auto"/>
                <w:sz w:val="24"/>
                <w:highlight w:val="none"/>
              </w:rPr>
              <w:t>规定的许可条件，并对所填写和所提供的资料真实性负责，</w:t>
            </w:r>
            <w:r>
              <w:rPr>
                <w:rFonts w:hint="eastAsia"/>
                <w:color w:val="auto"/>
                <w:sz w:val="24"/>
                <w:highlight w:val="none"/>
                <w:lang w:val="en-US" w:eastAsia="zh-CN"/>
              </w:rPr>
              <w:t>现</w:t>
            </w:r>
            <w:r>
              <w:rPr>
                <w:rFonts w:hint="eastAsia"/>
                <w:color w:val="auto"/>
                <w:sz w:val="24"/>
                <w:highlight w:val="none"/>
              </w:rPr>
              <w:t>申请办</w:t>
            </w:r>
            <w:r>
              <w:rPr>
                <w:rFonts w:hint="eastAsia"/>
                <w:color w:val="auto"/>
                <w:sz w:val="24"/>
                <w:highlight w:val="none"/>
                <w:lang w:eastAsia="zh-CN"/>
              </w:rPr>
              <w:t>理</w:t>
            </w:r>
            <w:r>
              <w:rPr>
                <w:rFonts w:hint="eastAsia"/>
                <w:color w:val="auto"/>
                <w:sz w:val="24"/>
                <w:highlight w:val="none"/>
              </w:rPr>
              <w:t>烟花爆竹经营（零售）许可证。</w:t>
            </w:r>
          </w:p>
          <w:p>
            <w:pPr>
              <w:ind w:firstLine="480" w:firstLineChars="200"/>
              <w:rPr>
                <w:rFonts w:hint="eastAsia"/>
                <w:color w:val="auto"/>
                <w:sz w:val="24"/>
                <w:highlight w:val="none"/>
              </w:rPr>
            </w:pPr>
            <w:bookmarkStart w:id="0" w:name="_GoBack"/>
            <w:bookmarkEnd w:id="0"/>
          </w:p>
          <w:p>
            <w:pPr>
              <w:ind w:firstLine="480" w:firstLineChars="200"/>
              <w:rPr>
                <w:rFonts w:hint="eastAsia"/>
                <w:color w:val="auto"/>
                <w:sz w:val="24"/>
                <w:highlight w:val="none"/>
              </w:rPr>
            </w:pPr>
            <w:r>
              <w:rPr>
                <w:rFonts w:hint="eastAsia"/>
                <w:color w:val="auto"/>
                <w:sz w:val="24"/>
                <w:highlight w:val="none"/>
              </w:rPr>
              <w:t>本单位</w:t>
            </w:r>
            <w:r>
              <w:rPr>
                <w:rFonts w:hint="eastAsia"/>
                <w:color w:val="auto"/>
                <w:sz w:val="24"/>
                <w:highlight w:val="none"/>
                <w:lang w:val="en-US" w:eastAsia="zh-CN"/>
              </w:rPr>
              <w:t>及个人</w:t>
            </w:r>
            <w:r>
              <w:rPr>
                <w:rFonts w:hint="eastAsia"/>
                <w:color w:val="auto"/>
                <w:sz w:val="24"/>
                <w:highlight w:val="none"/>
              </w:rPr>
              <w:t>对以上</w:t>
            </w:r>
            <w:r>
              <w:rPr>
                <w:rFonts w:hint="eastAsia"/>
                <w:color w:val="auto"/>
                <w:sz w:val="24"/>
                <w:highlight w:val="none"/>
                <w:lang w:val="en-US" w:eastAsia="zh-CN"/>
              </w:rPr>
              <w:t>经营现场</w:t>
            </w:r>
            <w:r>
              <w:rPr>
                <w:rFonts w:hint="eastAsia"/>
                <w:color w:val="auto"/>
                <w:sz w:val="24"/>
                <w:highlight w:val="none"/>
              </w:rPr>
              <w:t>情况和所提供文件、资料的真实性负责。</w:t>
            </w:r>
          </w:p>
          <w:p>
            <w:pPr>
              <w:rPr>
                <w:rFonts w:hint="eastAsia"/>
                <w:color w:val="auto"/>
                <w:sz w:val="24"/>
                <w:highlight w:val="none"/>
              </w:rPr>
            </w:pPr>
          </w:p>
          <w:p>
            <w:pPr>
              <w:ind w:firstLine="480" w:firstLineChars="200"/>
              <w:rPr>
                <w:rFonts w:hint="eastAsia"/>
                <w:color w:val="auto"/>
                <w:sz w:val="24"/>
                <w:highlight w:val="none"/>
              </w:rPr>
            </w:pPr>
            <w:r>
              <w:rPr>
                <w:rFonts w:hint="eastAsia"/>
                <w:color w:val="auto"/>
                <w:sz w:val="24"/>
                <w:highlight w:val="none"/>
              </w:rPr>
              <w:t xml:space="preserve">主要负责人（签字）：           </w:t>
            </w:r>
          </w:p>
          <w:p>
            <w:pPr>
              <w:ind w:firstLine="480" w:firstLineChars="200"/>
              <w:rPr>
                <w:rFonts w:hint="eastAsia"/>
                <w:color w:val="auto"/>
                <w:highlight w:val="none"/>
              </w:rPr>
            </w:pPr>
            <w:r>
              <w:rPr>
                <w:rFonts w:hint="eastAsia"/>
                <w:color w:val="auto"/>
                <w:sz w:val="24"/>
                <w:highlight w:val="none"/>
              </w:rPr>
              <w:t xml:space="preserve"> </w:t>
            </w:r>
            <w:r>
              <w:rPr>
                <w:rFonts w:hint="eastAsia"/>
                <w:color w:val="auto"/>
                <w:sz w:val="24"/>
                <w:highlight w:val="none"/>
                <w:lang w:eastAsia="zh-CN"/>
              </w:rPr>
              <w:t>（</w:t>
            </w:r>
            <w:r>
              <w:rPr>
                <w:rFonts w:hint="eastAsia"/>
                <w:color w:val="auto"/>
                <w:sz w:val="24"/>
                <w:highlight w:val="none"/>
              </w:rPr>
              <w:t>申请单位盖章</w:t>
            </w:r>
            <w:r>
              <w:rPr>
                <w:rFonts w:hint="eastAsia"/>
                <w:color w:val="auto"/>
                <w:sz w:val="24"/>
                <w:highlight w:val="none"/>
                <w:lang w:eastAsia="zh-CN"/>
              </w:rPr>
              <w:t>）</w:t>
            </w:r>
          </w:p>
          <w:p>
            <w:pPr>
              <w:ind w:firstLine="5160" w:firstLineChars="2150"/>
              <w:rPr>
                <w:rFonts w:hint="eastAsia"/>
                <w:color w:val="auto"/>
                <w:sz w:val="24"/>
                <w:highlight w:val="none"/>
              </w:rPr>
            </w:pPr>
            <w:r>
              <w:rPr>
                <w:rFonts w:hint="eastAsia"/>
                <w:color w:val="auto"/>
                <w:sz w:val="24"/>
                <w:highlight w:val="none"/>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9900" w:type="dxa"/>
            <w:gridSpan w:val="6"/>
            <w:tcBorders>
              <w:top w:val="single" w:color="auto" w:sz="4" w:space="0"/>
            </w:tcBorders>
            <w:noWrap w:val="0"/>
            <w:vAlign w:val="center"/>
          </w:tcPr>
          <w:p>
            <w:pPr>
              <w:rPr>
                <w:rFonts w:hint="eastAsia" w:eastAsia="宋体"/>
                <w:color w:val="auto"/>
                <w:sz w:val="24"/>
                <w:highlight w:val="none"/>
                <w:lang w:eastAsia="zh-CN"/>
              </w:rPr>
            </w:pPr>
            <w:r>
              <w:rPr>
                <w:rFonts w:hint="eastAsia"/>
                <w:b/>
                <w:bCs/>
                <w:color w:val="auto"/>
                <w:sz w:val="24"/>
                <w:highlight w:val="none"/>
              </w:rPr>
              <w:t>以上内容由申请单位</w:t>
            </w:r>
            <w:r>
              <w:rPr>
                <w:rFonts w:hint="eastAsia"/>
                <w:b/>
                <w:bCs/>
                <w:color w:val="auto"/>
                <w:sz w:val="24"/>
                <w:highlight w:val="none"/>
                <w:lang w:val="en-US" w:eastAsia="zh-CN"/>
              </w:rPr>
              <w:t>主要负责人</w:t>
            </w:r>
            <w:r>
              <w:rPr>
                <w:rFonts w:hint="eastAsia"/>
                <w:b/>
                <w:bCs/>
                <w:color w:val="auto"/>
                <w:sz w:val="24"/>
                <w:highlight w:val="none"/>
              </w:rPr>
              <w:t>填写</w:t>
            </w:r>
            <w:r>
              <w:rPr>
                <w:rFonts w:hint="eastAsia"/>
                <w:b/>
                <w:bCs/>
                <w:color w:val="auto"/>
                <w:sz w:val="24"/>
                <w:highlight w:val="none"/>
                <w:lang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743346"/>
    <w:rsid w:val="0E2C0C3F"/>
    <w:rsid w:val="3AF5387C"/>
    <w:rsid w:val="62743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unhideWhenUsed/>
    <w:qFormat/>
    <w:uiPriority w:val="99"/>
    <w:pPr>
      <w:widowControl w:val="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从化区安监局</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2022-12-20T07:33:00Z</dcterms:created>
  <dc:creator>邓琨瑶</dc:creator>
  <cp:lastModifiedBy>邓琨瑶</cp:lastModifiedBy>
  <dcterms:modified xsi:type="dcterms:W3CDTF">2022-12-20T08:08:54Z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