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pict>
          <v:group id="_x0000_s1026" o:spid="_x0000_s1026" o:spt="203" style="position:absolute;left:0pt;margin-left:-10.65pt;margin-top:19.95pt;height:681.25pt;width:442.4pt;z-index:251658240;mso-width-relative:page;mso-height-relative:page;" coordorigin="1588,1840" coordsize="8848,13625">
            <o:lock v:ext="edit" aspectratio="f"/>
            <v:group id="_x0000_s1027" o:spid="_x0000_s1027" o:spt="203" style="position:absolute;left:1588;top:1840;height:920;width:8848;" coordorigin="1592,8205" coordsize="8848,815">
              <o:lock v:ext="edit" aspectratio="f"/>
              <v:line id="_x0000_s1028" o:spid="_x0000_s1028" o:spt="20" style="position:absolute;left:1592;top:9020;height:0;width:8848;" filled="f" stroked="t" coordsize="21600,21600">
                <v:path arrowok="t"/>
                <v:fill on="f" focussize="0,0"/>
                <v:stroke weight="4.5pt" color="#FF0000" linestyle="thickThin"/>
                <v:imagedata o:title=""/>
                <o:lock v:ext="edit" aspectratio="f"/>
              </v:line>
              <v:shape id="_x0000_s1029" o:spid="_x0000_s1029" o:spt="136" type="#_x0000_t136" style="position:absolute;left:1825;top:8205;height:670;width:8295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广州市从化区人力资源和社会保障局" style="font-family:华文中宋;font-size:36pt;font-weight:bold;v-rotate-letters:f;v-same-letter-heights:f;v-text-align:center;"/>
              </v:shape>
            </v:group>
            <v:line id="_x0000_s1030" o:spid="_x0000_s1030" o:spt="20" style="position:absolute;left:1588;top:15465;height:0;width:8848;" filled="f" stroked="t" coordsize="21600,21600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right="0"/>
        <w:jc w:val="center"/>
        <w:textAlignment w:val="auto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</w:rPr>
        <w:t>广州市从化区人力资源和社会保障局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2021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right="0"/>
        <w:jc w:val="center"/>
        <w:textAlignment w:val="auto"/>
        <w:rPr>
          <w:rFonts w:hint="eastAsia" w:ascii="黑体" w:hAnsi="黑体" w:eastAsia="方正小标宋简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/>
          <w:sz w:val="44"/>
        </w:rPr>
        <w:t>度政府信息公开工作年度报告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wordWrap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年，从化区人力资源和社会保障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将政务公开工作作为“我为群众办实事”的重要抓手，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及时回应民众关切，解难释疑，注重信息公开的准确性、及时性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、透明度，提高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公信力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实现了政府信息发布、依申请公开受理、政府信息咨询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行政复议受理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等工作的一体化管理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增强信息公开的时效性，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提高人社服务效能，保障群众的知情权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公开信息审核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公文审查、定密等程序，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确保公开与保密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顺利落实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主动公开情况</w:t>
      </w:r>
    </w:p>
    <w:p>
      <w:pPr>
        <w:pStyle w:val="3"/>
        <w:numPr>
          <w:ilvl w:val="-1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2021年度，区人社局根据自身职能，围绕优化营商环境方面，持续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落实“放管服”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全年接收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行政许可申请数量共152宗，受理数量共152宗，许可数量共152宗。其中，“企业实行不定时工作制和综合计算工时工作制审批”申请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受理、许可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数量46宗；“人力资源服务许可”申请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许可数量21宗；“民办职业培训学校设立、分立、合并、变更及终止审批”申请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许可数量16宗；“劳务派遣经营许可”申请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许可数量69宗。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解决劳资纠纷方面，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聚焦重点领域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切实维护劳动者合法权益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2021年度共</w:t>
      </w:r>
      <w:r>
        <w:rPr>
          <w:rFonts w:hint="eastAsia" w:ascii="仿宋_GB2312" w:hAnsi="仿宋_GB2312" w:eastAsia="仿宋_GB2312" w:cs="仿宋_GB2312"/>
          <w:sz w:val="32"/>
          <w:szCs w:val="32"/>
        </w:rPr>
        <w:t>对9家违反劳动保障法律法规规定的用人单位进行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1"/>
        </w:numPr>
        <w:ind w:left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依申请公开情况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根据《中华人民共和国政府信息公开条例》依申请公开有关规定及相关工作要求，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将政府信息公开申请办理工作列为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，通过规范政府信息公开申请办理流程，准确适用依申请公开各项规定，依法保障公众合理信息需求。2021年度区人社局无收到依申请公开。</w:t>
      </w:r>
    </w:p>
    <w:p>
      <w:pPr>
        <w:pStyle w:val="3"/>
        <w:numPr>
          <w:ilvl w:val="0"/>
          <w:numId w:val="1"/>
        </w:numPr>
        <w:ind w:left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政府信息管理情况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市政府办公厅制定公布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《广州市行政机关公文公开属性审核办法》，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公文公开属性审核的责任主体、审核要点和流程，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政府信息公开属性的源头认定机制。</w:t>
      </w:r>
    </w:p>
    <w:p>
      <w:pPr>
        <w:pStyle w:val="3"/>
        <w:numPr>
          <w:ilvl w:val="0"/>
          <w:numId w:val="1"/>
        </w:numPr>
        <w:ind w:left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政务公开平台建设情况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公开为常态,不公开为例外,以就业、技能培训、社会保障、劳资纠纷、人才引进等群众最关切的信息为重点,积极开展“互联网+政务服务”信息公开,推进政务服务事项、办事指南等信息公开。2021年8月，围绕“抗疫情促复工 稳就业保民生”主题接受线上访谈。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采取多种形式发布政府信息：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务信息统一在“广州市从化区政府门户网站”公布，网址是：http://www.conghua.gov.cn/zfjg/qrlzyhshbzj/zwgk/zfxxgkml/zzjg/jgzn/；政务服务事项统一在“广东省政务服务网”公开，网址是：http://www.gdzwfw.gov.cn/portal/branch-hall?orgCode=007517547。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2.通过宣讲会以及新媒体发布部分主动公开的政府信息。在便民服务方面，按照规范统一的要求，编制《政府信息公开指南》《政府信息公开目录》及细则、流程等相关制度。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政府门户</w:t>
      </w:r>
      <w:r>
        <w:rPr>
          <w:rFonts w:hint="eastAsia" w:ascii="仿宋_GB2312" w:hAnsi="仿宋_GB2312" w:eastAsia="仿宋_GB2312" w:cs="仿宋_GB2312"/>
          <w:sz w:val="32"/>
          <w:szCs w:val="32"/>
        </w:rPr>
        <w:t>网页类信息更新提速，特别是社保政策、就业招聘等方面群众较为关注的内容。</w:t>
      </w:r>
    </w:p>
    <w:p>
      <w:pPr>
        <w:pStyle w:val="3"/>
        <w:numPr>
          <w:ilvl w:val="0"/>
          <w:numId w:val="1"/>
        </w:numPr>
        <w:ind w:left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监督保障情况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为推动政务公开工作有效开展,2021年制定《广州市从化区人力资源和社会保障局2021年政务公开工作重点任务清单》,做到有计划、有目标、有措施、有考核。</w:t>
      </w:r>
    </w:p>
    <w:p>
      <w:pPr>
        <w:pStyle w:val="3"/>
        <w:numPr>
          <w:ilvl w:val="-1"/>
          <w:numId w:val="0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成立广州市从化区人力资源和社会保障局2021年度政务公开工作领导小组，由局长作为小组组长，主要职责包括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落实我局政务公开制度和工作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要求，指导、监管局属各科室、部门做好2021年度政务公开有关工作。组织召开对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人社局政务信息公开工作部署会议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协调统筹政务公开工作任务推进落实。指导局属各科室部门负责人召开本科室部门政务公开工作会议，制定详细实施方案，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并定期跟踪督查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94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 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 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40"/>
        <w:gridCol w:w="3690"/>
        <w:gridCol w:w="494"/>
        <w:gridCol w:w="693"/>
        <w:gridCol w:w="693"/>
        <w:gridCol w:w="693"/>
        <w:gridCol w:w="693"/>
        <w:gridCol w:w="693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3.其他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重视政府信息公开工作，在完善制度、信息公开方面取得了一定成效，但在信息公开的全面性、主动性、及时性等方面还有待进一步加强。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政策多、更新快，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业务跨度大、政策法规性强，尤其是社会保障、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劳动关系领域的法律法规、政策解读上的信息公开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效能还</w:t>
      </w:r>
      <w:r>
        <w:rPr>
          <w:rFonts w:hint="eastAsia" w:ascii="仿宋_GB2312" w:hAnsi="仿宋_GB2312" w:eastAsia="仿宋_GB2312" w:cs="仿宋_GB2312"/>
          <w:sz w:val="32"/>
          <w:szCs w:val="32"/>
        </w:rPr>
        <w:t>有待提高。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下一步，将主要围绕以下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面做好整改工作：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1.以问题为导向，聚焦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市民关注的重点热点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及时回应群众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注重对重大事项进行宣传，积极报送信息宣传稿，主动宣传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《劳动法》《劳动合同法》《就业促进法》《社会保险法》《保障农民工工资支付条例》等人社领域法律法规、政策知识，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社保缴交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等内容的宣传，扩大信息公开的范围，保障公众知情权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优化营商环境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2.增强信息公开的主动性和准确性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推进“互联网+政务服务”建设，加强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数字信息资源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日常维护工作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做好网站每日巡检工作。增加网站信息发布量，力求做到信息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及时更</w:t>
      </w:r>
      <w:r>
        <w:rPr>
          <w:rFonts w:hint="eastAsia" w:ascii="仿宋_GB2312" w:hAnsi="仿宋_GB2312" w:eastAsia="仿宋_GB2312" w:cs="仿宋_GB2312"/>
          <w:sz w:val="32"/>
          <w:szCs w:val="32"/>
        </w:rPr>
        <w:t>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及时性、准确性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。对出现的问题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及时发现并妥善解决，确保公众能够及时获取政府信息，获得便利的在线服务，确保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链接正确有效，安全平稳运行。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增强“政策解读”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公开的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通俗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易晓。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人社领域的惠民便民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生动形象</w:t>
      </w:r>
      <w:r>
        <w:rPr>
          <w:rFonts w:hint="eastAsia" w:ascii="仿宋_GB2312" w:hAnsi="仿宋_GB2312" w:eastAsia="仿宋_GB2312" w:cs="仿宋_GB2312"/>
          <w:sz w:val="32"/>
          <w:szCs w:val="32"/>
        </w:rPr>
        <w:t>、通俗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易懂</w:t>
      </w:r>
      <w:r>
        <w:rPr>
          <w:rFonts w:hint="eastAsia" w:ascii="仿宋_GB2312" w:hAnsi="仿宋_GB2312" w:eastAsia="仿宋_GB2312" w:cs="仿宋_GB2312"/>
          <w:sz w:val="32"/>
          <w:szCs w:val="32"/>
        </w:rPr>
        <w:t>的图解方式，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举实例，让人民群众“听得懂”、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“懂得用”、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“信得过”。 通过政府网站发布、新媒体推送、印编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、组织专题培训、走村入户讲解等方式，增强政策使用的实效性。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600" w:lineRule="exact"/>
        <w:rPr>
          <w:rFonts w:hint="default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广州市从化区人力资源和社会保障局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15"/>
        <w:jc w:val="both"/>
        <w:rPr>
          <w:rFonts w:hint="eastAsia" w:ascii="仿宋_GB2312" w:hAnsi="宋体" w:eastAsia="宋体" w:cs="仿宋_GB231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22年1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月6日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FBFFF"/>
    <w:multiLevelType w:val="singleLevel"/>
    <w:tmpl w:val="C09FBF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7D81"/>
    <w:rsid w:val="031801BC"/>
    <w:rsid w:val="086E19FB"/>
    <w:rsid w:val="0A022486"/>
    <w:rsid w:val="0C855D5F"/>
    <w:rsid w:val="0ED971F6"/>
    <w:rsid w:val="12C00B97"/>
    <w:rsid w:val="175662B2"/>
    <w:rsid w:val="17685F5B"/>
    <w:rsid w:val="1DD7274E"/>
    <w:rsid w:val="250F14EE"/>
    <w:rsid w:val="277F48CC"/>
    <w:rsid w:val="28E90FE3"/>
    <w:rsid w:val="3142213D"/>
    <w:rsid w:val="33D7052E"/>
    <w:rsid w:val="3739138F"/>
    <w:rsid w:val="39000E76"/>
    <w:rsid w:val="3A0136D9"/>
    <w:rsid w:val="497D24F5"/>
    <w:rsid w:val="57041947"/>
    <w:rsid w:val="5D2A2D50"/>
    <w:rsid w:val="5DEF0175"/>
    <w:rsid w:val="6306788A"/>
    <w:rsid w:val="68447D81"/>
    <w:rsid w:val="68DE2A55"/>
    <w:rsid w:val="6C467B5E"/>
    <w:rsid w:val="745B54F7"/>
    <w:rsid w:val="7AFB21D4"/>
    <w:rsid w:val="7B6A29BB"/>
    <w:rsid w:val="7C2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2"/>
    </w:pPr>
    <w:rPr>
      <w:rFonts w:ascii="Times New Roman" w:hAnsi="Times New Roman" w:eastAsia="仿宋_GB2312" w:cs="Times New Roman"/>
      <w:b/>
      <w:bCs/>
      <w:kern w:val="2"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29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2021-12-17T08:12:00Z</dcterms:created>
  <dc:creator>区人力资源和社会保障局</dc:creator>
  <cp:lastModifiedBy>区人力资源和社会保障局</cp:lastModifiedBy>
  <cp:lastPrinted>2022-01-06T01:59:00Z</cp:lastPrinted>
  <dcterms:modified xsi:type="dcterms:W3CDTF">2022-01-28T04:04:33Z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