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为保障广大考生和考务工作人员的生命安全和身体健康，确保考试工作的安全进行，请相关考生知悉、理解、配合、支持我</w:t>
      </w:r>
      <w:r>
        <w:rPr>
          <w:rFonts w:hint="eastAsia" w:eastAsia="仿宋"/>
          <w:sz w:val="32"/>
          <w:szCs w:val="32"/>
          <w:lang w:eastAsia="zh-CN"/>
        </w:rPr>
        <w:t>区</w:t>
      </w:r>
      <w:r>
        <w:rPr>
          <w:rFonts w:eastAsia="仿宋"/>
          <w:sz w:val="32"/>
          <w:szCs w:val="32"/>
        </w:rPr>
        <w:t>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“穗康码”等健康二维码上如实进行健康申报，加强防疫知识学习，自觉做好自身健康管理，避免前往疫情中高风险地区，主动减少外出和不必要的聚集。具有国内中、高风险地区及现场资格审核或面试前 14 天内有国（境）外旅居史等流行病学史的报考者提供现场资格审核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二、“穗康码”为绿码且健康状况正常，经现场测量体温正常（37.3</w:t>
      </w:r>
      <w:r>
        <w:rPr>
          <w:rFonts w:hint="eastAsia" w:eastAsia="仿宋"/>
          <w:sz w:val="32"/>
          <w:szCs w:val="32"/>
        </w:rPr>
        <w:t>℃</w:t>
      </w:r>
      <w:r>
        <w:rPr>
          <w:rFonts w:eastAsia="仿宋"/>
          <w:sz w:val="32"/>
          <w:szCs w:val="32"/>
        </w:rPr>
        <w:t>以下）的考生可正常参加现场资格审核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三、有以下情形之一的考生不能参加现场资格审核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</w:t>
      </w:r>
      <w:r>
        <w:rPr>
          <w:rFonts w:hint="eastAsia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（二）“穗康码”为红码、现场资格审核或面试前14天有国（境）外或国内中高风险地区旅居史的考生，不能提供现场资格审核或面试前7天内核酸检测阴性证明的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四、面试当天出现以下情形的安排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五、考生在现场资格审核或面试期间的义务</w:t>
      </w:r>
    </w:p>
    <w:p>
      <w:pPr>
        <w:numPr>
          <w:ilvl w:val="0"/>
          <w:numId w:val="1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1.考生应按规定或工作人员的要求佩戴口罩。考生进入资格审核单位或面试考场时，须全程佩戴口罩，但不能因口罩佩戴影响身份核验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eastAsia="仿宋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055839BD"/>
    <w:rsid w:val="6D5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4</TotalTime>
  <ScaleCrop>false</ScaleCrop>
  <LinksUpToDate>false</LinksUpToDate>
  <CharactersWithSpaces>1244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kary</cp:lastModifiedBy>
  <cp:lastPrinted>2020-11-20T03:48:00Z</cp:lastPrinted>
  <dcterms:modified xsi:type="dcterms:W3CDTF">2020-12-01T01:50:46Z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